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96049" w14:textId="21DC4EA2" w:rsidR="00CB569E" w:rsidRDefault="00CB569E" w:rsidP="00CB569E">
      <w:pPr>
        <w:pStyle w:val="Title"/>
        <w:jc w:val="center"/>
      </w:pPr>
      <w:r>
        <w:t>MARKET SURVEILLANCE RESULTS:</w:t>
      </w:r>
    </w:p>
    <w:p w14:paraId="48D07A1C" w14:textId="47BF7DDA" w:rsidR="00191BE2" w:rsidRPr="008A6EFE" w:rsidRDefault="00191BE2" w:rsidP="00CB569E">
      <w:pPr>
        <w:pStyle w:val="Title"/>
        <w:spacing w:after="240"/>
        <w:jc w:val="center"/>
      </w:pPr>
      <w:r w:rsidRPr="008A6EFE">
        <w:t>JULY 2017</w:t>
      </w:r>
      <w:r w:rsidR="007E10BF" w:rsidRPr="008A6EFE">
        <w:t xml:space="preserve"> to JUNE</w:t>
      </w:r>
      <w:r w:rsidRPr="008A6EFE">
        <w:t xml:space="preserve"> 2018</w:t>
      </w:r>
    </w:p>
    <w:p w14:paraId="48D07A1F" w14:textId="77777777" w:rsidR="00191BE2" w:rsidRPr="00CB569E" w:rsidRDefault="00191BE2" w:rsidP="00CB569E">
      <w:pPr>
        <w:pStyle w:val="Heading1"/>
      </w:pPr>
      <w:r w:rsidRPr="00CB569E">
        <w:t>Purpose</w:t>
      </w:r>
    </w:p>
    <w:p w14:paraId="48D07A20" w14:textId="2886BF77" w:rsidR="00191BE2" w:rsidRDefault="00191BE2" w:rsidP="00191BE2">
      <w:pPr>
        <w:pStyle w:val="BodyText1"/>
      </w:pPr>
      <w:r>
        <w:t>This report presents the results of m</w:t>
      </w:r>
      <w:r w:rsidRPr="00C51E9C">
        <w:t xml:space="preserve">arket surveillance of models of </w:t>
      </w:r>
      <w:r>
        <w:t xml:space="preserve">the seven </w:t>
      </w:r>
      <w:r w:rsidRPr="00C51E9C">
        <w:t>products</w:t>
      </w:r>
      <w:r w:rsidR="00813470">
        <w:t xml:space="preserve"> regulated under the </w:t>
      </w:r>
      <w:r w:rsidR="00813470" w:rsidRPr="00813470">
        <w:rPr>
          <w:i/>
        </w:rPr>
        <w:t xml:space="preserve">Greenhouse and Energy Minimum Standards </w:t>
      </w:r>
      <w:r w:rsidR="00813470" w:rsidRPr="00813470">
        <w:t>(GEMS)</w:t>
      </w:r>
      <w:r w:rsidR="00813470">
        <w:rPr>
          <w:i/>
        </w:rPr>
        <w:t xml:space="preserve"> </w:t>
      </w:r>
      <w:r w:rsidR="00813470" w:rsidRPr="00813470">
        <w:rPr>
          <w:i/>
        </w:rPr>
        <w:t>Act 2012</w:t>
      </w:r>
      <w:r w:rsidRPr="00C51E9C">
        <w:t xml:space="preserve"> </w:t>
      </w:r>
      <w:r w:rsidR="00813470">
        <w:t xml:space="preserve">that are </w:t>
      </w:r>
      <w:r>
        <w:t>required to display an</w:t>
      </w:r>
      <w:r w:rsidRPr="00C51E9C">
        <w:t xml:space="preserve"> Energy Rating L</w:t>
      </w:r>
      <w:r>
        <w:t>abel</w:t>
      </w:r>
      <w:r w:rsidRPr="00C51E9C">
        <w:t xml:space="preserve"> (ERL)</w:t>
      </w:r>
      <w:r>
        <w:t xml:space="preserve"> </w:t>
      </w:r>
      <w:r w:rsidR="00813470">
        <w:t xml:space="preserve">on the product </w:t>
      </w:r>
      <w:r>
        <w:t>when supplied</w:t>
      </w:r>
      <w:r w:rsidR="00813470">
        <w:t xml:space="preserve"> in store</w:t>
      </w:r>
      <w:r w:rsidRPr="00C51E9C">
        <w:t>.</w:t>
      </w:r>
      <w:r w:rsidR="000A3610" w:rsidRPr="000A3610">
        <w:t xml:space="preserve"> </w:t>
      </w:r>
      <w:r w:rsidR="000A3610">
        <w:t xml:space="preserve">The report covers the period </w:t>
      </w:r>
      <w:r w:rsidR="000A3610" w:rsidRPr="00C51E9C">
        <w:t>between 1 July 201</w:t>
      </w:r>
      <w:r w:rsidR="000A3610">
        <w:t>7 and 30 June 2018.</w:t>
      </w:r>
    </w:p>
    <w:p w14:paraId="48D07A21" w14:textId="77777777" w:rsidR="00191BE2" w:rsidRPr="00B24F4C" w:rsidRDefault="00191BE2" w:rsidP="00CB569E">
      <w:pPr>
        <w:pStyle w:val="Heading1"/>
      </w:pPr>
      <w:r w:rsidRPr="00B24F4C">
        <w:t>Background</w:t>
      </w:r>
    </w:p>
    <w:p w14:paraId="48D07A22" w14:textId="7B4AFFAA" w:rsidR="00191BE2" w:rsidRDefault="00191BE2" w:rsidP="00191BE2">
      <w:pPr>
        <w:pStyle w:val="BodyText1"/>
      </w:pPr>
      <w:r w:rsidRPr="00C51E9C">
        <w:t>Market surveillance refers to activities undertaken by GEMS inspectors to ensure models of GEMS products meet GEMS registration and labelling requirements once in the marketplace. It is focused on</w:t>
      </w:r>
      <w:r>
        <w:t xml:space="preserve"> suppliers (including retailers and importers) </w:t>
      </w:r>
      <w:r w:rsidRPr="00C51E9C">
        <w:t xml:space="preserve">and where applicable, manufacturers. </w:t>
      </w:r>
    </w:p>
    <w:p w14:paraId="48D07A23" w14:textId="77777777" w:rsidR="00191BE2" w:rsidRPr="00BB614D" w:rsidRDefault="00191BE2" w:rsidP="00CB569E">
      <w:pPr>
        <w:pStyle w:val="Heading1"/>
      </w:pPr>
      <w:r>
        <w:t>Market Surveillance</w:t>
      </w:r>
    </w:p>
    <w:p w14:paraId="48D07A24" w14:textId="1A2AE1E2" w:rsidR="00191BE2" w:rsidRDefault="00191BE2" w:rsidP="00191BE2">
      <w:pPr>
        <w:pStyle w:val="BodyText1"/>
      </w:pPr>
      <w:r w:rsidRPr="009837DC">
        <w:t>During this period</w:t>
      </w:r>
      <w:r w:rsidR="00EA2C9B">
        <w:t>,</w:t>
      </w:r>
      <w:r w:rsidRPr="009837DC">
        <w:t xml:space="preserve"> GEMS inspectors attended the stores of </w:t>
      </w:r>
      <w:r w:rsidR="00F23BCC">
        <w:t>30</w:t>
      </w:r>
      <w:r w:rsidR="00F23BCC" w:rsidRPr="009837DC">
        <w:t xml:space="preserve"> </w:t>
      </w:r>
      <w:r w:rsidRPr="009837DC">
        <w:t>different national retail chains and franchises</w:t>
      </w:r>
      <w:r w:rsidR="00EA2C9B">
        <w:t>,</w:t>
      </w:r>
      <w:r w:rsidRPr="009837DC">
        <w:t xml:space="preserve"> and independent retail stores dealing in whitegoods</w:t>
      </w:r>
      <w:r w:rsidR="000A3610">
        <w:t xml:space="preserve"> and </w:t>
      </w:r>
      <w:r w:rsidRPr="009837DC">
        <w:t>electrical</w:t>
      </w:r>
      <w:r w:rsidR="000A3610">
        <w:t xml:space="preserve"> </w:t>
      </w:r>
      <w:r w:rsidRPr="009837DC">
        <w:t xml:space="preserve">products across </w:t>
      </w:r>
      <w:r>
        <w:t>metropolitan</w:t>
      </w:r>
      <w:r w:rsidRPr="009837DC">
        <w:t xml:space="preserve"> and regional areas of Australia</w:t>
      </w:r>
      <w:r>
        <w:t xml:space="preserve">. </w:t>
      </w:r>
    </w:p>
    <w:p w14:paraId="4C25B2BC" w14:textId="7A385475" w:rsidR="00982A23" w:rsidRDefault="00982A23" w:rsidP="00191BE2">
      <w:pPr>
        <w:pStyle w:val="BodyText1"/>
      </w:pPr>
      <w:r>
        <w:t xml:space="preserve">A total of 9,443 products were surveyed </w:t>
      </w:r>
      <w:r w:rsidR="000A3610">
        <w:t xml:space="preserve">during </w:t>
      </w:r>
      <w:r>
        <w:t>inspections to ensure compliance with ERL requirements, with 4,</w:t>
      </w:r>
      <w:r w:rsidR="00795EC7">
        <w:t>338</w:t>
      </w:r>
      <w:r>
        <w:t xml:space="preserve"> of these checked for registration compliance.</w:t>
      </w:r>
    </w:p>
    <w:p w14:paraId="3C3C3284" w14:textId="77777777" w:rsidR="00795EC7" w:rsidRPr="0003301D" w:rsidRDefault="00795EC7" w:rsidP="00191BE2">
      <w:pPr>
        <w:pStyle w:val="BodyText1"/>
      </w:pPr>
      <w:r w:rsidRPr="0003301D">
        <w:t>Routine inspections by GEMS inspectors are normally completed in one of two formats:</w:t>
      </w:r>
    </w:p>
    <w:p w14:paraId="0FE97FA0" w14:textId="1BB20C5D" w:rsidR="00F23BCC" w:rsidRPr="0003301D" w:rsidRDefault="00795EC7" w:rsidP="0003301D">
      <w:pPr>
        <w:pStyle w:val="Bullet1"/>
      </w:pPr>
      <w:r w:rsidRPr="0003301D">
        <w:t xml:space="preserve">By </w:t>
      </w:r>
      <w:r w:rsidR="000A3610">
        <w:t>e</w:t>
      </w:r>
      <w:r w:rsidR="000A3610" w:rsidRPr="0003301D">
        <w:t xml:space="preserve">xception </w:t>
      </w:r>
      <w:r w:rsidRPr="0003301D">
        <w:t xml:space="preserve">– </w:t>
      </w:r>
      <w:r w:rsidR="00811607">
        <w:t>i</w:t>
      </w:r>
      <w:r w:rsidRPr="0003301D">
        <w:t xml:space="preserve">nspectors photograph and record all </w:t>
      </w:r>
      <w:r w:rsidR="00815720" w:rsidRPr="0003301D">
        <w:t xml:space="preserve">GEMS products with </w:t>
      </w:r>
      <w:r w:rsidRPr="0003301D">
        <w:t>labelling non-compliance</w:t>
      </w:r>
      <w:r w:rsidR="00815720" w:rsidRPr="0003301D">
        <w:t>.</w:t>
      </w:r>
    </w:p>
    <w:p w14:paraId="3D334C56" w14:textId="18910A6E" w:rsidR="00795EC7" w:rsidRPr="0003301D" w:rsidRDefault="00795EC7" w:rsidP="0003301D">
      <w:pPr>
        <w:pStyle w:val="Bullet1"/>
        <w:spacing w:line="360" w:lineRule="auto"/>
      </w:pPr>
      <w:r w:rsidRPr="0003301D">
        <w:t xml:space="preserve">Full inspection – </w:t>
      </w:r>
      <w:r w:rsidR="00811607">
        <w:t>i</w:t>
      </w:r>
      <w:r w:rsidRPr="0003301D">
        <w:t>nspectors photograph and record all GEMS products on display.</w:t>
      </w:r>
    </w:p>
    <w:p w14:paraId="48D07A26" w14:textId="6EB76D2D" w:rsidR="00191BE2" w:rsidRPr="00C51E9C" w:rsidRDefault="00795EC7" w:rsidP="00191BE2">
      <w:pPr>
        <w:pStyle w:val="BodyText1"/>
      </w:pPr>
      <w:r w:rsidRPr="0003301D">
        <w:lastRenderedPageBreak/>
        <w:t>In addition, t</w:t>
      </w:r>
      <w:r w:rsidR="00191BE2" w:rsidRPr="0003301D">
        <w:t>argeted inspections</w:t>
      </w:r>
      <w:r w:rsidR="00191BE2">
        <w:t xml:space="preserve"> may focus on specific brands or models, retailers or suppliers or particular types of GEMS products, especially where there has been a history of, or trend towards, poor rates of compliance. Labelling requirements were a primary concern during this period.</w:t>
      </w:r>
    </w:p>
    <w:p w14:paraId="48D07A27" w14:textId="77777777" w:rsidR="009819A2" w:rsidRDefault="009819A2" w:rsidP="00CB569E">
      <w:pPr>
        <w:pStyle w:val="Heading1"/>
        <w:rPr>
          <w:sz w:val="28"/>
        </w:rPr>
      </w:pPr>
      <w:r>
        <w:t>Results</w:t>
      </w:r>
    </w:p>
    <w:p w14:paraId="48D07A28" w14:textId="77777777" w:rsidR="00191BE2" w:rsidRDefault="009819A2" w:rsidP="00982A23">
      <w:pPr>
        <w:pStyle w:val="BodyText1"/>
      </w:pPr>
      <w:r>
        <w:t>The following tables summarise the key results.</w:t>
      </w:r>
    </w:p>
    <w:p w14:paraId="48D07A29" w14:textId="77777777" w:rsidR="009819A2" w:rsidRPr="000F5BF5" w:rsidRDefault="006674D1" w:rsidP="000F5BF5">
      <w:pPr>
        <w:pStyle w:val="Heading2"/>
      </w:pPr>
      <w:r w:rsidRPr="000F5BF5">
        <w:t>Approved Registrations</w:t>
      </w:r>
    </w:p>
    <w:tbl>
      <w:tblPr>
        <w:tblW w:w="86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Approved&quot; registrations."/>
        <w:tblDescription w:val="This table shows the number and percentage of products holding “Approved” registrations at the time of the market surveillance."/>
      </w:tblPr>
      <w:tblGrid>
        <w:gridCol w:w="3397"/>
        <w:gridCol w:w="1560"/>
        <w:gridCol w:w="1579"/>
        <w:gridCol w:w="2126"/>
      </w:tblGrid>
      <w:tr w:rsidR="000D713E" w14:paraId="48D07A2E" w14:textId="77777777" w:rsidTr="000D713E">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2A" w14:textId="77777777" w:rsidR="000D713E" w:rsidRDefault="000D713E">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GEMS Product</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hideMark/>
          </w:tcPr>
          <w:p w14:paraId="48D07A2B" w14:textId="77777777" w:rsidR="000D713E" w:rsidRDefault="000D713E">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Total number inspected</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2C" w14:textId="77777777" w:rsidR="000D713E" w:rsidRDefault="000D713E" w:rsidP="00225206">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Number Approved</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2D" w14:textId="77777777" w:rsidR="000D713E" w:rsidRDefault="000D713E" w:rsidP="00225206">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 xml:space="preserve">% </w:t>
            </w:r>
            <w:r w:rsidR="00225206">
              <w:rPr>
                <w:rFonts w:ascii="Arial" w:eastAsia="Times New Roman" w:hAnsi="Arial" w:cs="Arial"/>
                <w:b/>
                <w:sz w:val="20"/>
                <w:szCs w:val="20"/>
              </w:rPr>
              <w:t>Percentage</w:t>
            </w:r>
            <w:r>
              <w:rPr>
                <w:rFonts w:ascii="Arial" w:eastAsia="Times New Roman" w:hAnsi="Arial" w:cs="Arial"/>
                <w:b/>
                <w:sz w:val="20"/>
                <w:szCs w:val="20"/>
              </w:rPr>
              <w:t xml:space="preserve"> Approved</w:t>
            </w:r>
          </w:p>
        </w:tc>
      </w:tr>
      <w:tr w:rsidR="006002D4" w14:paraId="524A90FA" w14:textId="77777777" w:rsidTr="0085070B">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5DF3571" w14:textId="77777777"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Air Conditioners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1E1F4"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318</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C16266E"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309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8CD2D2A"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97.2</w:t>
            </w:r>
          </w:p>
        </w:tc>
      </w:tr>
      <w:tr w:rsidR="006002D4" w14:paraId="1394EAA6" w14:textId="77777777" w:rsidTr="0085070B">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1A8B62B" w14:textId="77777777"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Clothes Dryers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613FF4"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340</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DDF2D2F"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338</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5D55118"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99.4</w:t>
            </w:r>
          </w:p>
        </w:tc>
      </w:tr>
      <w:tr w:rsidR="006002D4" w14:paraId="765055C8" w14:textId="77777777" w:rsidTr="0085070B">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2FAAF8E" w14:textId="0DFDBD60"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Clothes Washers/Dryers</w:t>
            </w:r>
            <w:r>
              <w:rPr>
                <w:rStyle w:val="FootnoteReference"/>
                <w:rFonts w:ascii="Arial" w:eastAsia="Times New Roman" w:hAnsi="Arial" w:cs="Arial"/>
                <w:color w:val="000000"/>
                <w:sz w:val="20"/>
                <w:szCs w:val="20"/>
              </w:rPr>
              <w:footnoteReference w:id="1"/>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DBED6"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36</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3FF194B"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35</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C7A2E54"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97.2</w:t>
            </w:r>
          </w:p>
        </w:tc>
      </w:tr>
      <w:tr w:rsidR="006002D4" w14:paraId="7A316365" w14:textId="77777777" w:rsidTr="0085070B">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2F7D0DF" w14:textId="77777777"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Clothes Washing Machines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4AE2F"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912</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C6B439A" w14:textId="77777777" w:rsidR="006002D4" w:rsidRPr="00961B83" w:rsidRDefault="006002D4" w:rsidP="000D713E">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903</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A0D4589"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99.0</w:t>
            </w:r>
          </w:p>
        </w:tc>
      </w:tr>
      <w:tr w:rsidR="006002D4" w14:paraId="698AE19F" w14:textId="77777777" w:rsidTr="0085070B">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3BF1699" w14:textId="77777777"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Computer Monitors</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D2BDA0" w14:textId="4FEFD4C4" w:rsidR="006002D4" w:rsidRPr="00961B83" w:rsidRDefault="00B80A0F" w:rsidP="00225206">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260</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3C19F5C" w14:textId="40BBEDF4" w:rsidR="006002D4" w:rsidRPr="00961B83" w:rsidRDefault="00B80A0F">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241</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360B460B" w14:textId="0EC6EA79" w:rsidR="006002D4" w:rsidRPr="00961B83" w:rsidRDefault="00B80A0F" w:rsidP="00B80A0F">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92.7</w:t>
            </w:r>
          </w:p>
        </w:tc>
      </w:tr>
      <w:tr w:rsidR="006002D4" w14:paraId="7DFAB25E" w14:textId="77777777" w:rsidTr="0085070B">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FFE717F" w14:textId="4C5E7A89"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Dishwashers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4DBB8"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513</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657DFFBA"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502</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2DC87344" w14:textId="77777777" w:rsidR="006002D4" w:rsidRPr="00961B83" w:rsidRDefault="006002D4">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97.8</w:t>
            </w:r>
          </w:p>
        </w:tc>
      </w:tr>
      <w:tr w:rsidR="006002D4" w14:paraId="4857EE04" w14:textId="77777777" w:rsidTr="0085070B">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599C8F8" w14:textId="60D34E2D"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Household Refrigerators/Freezers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F9FA5" w14:textId="56FBA93E" w:rsidR="006002D4" w:rsidRPr="00961B83" w:rsidRDefault="00961B83" w:rsidP="00961B83">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1536</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D5C56B5" w14:textId="174084BC" w:rsidR="006002D4" w:rsidRPr="00961B83" w:rsidRDefault="00961B83">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1499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A772874" w14:textId="5A58F2B0" w:rsidR="006002D4" w:rsidRPr="00961B83" w:rsidRDefault="006002D4" w:rsidP="00961B83">
            <w:pPr>
              <w:spacing w:before="100" w:beforeAutospacing="1" w:after="100" w:afterAutospacing="1"/>
              <w:jc w:val="right"/>
              <w:rPr>
                <w:rFonts w:ascii="Arial" w:hAnsi="Arial" w:cs="Arial"/>
                <w:color w:val="000000"/>
                <w:sz w:val="20"/>
                <w:szCs w:val="20"/>
              </w:rPr>
            </w:pPr>
            <w:r w:rsidRPr="00961B83">
              <w:rPr>
                <w:rFonts w:ascii="Arial" w:hAnsi="Arial" w:cs="Arial"/>
                <w:color w:val="000000"/>
                <w:sz w:val="20"/>
                <w:szCs w:val="20"/>
              </w:rPr>
              <w:t>97.</w:t>
            </w:r>
            <w:r w:rsidR="00961B83" w:rsidRPr="00961B83">
              <w:rPr>
                <w:rFonts w:ascii="Arial" w:hAnsi="Arial" w:cs="Arial"/>
                <w:color w:val="000000"/>
                <w:sz w:val="20"/>
                <w:szCs w:val="20"/>
              </w:rPr>
              <w:t>6</w:t>
            </w:r>
          </w:p>
        </w:tc>
      </w:tr>
      <w:tr w:rsidR="006002D4" w14:paraId="3EC82AAC" w14:textId="77777777" w:rsidTr="0085070B">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052DD4D" w14:textId="13E7B7EB" w:rsidR="006002D4" w:rsidRDefault="006002D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Televisions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0C89C" w14:textId="77777777" w:rsidR="006002D4" w:rsidRPr="00961B83" w:rsidRDefault="006002D4">
            <w:pPr>
              <w:spacing w:before="100" w:beforeAutospacing="1" w:after="100" w:afterAutospacing="1" w:line="240" w:lineRule="auto"/>
              <w:jc w:val="right"/>
              <w:rPr>
                <w:rFonts w:ascii="Arial" w:eastAsia="Times New Roman" w:hAnsi="Arial" w:cs="Arial"/>
                <w:color w:val="000000"/>
                <w:sz w:val="20"/>
                <w:szCs w:val="20"/>
              </w:rPr>
            </w:pPr>
            <w:r w:rsidRPr="00961B83">
              <w:rPr>
                <w:rFonts w:ascii="Arial" w:eastAsia="Times New Roman" w:hAnsi="Arial" w:cs="Arial"/>
                <w:color w:val="000000"/>
                <w:sz w:val="20"/>
                <w:szCs w:val="20"/>
              </w:rPr>
              <w:t>422</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71CE967" w14:textId="77777777" w:rsidR="006002D4" w:rsidRPr="00961B83" w:rsidRDefault="006002D4">
            <w:pPr>
              <w:spacing w:before="100" w:beforeAutospacing="1" w:after="100" w:afterAutospacing="1" w:line="240" w:lineRule="auto"/>
              <w:jc w:val="right"/>
              <w:rPr>
                <w:rFonts w:ascii="Arial" w:eastAsia="Times New Roman" w:hAnsi="Arial" w:cs="Arial"/>
                <w:color w:val="000000"/>
                <w:sz w:val="20"/>
                <w:szCs w:val="20"/>
              </w:rPr>
            </w:pPr>
            <w:r w:rsidRPr="00961B83">
              <w:rPr>
                <w:rFonts w:ascii="Arial" w:eastAsia="Times New Roman" w:hAnsi="Arial" w:cs="Arial"/>
                <w:color w:val="000000"/>
                <w:sz w:val="20"/>
                <w:szCs w:val="20"/>
              </w:rPr>
              <w:t>410</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B33015E" w14:textId="77777777" w:rsidR="006002D4" w:rsidRPr="00961B83" w:rsidRDefault="006002D4">
            <w:pPr>
              <w:spacing w:before="100" w:beforeAutospacing="1" w:after="100" w:afterAutospacing="1" w:line="240" w:lineRule="auto"/>
              <w:jc w:val="right"/>
              <w:rPr>
                <w:rFonts w:ascii="Arial" w:eastAsia="Times New Roman" w:hAnsi="Arial" w:cs="Arial"/>
                <w:color w:val="000000"/>
                <w:sz w:val="20"/>
                <w:szCs w:val="20"/>
              </w:rPr>
            </w:pPr>
            <w:r w:rsidRPr="00961B83">
              <w:rPr>
                <w:rFonts w:ascii="Arial" w:eastAsia="Times New Roman" w:hAnsi="Arial" w:cs="Arial"/>
                <w:color w:val="000000"/>
                <w:sz w:val="20"/>
                <w:szCs w:val="20"/>
              </w:rPr>
              <w:t>97.1</w:t>
            </w:r>
          </w:p>
        </w:tc>
      </w:tr>
      <w:tr w:rsidR="000D713E" w14:paraId="48D07A5B" w14:textId="77777777" w:rsidTr="000D713E">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57" w14:textId="77777777" w:rsidR="000D713E" w:rsidRDefault="000D713E">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TOTAL</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hideMark/>
          </w:tcPr>
          <w:p w14:paraId="48D07A58" w14:textId="4259474D" w:rsidR="000D713E" w:rsidRPr="00961B83" w:rsidRDefault="006002D4" w:rsidP="00B80A0F">
            <w:pPr>
              <w:spacing w:before="100" w:beforeAutospacing="1" w:after="100" w:afterAutospacing="1" w:line="240" w:lineRule="auto"/>
              <w:jc w:val="right"/>
              <w:rPr>
                <w:rFonts w:ascii="Arial" w:eastAsia="Times New Roman" w:hAnsi="Arial" w:cs="Arial"/>
                <w:b/>
                <w:sz w:val="20"/>
                <w:szCs w:val="20"/>
              </w:rPr>
            </w:pPr>
            <w:r w:rsidRPr="00961B83">
              <w:rPr>
                <w:rFonts w:ascii="Arial" w:eastAsia="Times New Roman" w:hAnsi="Arial" w:cs="Arial"/>
                <w:b/>
                <w:sz w:val="20"/>
                <w:szCs w:val="20"/>
              </w:rPr>
              <w:t>4</w:t>
            </w:r>
            <w:r w:rsidR="00961B83" w:rsidRPr="00961B83">
              <w:rPr>
                <w:rFonts w:ascii="Arial" w:eastAsia="Times New Roman" w:hAnsi="Arial" w:cs="Arial"/>
                <w:b/>
                <w:sz w:val="20"/>
                <w:szCs w:val="20"/>
              </w:rPr>
              <w:t>33</w:t>
            </w:r>
            <w:r w:rsidR="00B80A0F">
              <w:rPr>
                <w:rFonts w:ascii="Arial" w:eastAsia="Times New Roman" w:hAnsi="Arial" w:cs="Arial"/>
                <w:b/>
                <w:sz w:val="20"/>
                <w:szCs w:val="20"/>
              </w:rPr>
              <w:t>7</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59" w14:textId="193BDABB" w:rsidR="000D713E" w:rsidRPr="00961B83" w:rsidRDefault="00DB766D" w:rsidP="00961B83">
            <w:pPr>
              <w:spacing w:before="100" w:beforeAutospacing="1" w:after="100" w:afterAutospacing="1" w:line="240" w:lineRule="auto"/>
              <w:jc w:val="right"/>
              <w:rPr>
                <w:rFonts w:ascii="Arial" w:eastAsia="Times New Roman" w:hAnsi="Arial" w:cs="Arial"/>
                <w:b/>
                <w:sz w:val="20"/>
                <w:szCs w:val="20"/>
              </w:rPr>
            </w:pPr>
            <w:r w:rsidRPr="00961B83">
              <w:rPr>
                <w:rFonts w:ascii="Arial" w:eastAsia="Times New Roman" w:hAnsi="Arial" w:cs="Arial"/>
                <w:b/>
                <w:sz w:val="20"/>
                <w:szCs w:val="20"/>
              </w:rPr>
              <w:t>4</w:t>
            </w:r>
            <w:r w:rsidR="00961B83" w:rsidRPr="00961B83">
              <w:rPr>
                <w:rFonts w:ascii="Arial" w:eastAsia="Times New Roman" w:hAnsi="Arial" w:cs="Arial"/>
                <w:b/>
                <w:sz w:val="20"/>
                <w:szCs w:val="20"/>
              </w:rPr>
              <w:t>2</w:t>
            </w:r>
            <w:r w:rsidRPr="00961B83">
              <w:rPr>
                <w:rFonts w:ascii="Arial" w:eastAsia="Times New Roman" w:hAnsi="Arial" w:cs="Arial"/>
                <w:b/>
                <w:sz w:val="20"/>
                <w:szCs w:val="20"/>
              </w:rPr>
              <w:t>3</w:t>
            </w:r>
            <w:r w:rsidR="00B80A0F">
              <w:rPr>
                <w:rFonts w:ascii="Arial" w:eastAsia="Times New Roman" w:hAnsi="Arial" w:cs="Arial"/>
                <w:b/>
                <w:sz w:val="20"/>
                <w:szCs w:val="20"/>
              </w:rPr>
              <w:t>7</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5A" w14:textId="50DE5ECD" w:rsidR="000D713E" w:rsidRPr="00961B83" w:rsidRDefault="00B80A0F" w:rsidP="00DB766D">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97.7</w:t>
            </w:r>
          </w:p>
        </w:tc>
      </w:tr>
    </w:tbl>
    <w:p w14:paraId="48D07A5C" w14:textId="77777777" w:rsidR="000D713E" w:rsidRDefault="000D713E" w:rsidP="009819A2"/>
    <w:p w14:paraId="48D07A5D" w14:textId="452AF8F3" w:rsidR="00225206" w:rsidRPr="00E81C7D" w:rsidRDefault="003304AA" w:rsidP="00BE4BD8">
      <w:pPr>
        <w:pStyle w:val="BodyText1"/>
      </w:pPr>
      <w:r>
        <w:t>T</w:t>
      </w:r>
      <w:r w:rsidR="00AB5AF5">
        <w:t xml:space="preserve">he </w:t>
      </w:r>
      <w:r w:rsidR="00225206" w:rsidRPr="00E81C7D">
        <w:t>2017</w:t>
      </w:r>
      <w:r w:rsidR="00225206">
        <w:t>–</w:t>
      </w:r>
      <w:r w:rsidR="00225206" w:rsidRPr="00E81C7D">
        <w:t>18 year shows a</w:t>
      </w:r>
      <w:r w:rsidR="00225206">
        <w:t xml:space="preserve"> slight increase overall in registration compliance, with the greatest improvement in computer monitors. </w:t>
      </w:r>
      <w:r w:rsidR="00545D02">
        <w:t xml:space="preserve">Computer </w:t>
      </w:r>
      <w:r w:rsidR="00AA5D1D">
        <w:t>m</w:t>
      </w:r>
      <w:r w:rsidR="00545D02">
        <w:t>onitor compliance incr</w:t>
      </w:r>
      <w:r w:rsidR="00B80A0F">
        <w:t>eased from 86.3 per cent to 92.7</w:t>
      </w:r>
      <w:r w:rsidR="00545D02">
        <w:t xml:space="preserve"> per cent</w:t>
      </w:r>
      <w:r w:rsidR="00225206">
        <w:t xml:space="preserve"> as a result of </w:t>
      </w:r>
      <w:r w:rsidR="00225206" w:rsidRPr="00E81C7D">
        <w:t>active enforceme</w:t>
      </w:r>
      <w:r w:rsidR="00AA5D1D">
        <w:t xml:space="preserve">nt action and engagement with </w:t>
      </w:r>
      <w:r w:rsidR="00225206" w:rsidRPr="00E81C7D">
        <w:t>supplier</w:t>
      </w:r>
      <w:r w:rsidR="00545D02">
        <w:t>s.</w:t>
      </w:r>
      <w:r w:rsidR="00225206" w:rsidRPr="00E81C7D">
        <w:t xml:space="preserve"> </w:t>
      </w:r>
    </w:p>
    <w:p w14:paraId="48D07A5E" w14:textId="462AA90B" w:rsidR="00225206" w:rsidRDefault="00DB766D" w:rsidP="00982A23">
      <w:pPr>
        <w:pStyle w:val="BodyText1"/>
      </w:pPr>
      <w:r>
        <w:t>Other notable</w:t>
      </w:r>
      <w:r w:rsidR="00225206" w:rsidRPr="00E81C7D">
        <w:t xml:space="preserve"> improvements</w:t>
      </w:r>
      <w:r>
        <w:t xml:space="preserve"> were</w:t>
      </w:r>
      <w:r w:rsidR="00225206" w:rsidRPr="00E81C7D">
        <w:t xml:space="preserve"> in the rate of regist</w:t>
      </w:r>
      <w:r w:rsidR="00225206">
        <w:t xml:space="preserve">ration compliance </w:t>
      </w:r>
      <w:r>
        <w:t>for</w:t>
      </w:r>
      <w:r w:rsidR="00225206">
        <w:t xml:space="preserve"> air conditioners</w:t>
      </w:r>
      <w:r>
        <w:t xml:space="preserve"> (93</w:t>
      </w:r>
      <w:r w:rsidR="003304AA">
        <w:t xml:space="preserve"> per cent</w:t>
      </w:r>
      <w:r>
        <w:t xml:space="preserve"> in 2016</w:t>
      </w:r>
      <w:r w:rsidR="0088274E">
        <w:t>–</w:t>
      </w:r>
      <w:r>
        <w:t>17) and household refrigerators/freezers (96.3</w:t>
      </w:r>
      <w:r w:rsidR="00982A23">
        <w:t xml:space="preserve"> </w:t>
      </w:r>
      <w:r w:rsidR="003304AA">
        <w:t>per cent</w:t>
      </w:r>
      <w:r>
        <w:t xml:space="preserve"> in 2016</w:t>
      </w:r>
      <w:r w:rsidR="0088274E">
        <w:t>–</w:t>
      </w:r>
      <w:r w:rsidR="00CA136C">
        <w:t xml:space="preserve">17). </w:t>
      </w:r>
      <w:r>
        <w:t xml:space="preserve">The remainder of the products maintained their high registration compliance rates from previous years.  </w:t>
      </w:r>
    </w:p>
    <w:p w14:paraId="48D07A5F" w14:textId="77777777" w:rsidR="006674D1" w:rsidRPr="000F5BF5" w:rsidRDefault="006674D1" w:rsidP="000F5BF5">
      <w:pPr>
        <w:pStyle w:val="Heading2"/>
      </w:pPr>
      <w:r w:rsidRPr="000F5BF5">
        <w:lastRenderedPageBreak/>
        <w:t>Unregistered</w:t>
      </w:r>
    </w:p>
    <w:p w14:paraId="29DD0C41" w14:textId="5A0781F8" w:rsidR="00CA136C" w:rsidRDefault="00CA136C" w:rsidP="006002D4">
      <w:pPr>
        <w:pStyle w:val="BodyText1"/>
      </w:pPr>
      <w:r>
        <w:t xml:space="preserve">GEMS inspectors were unable to identify the registration status of 31 products </w:t>
      </w:r>
      <w:r w:rsidR="00815922">
        <w:t xml:space="preserve">due to the poor quality of photographs </w:t>
      </w:r>
      <w:r>
        <w:t>take</w:t>
      </w:r>
      <w:r w:rsidR="00815922">
        <w:t>n during store surveys.</w:t>
      </w:r>
    </w:p>
    <w:p w14:paraId="342FCB50" w14:textId="40BD21D8" w:rsidR="00982A23" w:rsidRDefault="006002D4" w:rsidP="006002D4">
      <w:pPr>
        <w:pStyle w:val="BodyText1"/>
      </w:pPr>
      <w:r>
        <w:t xml:space="preserve">A further 71 products </w:t>
      </w:r>
      <w:r w:rsidR="00815922">
        <w:t>did</w:t>
      </w:r>
      <w:r>
        <w:t xml:space="preserve"> not hold ‘Approved’ registrations; 27 </w:t>
      </w:r>
      <w:r w:rsidR="00811607">
        <w:t xml:space="preserve">were </w:t>
      </w:r>
      <w:r>
        <w:t>expired registrations and 44 had never been registered.</w:t>
      </w:r>
    </w:p>
    <w:tbl>
      <w:tblPr>
        <w:tblW w:w="92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product registration status."/>
        <w:tblDescription w:val="This table shows the number of products and their registration status at the time of the market surveillance."/>
      </w:tblPr>
      <w:tblGrid>
        <w:gridCol w:w="3256"/>
        <w:gridCol w:w="1134"/>
        <w:gridCol w:w="1170"/>
        <w:gridCol w:w="950"/>
        <w:gridCol w:w="1242"/>
        <w:gridCol w:w="1450"/>
      </w:tblGrid>
      <w:tr w:rsidR="00FD3D67" w14:paraId="360330F9" w14:textId="77777777" w:rsidTr="00951563">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5242C069" w14:textId="77777777" w:rsidR="00FD3D67" w:rsidRDefault="00FD3D67" w:rsidP="002639E3">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GEMS Product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hideMark/>
          </w:tcPr>
          <w:p w14:paraId="65DC4FD6" w14:textId="77777777" w:rsidR="00FD3D67" w:rsidRDefault="00FD3D67"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Total number captured</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FEFC0D3" w14:textId="77777777" w:rsidR="00FD3D67" w:rsidRDefault="00FD3D67"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Number Approved</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3BC530B3" w14:textId="77777777" w:rsidR="00FD3D67" w:rsidRDefault="00FD3D67"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Expired</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16EA18E6" w14:textId="77777777" w:rsidR="00FD3D67" w:rsidRDefault="00FD3D67"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Unable to Identify</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2DC9E92D" w14:textId="77777777" w:rsidR="00FD3D67" w:rsidRDefault="00FD3D67"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Unregistered</w:t>
            </w:r>
          </w:p>
        </w:tc>
      </w:tr>
      <w:tr w:rsidR="00FD3D67" w14:paraId="5A159F72"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48E3D8A" w14:textId="77777777" w:rsidR="00FD3D67" w:rsidRDefault="00FD3D67" w:rsidP="002639E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Air Conditioners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DB9E9D"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318</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3760D1D1"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309</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5DFE2B"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C76C9"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4</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295DB94" w14:textId="0E4A3127"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r>
      <w:tr w:rsidR="00FD3D67" w14:paraId="20E9120D"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A92BAB9" w14:textId="77777777" w:rsidR="00FD3D67" w:rsidRDefault="00FD3D67" w:rsidP="002639E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Clothes Dryers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20AAC"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340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61303C8D"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338</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FE5C9"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F0D76" w14:textId="5C7ACF64"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0643F9D"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w:t>
            </w:r>
          </w:p>
        </w:tc>
      </w:tr>
      <w:tr w:rsidR="00FD3D67" w14:paraId="2D4B2B28"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866300D" w14:textId="6D53B70D" w:rsidR="00FD3D67" w:rsidRDefault="006F5442" w:rsidP="006F5442">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Clothes Washers/Dryers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E34D7"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36</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A4E1F4F"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35</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13CF46"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038567" w14:textId="713F2EBF"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B217325"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w:t>
            </w:r>
          </w:p>
        </w:tc>
      </w:tr>
      <w:tr w:rsidR="00FD3D67" w14:paraId="09D9E578"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7C379C5" w14:textId="77777777" w:rsidR="00FD3D67" w:rsidRDefault="00FD3D67" w:rsidP="002639E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Clothes Washing Machines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23450B"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912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211CA5F8"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903</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7CEF1"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4</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AE811" w14:textId="243E6065"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75598F5"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w:t>
            </w:r>
          </w:p>
        </w:tc>
      </w:tr>
      <w:tr w:rsidR="00FD3D67" w14:paraId="69CAB7E5"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744E6BE" w14:textId="77777777" w:rsidR="00FD3D67" w:rsidRDefault="00FD3D67" w:rsidP="002639E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Computer Monitors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54B8B3" w14:textId="435B8E16" w:rsidR="00FD3D67" w:rsidRDefault="00B80A0F"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260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23E9547" w14:textId="0EC6B62F" w:rsidR="00FD3D67" w:rsidRDefault="00B80A0F"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241</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18E25" w14:textId="44FA6914"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71AF9" w14:textId="55E4E335"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11</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302B447" w14:textId="2E27BC37" w:rsidR="00FD3D67" w:rsidRDefault="00B80A0F" w:rsidP="00961B8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8</w:t>
            </w:r>
          </w:p>
        </w:tc>
      </w:tr>
      <w:tr w:rsidR="00FD3D67" w14:paraId="151A6F87"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0FDBD8F" w14:textId="77777777" w:rsidR="00FD3D67" w:rsidRDefault="00FD3D67" w:rsidP="002639E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Dishwashers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DE9F8"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513</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AE5B2D3"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502</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A196C"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7E3D18"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CFA9B08"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w:t>
            </w:r>
          </w:p>
        </w:tc>
      </w:tr>
      <w:tr w:rsidR="00FD3D67" w14:paraId="1613F8C7"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2355DEB" w14:textId="26EC5081" w:rsidR="00FD3D67" w:rsidRDefault="00FD3D67" w:rsidP="0095156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Household Refrigerators/</w:t>
            </w:r>
            <w:r w:rsidR="00951563">
              <w:rPr>
                <w:rFonts w:ascii="Arial" w:eastAsia="Times New Roman" w:hAnsi="Arial" w:cs="Arial"/>
                <w:color w:val="000000"/>
                <w:sz w:val="20"/>
                <w:szCs w:val="20"/>
              </w:rPr>
              <w:t>Freezers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0CBF9" w14:textId="6E0CB5F8"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1536</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07DF3DC" w14:textId="78F38AC2" w:rsidR="00FD3D67" w:rsidRDefault="00961B83"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1499</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1280D"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13</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A2821"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19256AC" w14:textId="77777777" w:rsidR="00FD3D67" w:rsidRDefault="00FD3D67" w:rsidP="002639E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21</w:t>
            </w:r>
          </w:p>
        </w:tc>
      </w:tr>
      <w:tr w:rsidR="00FD3D67" w14:paraId="404A7912" w14:textId="77777777" w:rsidTr="00951563">
        <w:trPr>
          <w:trHeight w:val="266"/>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73B9A2D" w14:textId="77777777" w:rsidR="00FD3D67" w:rsidRDefault="00FD3D67" w:rsidP="002639E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Televisions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966672" w14:textId="77777777" w:rsidR="00FD3D67" w:rsidRDefault="00FD3D67" w:rsidP="002639E3">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422</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8E502CB" w14:textId="77777777" w:rsidR="00FD3D67" w:rsidRDefault="00FD3D67" w:rsidP="002639E3">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410</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A92EB8" w14:textId="47E449EB" w:rsidR="00FD3D67" w:rsidRDefault="00961B83" w:rsidP="002639E3">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71FDD1" w14:textId="77777777" w:rsidR="00FD3D67" w:rsidRDefault="00FD3D67" w:rsidP="002639E3">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52324E0" w14:textId="77777777" w:rsidR="00FD3D67" w:rsidRDefault="00FD3D67" w:rsidP="002639E3">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w:t>
            </w:r>
          </w:p>
        </w:tc>
      </w:tr>
      <w:tr w:rsidR="00FD3D67" w14:paraId="707F0671" w14:textId="77777777" w:rsidTr="00951563">
        <w:trPr>
          <w:trHeight w:val="265"/>
        </w:trPr>
        <w:tc>
          <w:tcPr>
            <w:tcW w:w="32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11ACD854" w14:textId="77777777" w:rsidR="00FD3D67" w:rsidRDefault="00FD3D67" w:rsidP="002639E3">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TOTAL</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hideMark/>
          </w:tcPr>
          <w:p w14:paraId="2EF3C690" w14:textId="49AAFF20" w:rsidR="00FD3D67" w:rsidRDefault="00FD3D67" w:rsidP="00961B8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4</w:t>
            </w:r>
            <w:r w:rsidR="00961B83">
              <w:rPr>
                <w:rFonts w:ascii="Arial" w:eastAsia="Times New Roman" w:hAnsi="Arial" w:cs="Arial"/>
                <w:b/>
                <w:sz w:val="20"/>
                <w:szCs w:val="20"/>
              </w:rPr>
              <w:t>338</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5915570E" w14:textId="6F9A169C" w:rsidR="00FD3D67" w:rsidRDefault="00FD3D67" w:rsidP="00961B8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4</w:t>
            </w:r>
            <w:r w:rsidR="00B80A0F">
              <w:rPr>
                <w:rFonts w:ascii="Arial" w:eastAsia="Times New Roman" w:hAnsi="Arial" w:cs="Arial"/>
                <w:b/>
                <w:sz w:val="20"/>
                <w:szCs w:val="20"/>
              </w:rPr>
              <w:t>237</w:t>
            </w:r>
          </w:p>
        </w:t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22B99EA3" w14:textId="77777777" w:rsidR="00FD3D67" w:rsidRDefault="00FD3D67"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27</w:t>
            </w:r>
          </w:p>
        </w:tc>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60791EE" w14:textId="47281EF8" w:rsidR="00FD3D67" w:rsidRDefault="00961B83" w:rsidP="002639E3">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31</w:t>
            </w:r>
          </w:p>
        </w:tc>
        <w:tc>
          <w:tcPr>
            <w:tcW w:w="1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2B763293" w14:textId="79BE7424" w:rsidR="00FD3D67" w:rsidRDefault="00961B83" w:rsidP="00B80A0F">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4</w:t>
            </w:r>
            <w:r w:rsidR="00B80A0F">
              <w:rPr>
                <w:rFonts w:ascii="Arial" w:eastAsia="Times New Roman" w:hAnsi="Arial" w:cs="Arial"/>
                <w:b/>
                <w:sz w:val="20"/>
                <w:szCs w:val="20"/>
              </w:rPr>
              <w:t>2</w:t>
            </w:r>
          </w:p>
        </w:tc>
      </w:tr>
    </w:tbl>
    <w:p w14:paraId="4C028229" w14:textId="77777777" w:rsidR="00FD3D67" w:rsidRDefault="00FD3D67" w:rsidP="006002D4">
      <w:pPr>
        <w:pStyle w:val="BodyText1"/>
      </w:pPr>
    </w:p>
    <w:p w14:paraId="48D07A64" w14:textId="0C8FB65F" w:rsidR="006674D1" w:rsidRPr="000F5BF5" w:rsidRDefault="006674D1" w:rsidP="000F5BF5">
      <w:pPr>
        <w:pStyle w:val="Heading2"/>
      </w:pPr>
      <w:r w:rsidRPr="000F5BF5">
        <w:t>Correctly Labelled</w:t>
      </w:r>
      <w:bookmarkStart w:id="0" w:name="_GoBack"/>
      <w:bookmarkEnd w:id="0"/>
    </w:p>
    <w:p w14:paraId="48D07A65" w14:textId="724FCDD4" w:rsidR="00C53110" w:rsidRDefault="00C53110" w:rsidP="00CB569E">
      <w:pPr>
        <w:pStyle w:val="BodyText1"/>
      </w:pPr>
      <w:r>
        <w:t>The result from market surveillance for 2017</w:t>
      </w:r>
      <w:r w:rsidR="0088274E">
        <w:t>–</w:t>
      </w:r>
      <w:r>
        <w:t xml:space="preserve">18 showed an overall </w:t>
      </w:r>
      <w:r w:rsidR="009664EE">
        <w:t>ERL</w:t>
      </w:r>
      <w:r>
        <w:t xml:space="preserve"> compliance rate of 89</w:t>
      </w:r>
      <w:r w:rsidR="0088274E">
        <w:t xml:space="preserve"> per cent.  </w:t>
      </w:r>
      <w:r>
        <w:t>This is a significant improvement on 2016</w:t>
      </w:r>
      <w:r w:rsidR="0088274E">
        <w:t>–</w:t>
      </w:r>
      <w:r>
        <w:t>17 which saw a compliance rate of only 77.3</w:t>
      </w:r>
      <w:r w:rsidR="0088274E">
        <w:t xml:space="preserve"> per cent. </w:t>
      </w:r>
    </w:p>
    <w:p w14:paraId="48D07A66" w14:textId="77777777" w:rsidR="006674D1" w:rsidRPr="000F5BF5" w:rsidRDefault="006674D1" w:rsidP="000F5BF5">
      <w:pPr>
        <w:pStyle w:val="Heading2"/>
      </w:pPr>
      <w:r w:rsidRPr="000F5BF5">
        <w:t>Labelling Issues</w:t>
      </w:r>
    </w:p>
    <w:p w14:paraId="48D07A67" w14:textId="77777777" w:rsidR="006674D1" w:rsidRDefault="00C53110" w:rsidP="00CB569E">
      <w:pPr>
        <w:pStyle w:val="BodyText1"/>
      </w:pPr>
      <w:r>
        <w:t>Issues with labelling that were identified this financial year included damaged labels, incorrect</w:t>
      </w:r>
      <w:r w:rsidR="00F54D48">
        <w:t xml:space="preserve"> or wrong</w:t>
      </w:r>
      <w:r>
        <w:t xml:space="preserve"> labels, obscured labels, wrong labels on products and products without labels.</w:t>
      </w:r>
    </w:p>
    <w:tbl>
      <w:tblPr>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labelling non-compliance results."/>
        <w:tblDescription w:val="This table shows the type and number of labelling non-compliances for each GEMS product at the time of the market surveillance."/>
      </w:tblPr>
      <w:tblGrid>
        <w:gridCol w:w="3398"/>
        <w:gridCol w:w="1559"/>
        <w:gridCol w:w="1559"/>
        <w:gridCol w:w="1276"/>
        <w:gridCol w:w="1417"/>
      </w:tblGrid>
      <w:tr w:rsidR="00F54D48" w14:paraId="48D07A6D" w14:textId="77777777" w:rsidTr="009F36D0">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68" w14:textId="77777777" w:rsidR="00F54D48" w:rsidRDefault="00F54D48" w:rsidP="00AD1800">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GEMS Product</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hideMark/>
          </w:tcPr>
          <w:p w14:paraId="48D07A69" w14:textId="77777777" w:rsidR="00F54D48" w:rsidRDefault="00F54D48"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Damaged Label</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6A" w14:textId="77777777" w:rsidR="00F54D48" w:rsidRDefault="00F54D48"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Obscured Label</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8D07A6B" w14:textId="77777777" w:rsidR="00F54D48" w:rsidRDefault="00F54D48"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Wrong Label</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8D07A6C" w14:textId="77777777" w:rsidR="00F54D48" w:rsidRDefault="00F54D48"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No Label</w:t>
            </w:r>
          </w:p>
        </w:tc>
      </w:tr>
      <w:tr w:rsidR="006F5442" w14:paraId="7E4641CC" w14:textId="77777777" w:rsidTr="009F36D0">
        <w:trPr>
          <w:trHeight w:val="264"/>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6D0D907" w14:textId="2C74DE0C" w:rsidR="006F5442" w:rsidRDefault="006F5442" w:rsidP="0095156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Air </w:t>
            </w:r>
            <w:r w:rsidR="00951563">
              <w:rPr>
                <w:rFonts w:ascii="Arial" w:eastAsia="Times New Roman" w:hAnsi="Arial" w:cs="Arial"/>
                <w:color w:val="000000"/>
                <w:sz w:val="20"/>
                <w:szCs w:val="20"/>
              </w:rPr>
              <w:t>C</w:t>
            </w:r>
            <w:r>
              <w:rPr>
                <w:rFonts w:ascii="Arial" w:eastAsia="Times New Roman" w:hAnsi="Arial" w:cs="Arial"/>
                <w:color w:val="000000"/>
                <w:sz w:val="20"/>
                <w:szCs w:val="20"/>
              </w:rPr>
              <w:t>onditioner</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22BA2F"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304D7258"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286892"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407144"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95</w:t>
            </w:r>
          </w:p>
        </w:tc>
      </w:tr>
      <w:tr w:rsidR="006F5442" w14:paraId="484E89FD" w14:textId="77777777" w:rsidTr="009F36D0">
        <w:trPr>
          <w:trHeight w:val="264"/>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857384D" w14:textId="307ED632" w:rsidR="006F5442" w:rsidRDefault="006F5442" w:rsidP="00AD180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Clothes Dryer</w:t>
            </w:r>
            <w:r w:rsidR="00951563">
              <w:rPr>
                <w:rFonts w:ascii="Arial" w:eastAsia="Times New Roman" w:hAnsi="Arial" w:cs="Arial"/>
                <w:color w:val="000000"/>
                <w:sz w:val="20"/>
                <w:szCs w:val="20"/>
              </w:rPr>
              <w:t>s</w:t>
            </w:r>
            <w:r>
              <w:rPr>
                <w:rFonts w:ascii="Arial" w:eastAsia="Times New Roman" w:hAnsi="Arial" w:cs="Arial"/>
                <w:color w:val="000000"/>
                <w:sz w:val="20"/>
                <w:szCs w:val="20"/>
              </w:rPr>
              <w:t xml:space="preserve"> </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17D24A"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7</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2DEB4570"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3AA89"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2233D"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w:t>
            </w:r>
          </w:p>
        </w:tc>
      </w:tr>
      <w:tr w:rsidR="006F5442" w14:paraId="413367C8" w14:textId="77777777" w:rsidTr="009F36D0">
        <w:trPr>
          <w:trHeight w:val="264"/>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8109CE9" w14:textId="77777777" w:rsidR="006F5442" w:rsidRDefault="006F5442" w:rsidP="00C5311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Clothes Washers/Dryers </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03CA3" w14:textId="4D106657" w:rsidR="006F5442" w:rsidRDefault="00961B83"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702F037"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C62DE6" w14:textId="76821F22" w:rsidR="006F5442" w:rsidRDefault="00961B83"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DB9016"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w:t>
            </w:r>
          </w:p>
        </w:tc>
      </w:tr>
      <w:tr w:rsidR="006F5442" w14:paraId="06A60BD7" w14:textId="77777777" w:rsidTr="009F36D0">
        <w:trPr>
          <w:trHeight w:val="265"/>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C214642" w14:textId="77777777" w:rsidR="006F5442" w:rsidRDefault="006F5442" w:rsidP="00C5311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Clothes Washing Machines</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9153AD" w14:textId="7A983AC5" w:rsidR="006F5442" w:rsidRDefault="00F51947"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943FDE0" w14:textId="3D13820A" w:rsidR="006F5442" w:rsidRDefault="00F51947"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40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6F2EAE" w14:textId="14E96744" w:rsidR="006F5442" w:rsidRDefault="00961B83"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5E7473"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19</w:t>
            </w:r>
          </w:p>
        </w:tc>
      </w:tr>
      <w:tr w:rsidR="006F5442" w14:paraId="756E6A60" w14:textId="77777777" w:rsidTr="009F36D0">
        <w:trPr>
          <w:trHeight w:val="264"/>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B20E317" w14:textId="77777777" w:rsidR="006F5442" w:rsidRDefault="006F5442" w:rsidP="00AD180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Computer Monitors</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B4B4BC" w14:textId="4C50F02F" w:rsidR="006F5442" w:rsidRDefault="00961B83" w:rsidP="00AD1800">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A865FCB" w14:textId="77777777" w:rsidR="006F5442" w:rsidRDefault="006F5442" w:rsidP="00AD1800">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5E43B" w14:textId="7A708CC3" w:rsidR="006F5442" w:rsidRDefault="00961B83" w:rsidP="00AD1800">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E1A472" w14:textId="77777777" w:rsidR="006F5442" w:rsidRDefault="006F5442" w:rsidP="00AD1800">
            <w:pPr>
              <w:spacing w:before="100" w:beforeAutospacing="1" w:after="100" w:afterAutospacing="1"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120</w:t>
            </w:r>
          </w:p>
        </w:tc>
      </w:tr>
      <w:tr w:rsidR="006F5442" w14:paraId="596304EC" w14:textId="77777777" w:rsidTr="009F36D0">
        <w:trPr>
          <w:trHeight w:val="265"/>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7F3D139" w14:textId="77777777" w:rsidR="006F5442" w:rsidRDefault="006F5442" w:rsidP="00AD180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Dishwashers</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AE445C"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17</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6B81504A"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29</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F2230A"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370FBA"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54</w:t>
            </w:r>
          </w:p>
        </w:tc>
      </w:tr>
      <w:tr w:rsidR="006F5442" w14:paraId="596D1D2D" w14:textId="77777777" w:rsidTr="009F36D0">
        <w:trPr>
          <w:trHeight w:val="264"/>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6C0ADF9" w14:textId="77777777" w:rsidR="006F5442" w:rsidRDefault="006F5442" w:rsidP="00AD180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Household Refrigerators/Freezers</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DEF3EF" w14:textId="307097D2"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10</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C4106CB" w14:textId="6A7D1320" w:rsidR="006F5442" w:rsidRDefault="00F51947"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141</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AE73F5"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36</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A37285"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68</w:t>
            </w:r>
          </w:p>
        </w:tc>
      </w:tr>
      <w:tr w:rsidR="006F5442" w14:paraId="705622C6" w14:textId="77777777" w:rsidTr="009F36D0">
        <w:trPr>
          <w:trHeight w:val="264"/>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A051E6A" w14:textId="77777777" w:rsidR="006F5442" w:rsidRDefault="006F5442" w:rsidP="00C53110">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Televisions</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CA4E5"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4</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FFEBD9A"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95</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BCCA08" w14:textId="7519222E" w:rsidR="006F5442" w:rsidRDefault="00961B83"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0</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F964E" w14:textId="77777777" w:rsidR="006F5442" w:rsidRDefault="006F5442" w:rsidP="00AD1800">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135</w:t>
            </w:r>
          </w:p>
        </w:tc>
      </w:tr>
      <w:tr w:rsidR="00F54D48" w14:paraId="48D07AA3" w14:textId="77777777" w:rsidTr="009F36D0">
        <w:trPr>
          <w:trHeight w:val="265"/>
        </w:trPr>
        <w:tc>
          <w:tcPr>
            <w:tcW w:w="3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9E" w14:textId="77777777" w:rsidR="00F54D48" w:rsidRDefault="00F54D48" w:rsidP="00AD1800">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sz w:val="20"/>
                <w:szCs w:val="20"/>
              </w:rPr>
              <w:t>TOTAL</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hideMark/>
          </w:tcPr>
          <w:p w14:paraId="48D07A9F" w14:textId="5B53A989" w:rsidR="00F54D48" w:rsidRDefault="00F51947" w:rsidP="00F51947">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46</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noWrap/>
            <w:hideMark/>
          </w:tcPr>
          <w:p w14:paraId="48D07AA0" w14:textId="339BD0BA" w:rsidR="00F54D48" w:rsidRDefault="00F51947"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340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8D07AA1" w14:textId="77777777" w:rsidR="00F54D48" w:rsidRDefault="00F54D48"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41</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8D07AA2" w14:textId="77777777" w:rsidR="00F54D48" w:rsidRDefault="00F54D48" w:rsidP="00AD1800">
            <w:pPr>
              <w:spacing w:before="100" w:beforeAutospacing="1" w:after="100" w:afterAutospacing="1" w:line="240" w:lineRule="auto"/>
              <w:jc w:val="right"/>
              <w:rPr>
                <w:rFonts w:ascii="Arial" w:eastAsia="Times New Roman" w:hAnsi="Arial" w:cs="Arial"/>
                <w:b/>
                <w:sz w:val="20"/>
                <w:szCs w:val="20"/>
              </w:rPr>
            </w:pPr>
            <w:r>
              <w:rPr>
                <w:rFonts w:ascii="Arial" w:eastAsia="Times New Roman" w:hAnsi="Arial" w:cs="Arial"/>
                <w:b/>
                <w:sz w:val="20"/>
                <w:szCs w:val="20"/>
              </w:rPr>
              <w:t>498</w:t>
            </w:r>
          </w:p>
        </w:tc>
      </w:tr>
    </w:tbl>
    <w:p w14:paraId="48D07AA4" w14:textId="77777777" w:rsidR="00C53110" w:rsidRDefault="00C53110" w:rsidP="00C53110"/>
    <w:p w14:paraId="48D07AA5" w14:textId="67593E92" w:rsidR="00F54D48" w:rsidRDefault="00951563" w:rsidP="00CB569E">
      <w:pPr>
        <w:pStyle w:val="BodyText1"/>
      </w:pPr>
      <w:r>
        <w:t xml:space="preserve">Notable </w:t>
      </w:r>
      <w:r w:rsidR="00D50AAE">
        <w:t>o</w:t>
      </w:r>
      <w:r w:rsidR="00FB486C">
        <w:t>bservations that relate to the labelling results</w:t>
      </w:r>
      <w:r w:rsidR="00F54D48">
        <w:t>:</w:t>
      </w:r>
    </w:p>
    <w:p w14:paraId="48D07AA8" w14:textId="4959F552" w:rsidR="00F54D48" w:rsidRPr="00FD3D67" w:rsidRDefault="00951563" w:rsidP="00FB486C">
      <w:pPr>
        <w:pStyle w:val="ListBullet"/>
        <w:rPr>
          <w:rFonts w:ascii="Arial" w:hAnsi="Arial" w:cs="Arial"/>
          <w:sz w:val="20"/>
          <w:szCs w:val="20"/>
        </w:rPr>
      </w:pPr>
      <w:r>
        <w:rPr>
          <w:rFonts w:ascii="Arial" w:hAnsi="Arial" w:cs="Arial"/>
          <w:sz w:val="20"/>
          <w:szCs w:val="20"/>
        </w:rPr>
        <w:t>ERLs</w:t>
      </w:r>
      <w:r w:rsidR="001B536F" w:rsidRPr="00FD3D67">
        <w:rPr>
          <w:rFonts w:ascii="Arial" w:hAnsi="Arial" w:cs="Arial"/>
          <w:sz w:val="20"/>
          <w:szCs w:val="20"/>
        </w:rPr>
        <w:t xml:space="preserve"> were most commonly obscured by barcodes used during stocktake</w:t>
      </w:r>
      <w:r w:rsidR="003304AA" w:rsidRPr="00FD3D67">
        <w:rPr>
          <w:rFonts w:ascii="Arial" w:hAnsi="Arial" w:cs="Arial"/>
          <w:sz w:val="20"/>
          <w:szCs w:val="20"/>
        </w:rPr>
        <w:t>,</w:t>
      </w:r>
      <w:r w:rsidR="00362113" w:rsidRPr="00FD3D67">
        <w:rPr>
          <w:rFonts w:ascii="Arial" w:hAnsi="Arial" w:cs="Arial"/>
          <w:sz w:val="20"/>
          <w:szCs w:val="20"/>
        </w:rPr>
        <w:t xml:space="preserve"> </w:t>
      </w:r>
      <w:r w:rsidR="001B536F" w:rsidRPr="00FD3D67">
        <w:rPr>
          <w:rFonts w:ascii="Arial" w:hAnsi="Arial" w:cs="Arial"/>
          <w:sz w:val="20"/>
          <w:szCs w:val="20"/>
        </w:rPr>
        <w:t>promotional material from the manufacturer</w:t>
      </w:r>
      <w:r w:rsidR="00F51947">
        <w:rPr>
          <w:rFonts w:ascii="Arial" w:hAnsi="Arial" w:cs="Arial"/>
          <w:sz w:val="20"/>
          <w:szCs w:val="20"/>
        </w:rPr>
        <w:t>, handwritten codes</w:t>
      </w:r>
      <w:r w:rsidR="00545D02">
        <w:rPr>
          <w:rFonts w:ascii="Arial" w:hAnsi="Arial" w:cs="Arial"/>
          <w:sz w:val="20"/>
          <w:szCs w:val="20"/>
        </w:rPr>
        <w:t xml:space="preserve"> on the ERL</w:t>
      </w:r>
      <w:r w:rsidR="001B536F" w:rsidRPr="00FD3D67">
        <w:rPr>
          <w:rFonts w:ascii="Arial" w:hAnsi="Arial" w:cs="Arial"/>
          <w:sz w:val="20"/>
          <w:szCs w:val="20"/>
        </w:rPr>
        <w:t xml:space="preserve"> or </w:t>
      </w:r>
      <w:r w:rsidR="003304AA" w:rsidRPr="00FD3D67">
        <w:rPr>
          <w:rFonts w:ascii="Arial" w:hAnsi="Arial" w:cs="Arial"/>
          <w:sz w:val="20"/>
          <w:szCs w:val="20"/>
        </w:rPr>
        <w:t>store pricing information</w:t>
      </w:r>
      <w:r w:rsidR="001B536F" w:rsidRPr="00FD3D67">
        <w:rPr>
          <w:rFonts w:ascii="Arial" w:hAnsi="Arial" w:cs="Arial"/>
          <w:sz w:val="20"/>
          <w:szCs w:val="20"/>
        </w:rPr>
        <w:t>.</w:t>
      </w:r>
    </w:p>
    <w:p w14:paraId="48D07AA9" w14:textId="61CF7F20" w:rsidR="0015491F" w:rsidRPr="00FD3D67" w:rsidRDefault="001B536F" w:rsidP="00FB486C">
      <w:pPr>
        <w:pStyle w:val="ListBullet"/>
        <w:rPr>
          <w:rFonts w:ascii="Arial" w:hAnsi="Arial" w:cs="Arial"/>
          <w:sz w:val="20"/>
          <w:szCs w:val="20"/>
        </w:rPr>
      </w:pPr>
      <w:r w:rsidRPr="00FD3D67">
        <w:rPr>
          <w:rFonts w:ascii="Arial" w:hAnsi="Arial" w:cs="Arial"/>
          <w:sz w:val="20"/>
          <w:szCs w:val="20"/>
        </w:rPr>
        <w:t>Four</w:t>
      </w:r>
      <w:r w:rsidR="00FB486C" w:rsidRPr="00FD3D67">
        <w:rPr>
          <w:rFonts w:ascii="Arial" w:hAnsi="Arial" w:cs="Arial"/>
          <w:sz w:val="20"/>
          <w:szCs w:val="20"/>
        </w:rPr>
        <w:t xml:space="preserve"> manufacturers were identified as having the wrong product designation on their </w:t>
      </w:r>
      <w:r w:rsidR="00951563">
        <w:rPr>
          <w:rFonts w:ascii="Arial" w:hAnsi="Arial" w:cs="Arial"/>
          <w:sz w:val="20"/>
          <w:szCs w:val="20"/>
        </w:rPr>
        <w:t>ERL</w:t>
      </w:r>
      <w:r w:rsidR="00FB486C" w:rsidRPr="00FD3D67">
        <w:rPr>
          <w:rFonts w:ascii="Arial" w:hAnsi="Arial" w:cs="Arial"/>
          <w:sz w:val="20"/>
          <w:szCs w:val="20"/>
        </w:rPr>
        <w:t>s.  The products were Refrigerator</w:t>
      </w:r>
      <w:r w:rsidR="00FD3D67">
        <w:rPr>
          <w:rFonts w:ascii="Arial" w:hAnsi="Arial" w:cs="Arial"/>
          <w:sz w:val="20"/>
          <w:szCs w:val="20"/>
        </w:rPr>
        <w:t>s</w:t>
      </w:r>
      <w:r w:rsidR="00FB486C" w:rsidRPr="00FD3D67">
        <w:rPr>
          <w:rFonts w:ascii="Arial" w:hAnsi="Arial" w:cs="Arial"/>
          <w:sz w:val="20"/>
          <w:szCs w:val="20"/>
        </w:rPr>
        <w:t xml:space="preserve">/Freezers </w:t>
      </w:r>
      <w:r w:rsidR="00C3782E">
        <w:rPr>
          <w:rFonts w:ascii="Arial" w:hAnsi="Arial" w:cs="Arial"/>
          <w:sz w:val="20"/>
          <w:szCs w:val="20"/>
        </w:rPr>
        <w:t>but</w:t>
      </w:r>
      <w:r w:rsidR="00C3782E" w:rsidRPr="00FD3D67">
        <w:rPr>
          <w:rFonts w:ascii="Arial" w:hAnsi="Arial" w:cs="Arial"/>
          <w:sz w:val="20"/>
          <w:szCs w:val="20"/>
        </w:rPr>
        <w:t xml:space="preserve"> </w:t>
      </w:r>
      <w:r w:rsidR="00FB486C" w:rsidRPr="00FD3D67">
        <w:rPr>
          <w:rFonts w:ascii="Arial" w:hAnsi="Arial" w:cs="Arial"/>
          <w:sz w:val="20"/>
          <w:szCs w:val="20"/>
        </w:rPr>
        <w:t xml:space="preserve">the designation on the </w:t>
      </w:r>
      <w:r w:rsidR="00C3782E">
        <w:rPr>
          <w:rFonts w:ascii="Arial" w:hAnsi="Arial" w:cs="Arial"/>
          <w:sz w:val="20"/>
          <w:szCs w:val="20"/>
        </w:rPr>
        <w:t>ERL</w:t>
      </w:r>
      <w:r w:rsidR="00FB486C" w:rsidRPr="00FD3D67">
        <w:rPr>
          <w:rFonts w:ascii="Arial" w:hAnsi="Arial" w:cs="Arial"/>
          <w:sz w:val="20"/>
          <w:szCs w:val="20"/>
        </w:rPr>
        <w:t xml:space="preserve"> was Refrigerator. </w:t>
      </w:r>
    </w:p>
    <w:p w14:paraId="48D07AAA" w14:textId="6A6BF6F0" w:rsidR="00D50AAE" w:rsidRDefault="00D50AAE">
      <w:pPr>
        <w:spacing w:after="0" w:line="240" w:lineRule="auto"/>
        <w:rPr>
          <w:rStyle w:val="BodyText1Char"/>
        </w:rPr>
      </w:pPr>
    </w:p>
    <w:p w14:paraId="48D07AAC" w14:textId="77777777" w:rsidR="00D50AAE" w:rsidRDefault="00D50AAE" w:rsidP="00D50AAE">
      <w:pPr>
        <w:pStyle w:val="ListBullet"/>
        <w:numPr>
          <w:ilvl w:val="0"/>
          <w:numId w:val="0"/>
        </w:numPr>
        <w:ind w:left="369" w:hanging="369"/>
      </w:pPr>
      <w:r w:rsidRPr="002A1981">
        <w:rPr>
          <w:rStyle w:val="Strong"/>
          <w:noProof/>
        </w:rPr>
        <mc:AlternateContent>
          <mc:Choice Requires="wps">
            <w:drawing>
              <wp:inline distT="0" distB="0" distL="0" distR="0" wp14:anchorId="48D07B1D" wp14:editId="48D07B1E">
                <wp:extent cx="5628640" cy="552202"/>
                <wp:effectExtent l="0" t="0" r="1016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552202"/>
                        </a:xfrm>
                        <a:prstGeom prst="rect">
                          <a:avLst/>
                        </a:prstGeom>
                        <a:solidFill>
                          <a:schemeClr val="accent3">
                            <a:lumMod val="40000"/>
                            <a:lumOff val="60000"/>
                          </a:schemeClr>
                        </a:solidFill>
                        <a:ln w="9525">
                          <a:solidFill>
                            <a:srgbClr val="000000"/>
                          </a:solidFill>
                          <a:miter lim="800000"/>
                          <a:headEnd/>
                          <a:tailEnd/>
                        </a:ln>
                      </wps:spPr>
                      <wps:txbx>
                        <w:txbxContent>
                          <w:p w14:paraId="48D07B2D" w14:textId="275E83FA" w:rsidR="00D50AAE" w:rsidRPr="000F5BF5" w:rsidRDefault="00D50AAE" w:rsidP="00D50AAE">
                            <w:pPr>
                              <w:pStyle w:val="BodyText1"/>
                              <w:spacing w:after="0"/>
                              <w:jc w:val="center"/>
                              <w:rPr>
                                <w:rStyle w:val="Strong"/>
                              </w:rPr>
                            </w:pPr>
                            <w:r w:rsidRPr="000F5BF5">
                              <w:rPr>
                                <w:rStyle w:val="Strong"/>
                              </w:rPr>
                              <w:t xml:space="preserve">Energy </w:t>
                            </w:r>
                            <w:r w:rsidR="00C3782E">
                              <w:rPr>
                                <w:rStyle w:val="Strong"/>
                              </w:rPr>
                              <w:t>R</w:t>
                            </w:r>
                            <w:r w:rsidR="00C3782E" w:rsidRPr="000F5BF5">
                              <w:rPr>
                                <w:rStyle w:val="Strong"/>
                              </w:rPr>
                              <w:t xml:space="preserve">ating </w:t>
                            </w:r>
                            <w:r w:rsidR="00C3782E">
                              <w:rPr>
                                <w:rStyle w:val="Strong"/>
                              </w:rPr>
                              <w:t>L</w:t>
                            </w:r>
                            <w:r w:rsidRPr="000F5BF5">
                              <w:rPr>
                                <w:rStyle w:val="Strong"/>
                              </w:rPr>
                              <w:t>abels must be securely attached, clearly visible, and not obscured in any way to comply with GEMS labelling requirements.</w:t>
                            </w:r>
                          </w:p>
                        </w:txbxContent>
                      </wps:txbx>
                      <wps:bodyPr rot="0" vert="horz" wrap="square" lIns="91440" tIns="45720" rIns="91440" bIns="45720" anchor="ctr" anchorCtr="0">
                        <a:noAutofit/>
                      </wps:bodyPr>
                    </wps:wsp>
                  </a:graphicData>
                </a:graphic>
              </wp:inline>
            </w:drawing>
          </mc:Choice>
          <mc:Fallback>
            <w:pict>
              <v:shapetype w14:anchorId="48D07B1D" id="_x0000_t202" coordsize="21600,21600" o:spt="202" path="m,l,21600r21600,l21600,xe">
                <v:stroke joinstyle="miter"/>
                <v:path gradientshapeok="t" o:connecttype="rect"/>
              </v:shapetype>
              <v:shape id="Text Box 2" o:spid="_x0000_s1026" type="#_x0000_t202" style="width:443.2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" fillcolor="#d6e3bc [1302]">
                <v:textbox>
                  <w:txbxContent>
                    <w:p w14:paraId="48D07B2D" w14:textId="275E83FA" w:rsidR="00D50AAE" w:rsidRPr="000F5BF5" w:rsidRDefault="00D50AAE" w:rsidP="00D50AAE">
                      <w:pPr>
                        <w:pStyle w:val="BodyText1"/>
                        <w:spacing w:after="0"/>
                        <w:jc w:val="center"/>
                        <w:rPr>
                          <w:rStyle w:val="Strong"/>
                        </w:rPr>
                      </w:pPr>
                      <w:r w:rsidRPr="000F5BF5">
                        <w:rPr>
                          <w:rStyle w:val="Strong"/>
                        </w:rPr>
                        <w:t xml:space="preserve">Energy </w:t>
                      </w:r>
                      <w:r w:rsidR="00C3782E">
                        <w:rPr>
                          <w:rStyle w:val="Strong"/>
                        </w:rPr>
                        <w:t>R</w:t>
                      </w:r>
                      <w:r w:rsidR="00C3782E" w:rsidRPr="000F5BF5">
                        <w:rPr>
                          <w:rStyle w:val="Strong"/>
                        </w:rPr>
                        <w:t xml:space="preserve">ating </w:t>
                      </w:r>
                      <w:r w:rsidR="00C3782E">
                        <w:rPr>
                          <w:rStyle w:val="Strong"/>
                        </w:rPr>
                        <w:t>L</w:t>
                      </w:r>
                      <w:r w:rsidRPr="000F5BF5">
                        <w:rPr>
                          <w:rStyle w:val="Strong"/>
                        </w:rPr>
                        <w:t>abels must be securely attached, clearly visible, and not obscured in any way to comply with GEMS labelling requirements.</w:t>
                      </w:r>
                    </w:p>
                  </w:txbxContent>
                </v:textbox>
                <w10:anchorlock/>
              </v:shape>
            </w:pict>
          </mc:Fallback>
        </mc:AlternateContent>
      </w:r>
    </w:p>
    <w:p w14:paraId="48D07AAD" w14:textId="77777777" w:rsidR="00C53110" w:rsidRDefault="00C53110" w:rsidP="00CB569E">
      <w:pPr>
        <w:pStyle w:val="Heading1"/>
      </w:pPr>
      <w:r>
        <w:t xml:space="preserve">Contributing Factors </w:t>
      </w:r>
    </w:p>
    <w:p w14:paraId="48D07AAE" w14:textId="77777777" w:rsidR="00C53110" w:rsidRDefault="00C53110" w:rsidP="00C53110">
      <w:pPr>
        <w:pStyle w:val="BodyText1"/>
      </w:pPr>
      <w:r w:rsidRPr="00BA25D1">
        <w:t>GEMS</w:t>
      </w:r>
      <w:r>
        <w:t xml:space="preserve"> inspectors use market surveillance activities as an opportunity to learn more about the industry and the factors inhibiting compliance with the GEMS Act. Discussions with retailers identified the following issues: </w:t>
      </w:r>
    </w:p>
    <w:p w14:paraId="48D07AAF" w14:textId="77777777" w:rsidR="00C53110" w:rsidRDefault="00C53110" w:rsidP="00C53110">
      <w:pPr>
        <w:pStyle w:val="Bullet1"/>
      </w:pPr>
      <w:r>
        <w:t>many retailers are not aware they are also responsible under the GEMS Act and must not supply, nor offer to supply, ‘unregistered’ models of GEMS products</w:t>
      </w:r>
    </w:p>
    <w:p w14:paraId="48D07AB0" w14:textId="77777777" w:rsidR="00C53110" w:rsidRDefault="00C53110" w:rsidP="00C53110">
      <w:pPr>
        <w:pStyle w:val="Bullet1"/>
      </w:pPr>
      <w:r>
        <w:t xml:space="preserve">ERLs must be attached to </w:t>
      </w:r>
      <w:r w:rsidRPr="00AA5D1D">
        <w:t>all</w:t>
      </w:r>
      <w:r>
        <w:t xml:space="preserve"> products offered for supply, including display units or ‘fronts’ such as a</w:t>
      </w:r>
      <w:r w:rsidRPr="00761D41">
        <w:t xml:space="preserve">ir </w:t>
      </w:r>
      <w:r>
        <w:t>conditioner ‘dummy’ head units</w:t>
      </w:r>
    </w:p>
    <w:p w14:paraId="48D07AB1" w14:textId="0F744160" w:rsidR="00C53110" w:rsidRDefault="00C53110" w:rsidP="00C53110">
      <w:pPr>
        <w:pStyle w:val="Bullet1"/>
      </w:pPr>
      <w:r>
        <w:lastRenderedPageBreak/>
        <w:t>ERLs are often removed by customers, for example whil</w:t>
      </w:r>
      <w:r w:rsidR="00C3782E">
        <w:t>e</w:t>
      </w:r>
      <w:r>
        <w:t xml:space="preserve"> handling products like computer monitors or televisions</w:t>
      </w:r>
    </w:p>
    <w:p w14:paraId="48D07AB2" w14:textId="77777777" w:rsidR="00C53110" w:rsidRDefault="00C53110" w:rsidP="00C53110">
      <w:pPr>
        <w:pStyle w:val="Bullet1"/>
      </w:pPr>
      <w:r>
        <w:t>store, promotional, pricing and other labels are given preference over the ERL if there is insufficient space to display all labels. This often results in the ERL being obscured.</w:t>
      </w:r>
    </w:p>
    <w:p w14:paraId="48D07AB3" w14:textId="77777777" w:rsidR="00C53110" w:rsidRPr="00761D41" w:rsidRDefault="00C53110" w:rsidP="00C53110">
      <w:pPr>
        <w:pStyle w:val="Bullet1"/>
      </w:pPr>
      <w:r>
        <w:t xml:space="preserve">suppliers are reluctant to attach ERLs to ‘built in’ or ‘integrated’ products like dishwashers and refrigerators which are designed to blend in seamlessly with the overall fitout and cabinetry; affixing an ERL may detract from the aesthetics of the display </w:t>
      </w:r>
    </w:p>
    <w:p w14:paraId="48D07AB4" w14:textId="77777777" w:rsidR="00C53110" w:rsidRDefault="00C53110" w:rsidP="00C53110">
      <w:pPr>
        <w:pStyle w:val="Bullet1"/>
      </w:pPr>
      <w:r w:rsidRPr="00761D41">
        <w:t xml:space="preserve">returned or exchanged models are </w:t>
      </w:r>
      <w:r>
        <w:t xml:space="preserve">often </w:t>
      </w:r>
      <w:r w:rsidRPr="00761D41">
        <w:t>put back on sale with</w:t>
      </w:r>
      <w:r>
        <w:t>out obtaining a replacement ERL, for example, a customer may return a refrigerator unused due to it being the wrong size but has already removed all packaging including the ERL.</w:t>
      </w:r>
      <w:r>
        <w:rPr>
          <w:rStyle w:val="FootnoteReference"/>
        </w:rPr>
        <w:footnoteReference w:id="2"/>
      </w:r>
    </w:p>
    <w:p w14:paraId="48D07AB5" w14:textId="77777777" w:rsidR="00300E7C" w:rsidRPr="00BA25D1" w:rsidRDefault="00300E7C" w:rsidP="00300E7C">
      <w:pPr>
        <w:pStyle w:val="Bullet1"/>
        <w:numPr>
          <w:ilvl w:val="0"/>
          <w:numId w:val="0"/>
        </w:numPr>
      </w:pPr>
    </w:p>
    <w:p w14:paraId="48D07AB6" w14:textId="77777777" w:rsidR="00C53110" w:rsidRPr="001522A3" w:rsidRDefault="00C53110" w:rsidP="00CB569E">
      <w:pPr>
        <w:pStyle w:val="Heading1"/>
      </w:pPr>
      <w:r>
        <w:t>Enforcement Responses</w:t>
      </w:r>
      <w:r w:rsidRPr="001522A3">
        <w:t xml:space="preserve"> </w:t>
      </w:r>
    </w:p>
    <w:p w14:paraId="48D07AB7" w14:textId="77777777" w:rsidR="00C53110" w:rsidRDefault="00C53110" w:rsidP="00C53110">
      <w:pPr>
        <w:pStyle w:val="BodyText1"/>
      </w:pPr>
      <w:r>
        <w:t xml:space="preserve">At the conclusion of each market surveillance activity, GEMS inspectors discuss the nature and extent of any potential issues with the relevant manager and ensure immediate actions are taken to address any non-compliance. Following an assessment of the data collected during the market surveillance activity, GEMS inspectors may undertake further engagement with registrants and suppliers to ensure compliance with GEMS registration and labelling requirements. </w:t>
      </w:r>
    </w:p>
    <w:p w14:paraId="48D07AB8" w14:textId="77777777" w:rsidR="00C53110" w:rsidRDefault="00C53110" w:rsidP="00C53110">
      <w:pPr>
        <w:pStyle w:val="BodyText1"/>
      </w:pPr>
      <w:r>
        <w:t xml:space="preserve">Engagement, education and support will remain a key component of the GEMS Regulator’s compliance framework; however, enforcement action, in accordance with the </w:t>
      </w:r>
      <w:hyperlink r:id="rId13" w:history="1">
        <w:r w:rsidRPr="004217F6">
          <w:rPr>
            <w:rStyle w:val="Hyperlink"/>
          </w:rPr>
          <w:t>GEMS Compliance Policy</w:t>
        </w:r>
      </w:hyperlink>
      <w:r>
        <w:t>, may be taken where contraventions of the GEMS Act are found.</w:t>
      </w:r>
    </w:p>
    <w:p w14:paraId="48D07AB9" w14:textId="77777777" w:rsidR="00C53110" w:rsidRDefault="00C53110" w:rsidP="00C53110">
      <w:pPr>
        <w:pStyle w:val="BodyText1"/>
      </w:pPr>
      <w:r w:rsidRPr="008A21C2">
        <w:t xml:space="preserve">The maximum criminal or civil penalty a court may impose for </w:t>
      </w:r>
      <w:r>
        <w:t>each</w:t>
      </w:r>
      <w:r w:rsidRPr="008A21C2">
        <w:t xml:space="preserve"> contravention of </w:t>
      </w:r>
      <w:r>
        <w:t xml:space="preserve">Section 16 of the GEMS Act </w:t>
      </w:r>
      <w:r w:rsidRPr="008A21C2">
        <w:t>is 60 penalty units for a Category A product and 120 penalty u</w:t>
      </w:r>
      <w:r>
        <w:t xml:space="preserve">nits for a Category B product. </w:t>
      </w:r>
      <w:r w:rsidRPr="008A21C2">
        <w:t xml:space="preserve">Assuming the relevant GEMS product is a Category A product, which is mostly the case, </w:t>
      </w:r>
      <w:r w:rsidRPr="008A21C2">
        <w:lastRenderedPageBreak/>
        <w:t>the maximum penalty therefore will be 60 x $</w:t>
      </w:r>
      <w:r>
        <w:t>210</w:t>
      </w:r>
      <w:r w:rsidRPr="008A21C2">
        <w:t xml:space="preserve"> = </w:t>
      </w:r>
      <w:r>
        <w:rPr>
          <w:u w:val="single"/>
        </w:rPr>
        <w:t>$12,6</w:t>
      </w:r>
      <w:r w:rsidRPr="003F33F2">
        <w:rPr>
          <w:u w:val="single"/>
        </w:rPr>
        <w:t>00 per product</w:t>
      </w:r>
      <w:r>
        <w:t xml:space="preserve">. </w:t>
      </w:r>
      <w:r w:rsidRPr="008A21C2">
        <w:t xml:space="preserve">The amount of a penalty unit is regulated by section </w:t>
      </w:r>
      <w:hyperlink r:id="rId14" w:history="1">
        <w:r w:rsidRPr="00262698">
          <w:rPr>
            <w:rStyle w:val="Hyperlink"/>
          </w:rPr>
          <w:t>4AA(1) of the Crimes Act 1914</w:t>
        </w:r>
      </w:hyperlink>
      <w:r>
        <w:t xml:space="preserve"> and is currently set at $210.</w:t>
      </w:r>
    </w:p>
    <w:p w14:paraId="48D07ABA" w14:textId="132DB137" w:rsidR="00C53110" w:rsidRPr="003553D5" w:rsidRDefault="00C53110" w:rsidP="00C53110">
      <w:pPr>
        <w:rPr>
          <w:rFonts w:ascii="Arial" w:hAnsi="Arial" w:cs="Arial"/>
          <w:sz w:val="20"/>
          <w:szCs w:val="20"/>
        </w:rPr>
      </w:pPr>
    </w:p>
    <w:p w14:paraId="48D07ABB" w14:textId="3D12088B" w:rsidR="00C53110" w:rsidRPr="00B447D6" w:rsidRDefault="00C53110" w:rsidP="00CB569E">
      <w:pPr>
        <w:pStyle w:val="Heading1"/>
      </w:pPr>
      <w:r w:rsidRPr="00B447D6">
        <w:t xml:space="preserve">What you need to </w:t>
      </w:r>
      <w:r>
        <w:t>k</w:t>
      </w:r>
      <w:r w:rsidRPr="00B447D6">
        <w:t>now</w:t>
      </w:r>
    </w:p>
    <w:p w14:paraId="48D07ABC" w14:textId="273F07A0" w:rsidR="00C53110" w:rsidRDefault="00C53110" w:rsidP="00C53110">
      <w:pPr>
        <w:pStyle w:val="BodyText1"/>
      </w:pPr>
      <w:r>
        <w:t xml:space="preserve">The following information may assist registrants and suppliers comply with the GEMS Act’s registration and labelling requirements. </w:t>
      </w:r>
    </w:p>
    <w:p w14:paraId="48D07ABD" w14:textId="77777777" w:rsidR="00C53110" w:rsidRPr="000F5BF5" w:rsidRDefault="00C53110" w:rsidP="00CB569E">
      <w:pPr>
        <w:pStyle w:val="Heading2"/>
      </w:pPr>
      <w:r w:rsidRPr="000F5BF5">
        <w:t>Registration Compliance</w:t>
      </w:r>
    </w:p>
    <w:p w14:paraId="48D07ABE" w14:textId="5E455DCF" w:rsidR="00C53110" w:rsidRDefault="00C53110" w:rsidP="00C53110">
      <w:pPr>
        <w:pStyle w:val="BodyText1"/>
      </w:pPr>
      <w:r w:rsidRPr="0031482F">
        <w:t xml:space="preserve">Under </w:t>
      </w:r>
      <w:r w:rsidR="001C2A1D">
        <w:t xml:space="preserve">the </w:t>
      </w:r>
      <w:r w:rsidRPr="0031482F">
        <w:t>GEMS Act</w:t>
      </w:r>
      <w:r>
        <w:t>,</w:t>
      </w:r>
      <w:r w:rsidRPr="0031482F">
        <w:t xml:space="preserve"> GEMS products can only be supplied or offered for supply, or used for a commercial purpose, if:</w:t>
      </w:r>
    </w:p>
    <w:p w14:paraId="48D07ABF" w14:textId="77777777" w:rsidR="00C53110" w:rsidRPr="0031482F" w:rsidRDefault="00C53110" w:rsidP="00C53110">
      <w:pPr>
        <w:pStyle w:val="Bullet1"/>
      </w:pPr>
      <w:r w:rsidRPr="0031482F">
        <w:t>the model of the product is registered under the GEMS Act against the relevant determination; and</w:t>
      </w:r>
    </w:p>
    <w:p w14:paraId="48D07AC0" w14:textId="77777777" w:rsidR="00C53110" w:rsidRPr="0031482F" w:rsidRDefault="00C53110" w:rsidP="00C53110">
      <w:pPr>
        <w:pStyle w:val="Bullet1"/>
      </w:pPr>
      <w:r w:rsidRPr="0031482F">
        <w:t>the product complies with the determination; and</w:t>
      </w:r>
    </w:p>
    <w:p w14:paraId="48D07AC1" w14:textId="77777777" w:rsidR="00C53110" w:rsidRPr="0031482F" w:rsidRDefault="00C53110" w:rsidP="00C53110">
      <w:pPr>
        <w:pStyle w:val="Bullet1"/>
      </w:pPr>
      <w:r w:rsidRPr="0031482F">
        <w:t>the supply, offer, or use complies with the determination.</w:t>
      </w:r>
    </w:p>
    <w:p w14:paraId="48D07AC2" w14:textId="77777777" w:rsidR="00C53110" w:rsidRDefault="00C53110" w:rsidP="00C53110">
      <w:pPr>
        <w:spacing w:after="0" w:line="240" w:lineRule="auto"/>
        <w:rPr>
          <w:rFonts w:ascii="Arial" w:hAnsi="Arial" w:cs="Arial"/>
          <w:sz w:val="20"/>
          <w:szCs w:val="20"/>
        </w:rPr>
      </w:pPr>
    </w:p>
    <w:p w14:paraId="48D07AC3" w14:textId="6E2BB8DB" w:rsidR="00C53110" w:rsidRDefault="00C53110" w:rsidP="00C53110">
      <w:pPr>
        <w:pStyle w:val="BodyText1"/>
      </w:pPr>
      <w:r w:rsidRPr="00DD7BB7">
        <w:t>A supply includes a supply by way of sale, exchange, gift, lease, loan, hire</w:t>
      </w:r>
      <w:r>
        <w:t>,</w:t>
      </w:r>
      <w:r w:rsidRPr="00DD7BB7">
        <w:t xml:space="preserve"> or hire</w:t>
      </w:r>
      <w:r w:rsidRPr="00DD7BB7">
        <w:rPr>
          <w:rFonts w:eastAsia="MS Gothic" w:hint="eastAsia"/>
        </w:rPr>
        <w:t>‑</w:t>
      </w:r>
      <w:r w:rsidRPr="00DD7BB7">
        <w:t>purchase</w:t>
      </w:r>
      <w:r>
        <w:t>; whil</w:t>
      </w:r>
      <w:r w:rsidR="00C3782E">
        <w:t>e</w:t>
      </w:r>
      <w:r>
        <w:t xml:space="preserve"> o</w:t>
      </w:r>
      <w:r w:rsidRPr="00DD7BB7">
        <w:t>ffer to supply includes make available, expose, display</w:t>
      </w:r>
      <w:r>
        <w:t>,</w:t>
      </w:r>
      <w:r w:rsidRPr="00DD7BB7">
        <w:t xml:space="preserve"> or advertise the product for supply</w:t>
      </w:r>
      <w:r>
        <w:rPr>
          <w:rStyle w:val="FootnoteReference"/>
        </w:rPr>
        <w:footnoteReference w:id="3"/>
      </w:r>
      <w:r w:rsidRPr="00DD7BB7">
        <w:t>.</w:t>
      </w:r>
      <w:r>
        <w:t xml:space="preserve">  Therefore, </w:t>
      </w:r>
      <w:r w:rsidRPr="00227609">
        <w:rPr>
          <w:b/>
          <w:u w:val="single"/>
        </w:rPr>
        <w:t>all</w:t>
      </w:r>
      <w:r w:rsidRPr="00373DEA">
        <w:t xml:space="preserve"> </w:t>
      </w:r>
      <w:r>
        <w:t>persons</w:t>
      </w:r>
      <w:r w:rsidRPr="00373DEA">
        <w:t xml:space="preserve"> in the </w:t>
      </w:r>
      <w:r w:rsidRPr="00113FA5">
        <w:t>supply</w:t>
      </w:r>
      <w:r w:rsidRPr="00373DEA">
        <w:t xml:space="preserve"> chain</w:t>
      </w:r>
      <w:r>
        <w:t xml:space="preserve">, whether they be </w:t>
      </w:r>
      <w:r w:rsidRPr="00C51E9C">
        <w:t>retailer</w:t>
      </w:r>
      <w:r>
        <w:t>s</w:t>
      </w:r>
      <w:r w:rsidRPr="00C51E9C">
        <w:t>, importer</w:t>
      </w:r>
      <w:r>
        <w:t>s</w:t>
      </w:r>
      <w:r w:rsidRPr="00C51E9C">
        <w:t xml:space="preserve">, </w:t>
      </w:r>
      <w:r>
        <w:t xml:space="preserve">or </w:t>
      </w:r>
      <w:r w:rsidRPr="00C51E9C">
        <w:t>manufacturer</w:t>
      </w:r>
      <w:r>
        <w:t xml:space="preserve">s </w:t>
      </w:r>
      <w:r w:rsidRPr="00373DEA">
        <w:t>have an obligation</w:t>
      </w:r>
      <w:r>
        <w:t xml:space="preserve"> under the GEMS Act</w:t>
      </w:r>
      <w:r w:rsidRPr="00373DEA">
        <w:t xml:space="preserve"> not to supply </w:t>
      </w:r>
      <w:r>
        <w:t xml:space="preserve">an unregistered model of a GEMS </w:t>
      </w:r>
      <w:r w:rsidRPr="00373DEA">
        <w:t>product</w:t>
      </w:r>
      <w:r>
        <w:t>.</w:t>
      </w:r>
      <w:r w:rsidR="001C2A1D">
        <w:t xml:space="preserve">  Manufacturers and importers are more likely to be responsible for initial supply of a model in Australia and therefore more likely to be the registrant.  However, any person in the supply chain may be the registrant. Information about the registration process can be found </w:t>
      </w:r>
      <w:hyperlink r:id="rId15" w:history="1">
        <w:r w:rsidR="001C2A1D" w:rsidRPr="002966AF">
          <w:rPr>
            <w:rStyle w:val="Hyperlink"/>
          </w:rPr>
          <w:t>here</w:t>
        </w:r>
      </w:hyperlink>
      <w:r w:rsidR="001C2A1D">
        <w:t>.</w:t>
      </w:r>
    </w:p>
    <w:p w14:paraId="0574478D" w14:textId="20BA5E75" w:rsidR="00CB569E" w:rsidRDefault="00CB569E" w:rsidP="00CB569E">
      <w:pPr>
        <w:pStyle w:val="Heading3"/>
      </w:pPr>
      <w:r>
        <w:lastRenderedPageBreak/>
        <w:t>How do I know if a model is registered?</w:t>
      </w:r>
    </w:p>
    <w:p w14:paraId="48D07AC7" w14:textId="0AE4A7D9" w:rsidR="00C53110" w:rsidRDefault="00C53110" w:rsidP="00C53110">
      <w:pPr>
        <w:pStyle w:val="BodyText1"/>
      </w:pPr>
      <w:r>
        <w:t>T</w:t>
      </w:r>
      <w:r w:rsidRPr="000926C8">
        <w:t xml:space="preserve">o ensure models of GEMS products </w:t>
      </w:r>
      <w:r w:rsidR="00C3782E">
        <w:t xml:space="preserve">being </w:t>
      </w:r>
      <w:r w:rsidRPr="000926C8">
        <w:t xml:space="preserve">supplied are registered as compliant with the relevant determination, suppliers can </w:t>
      </w:r>
      <w:r>
        <w:t>view</w:t>
      </w:r>
      <w:r w:rsidRPr="000926C8">
        <w:t xml:space="preserve"> the</w:t>
      </w:r>
      <w:r>
        <w:t xml:space="preserve"> public</w:t>
      </w:r>
      <w:r w:rsidRPr="000926C8">
        <w:t xml:space="preserve"> </w:t>
      </w:r>
      <w:hyperlink r:id="rId16" w:history="1">
        <w:r>
          <w:rPr>
            <w:rStyle w:val="Hyperlink"/>
          </w:rPr>
          <w:t>Registration Database</w:t>
        </w:r>
      </w:hyperlink>
      <w:r w:rsidRPr="000926C8">
        <w:t xml:space="preserve">. If suppliers are unsure a model is registered, they should ask their supplier for the </w:t>
      </w:r>
      <w:r>
        <w:t>‘</w:t>
      </w:r>
      <w:r w:rsidRPr="000926C8">
        <w:t>Approval Certificate</w:t>
      </w:r>
      <w:r>
        <w:t>’</w:t>
      </w:r>
      <w:r w:rsidRPr="000926C8">
        <w:t xml:space="preserve">, also known as the </w:t>
      </w:r>
      <w:r>
        <w:t>‘</w:t>
      </w:r>
      <w:r w:rsidRPr="000926C8">
        <w:t>Notice of Registration under the GEMS Act</w:t>
      </w:r>
      <w:r>
        <w:t>’</w:t>
      </w:r>
      <w:r w:rsidRPr="000926C8">
        <w:t>, or the GEMS registration number.</w:t>
      </w:r>
    </w:p>
    <w:p w14:paraId="48D07ACC" w14:textId="30261D3B" w:rsidR="00C53110" w:rsidRPr="000F5BF5" w:rsidRDefault="00C53110" w:rsidP="000F5BF5">
      <w:pPr>
        <w:pStyle w:val="Heading2"/>
      </w:pPr>
      <w:r w:rsidRPr="000F5BF5">
        <w:t>Labelling Compliance</w:t>
      </w:r>
    </w:p>
    <w:p w14:paraId="48D07ACD" w14:textId="77777777" w:rsidR="00C53110" w:rsidRPr="001522A3" w:rsidRDefault="00C53110" w:rsidP="00C53110">
      <w:pPr>
        <w:pStyle w:val="BodyText1"/>
      </w:pPr>
      <w:r w:rsidRPr="001522A3">
        <w:t xml:space="preserve">Section 16 of the GEMS Act states that a person must not supply, or offer to supply, a GEMS product if </w:t>
      </w:r>
      <w:r>
        <w:t>‘</w:t>
      </w:r>
      <w:r w:rsidRPr="001522A3">
        <w:t>a requirement of the GEMS determination is not complied with in supplying, or offering to supply, the product.</w:t>
      </w:r>
      <w:r>
        <w:t>’</w:t>
      </w:r>
      <w:r w:rsidRPr="001522A3">
        <w:t xml:space="preserve"> A requirement to display an ERL, if applicable to that GEMS product, is covered by the relevant determination’s GEMS labelling requirements.</w:t>
      </w:r>
    </w:p>
    <w:p w14:paraId="48D07ACE" w14:textId="77777777" w:rsidR="00C53110" w:rsidRDefault="00C53110" w:rsidP="00C53110">
      <w:pPr>
        <w:pStyle w:val="BodyText1"/>
      </w:pPr>
      <w:r w:rsidRPr="001522A3">
        <w:t xml:space="preserve">Manufacturers and importers generally provide ERLs with each product supplied to retail stores. If an ERL is not provided, it is the retailer’s responsibility to obtain one from the manufacturer or importer and attach it in accordance with the relevant determination, prior to offering the product for supply. </w:t>
      </w:r>
    </w:p>
    <w:p w14:paraId="48D07ACF" w14:textId="77777777" w:rsidR="00C53110" w:rsidRDefault="00C53110" w:rsidP="00C53110">
      <w:pPr>
        <w:pStyle w:val="BodyText1"/>
      </w:pPr>
      <w:r w:rsidRPr="001522A3">
        <w:t xml:space="preserve">Similarly, if an ERL is removed, the retailer must obtain another from the manufacturer or importer and attach it prior to continuing to offer the product for supply. </w:t>
      </w:r>
    </w:p>
    <w:p w14:paraId="48D07AD1" w14:textId="697F5BCC" w:rsidR="00C53110" w:rsidRPr="002F6808" w:rsidRDefault="00C53110" w:rsidP="00CB569E">
      <w:pPr>
        <w:pStyle w:val="Heading1"/>
      </w:pPr>
      <w:r w:rsidRPr="002F6808">
        <w:t>Further Information</w:t>
      </w:r>
    </w:p>
    <w:p w14:paraId="48D07AD2" w14:textId="77777777" w:rsidR="00C53110" w:rsidRDefault="00C53110" w:rsidP="00C53110">
      <w:pPr>
        <w:pStyle w:val="BodyText1"/>
      </w:pPr>
      <w:r w:rsidRPr="00301108">
        <w:t xml:space="preserve">If you would like to contact the GEMS Regulator with information about suspected non-compliance or you would like further information, please contact us at </w:t>
      </w:r>
      <w:hyperlink r:id="rId17" w:history="1">
        <w:r w:rsidRPr="003936DA">
          <w:rPr>
            <w:rStyle w:val="Hyperlink"/>
          </w:rPr>
          <w:t>E3.Compliance@environment.gov.au</w:t>
        </w:r>
      </w:hyperlink>
      <w:r>
        <w:t xml:space="preserve"> </w:t>
      </w:r>
      <w:r w:rsidRPr="00301108">
        <w:t xml:space="preserve">or visit </w:t>
      </w:r>
      <w:hyperlink r:id="rId18" w:history="1">
        <w:r w:rsidRPr="00301108">
          <w:rPr>
            <w:rStyle w:val="Hyperlink"/>
          </w:rPr>
          <w:t>energyrating.gov.au</w:t>
        </w:r>
      </w:hyperlink>
      <w:r w:rsidRPr="00301108">
        <w:t>.</w:t>
      </w:r>
    </w:p>
    <w:p w14:paraId="48D07AD3" w14:textId="77777777" w:rsidR="00300E7C" w:rsidRPr="00301108" w:rsidRDefault="00300E7C" w:rsidP="00C53110">
      <w:pPr>
        <w:pStyle w:val="BodyText1"/>
      </w:pPr>
    </w:p>
    <w:p w14:paraId="48D07B1C" w14:textId="373461D2" w:rsidR="009819A2" w:rsidRPr="00EF53FF" w:rsidRDefault="009819A2" w:rsidP="009819A2"/>
    <w:sectPr w:rsidR="009819A2" w:rsidRPr="00EF53FF" w:rsidSect="00FA4CF0">
      <w:footerReference w:type="default" r:id="rId19"/>
      <w:headerReference w:type="first" r:id="rId2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7B21" w14:textId="77777777" w:rsidR="00191BE2" w:rsidRDefault="00191BE2" w:rsidP="00A60185">
      <w:pPr>
        <w:spacing w:after="0" w:line="240" w:lineRule="auto"/>
      </w:pPr>
      <w:r>
        <w:separator/>
      </w:r>
    </w:p>
  </w:endnote>
  <w:endnote w:type="continuationSeparator" w:id="0">
    <w:p w14:paraId="48D07B22" w14:textId="77777777" w:rsidR="00191BE2" w:rsidRDefault="00191BE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8D07B26" w14:textId="77777777" w:rsidR="00100BEF" w:rsidRDefault="00191BE2">
        <w:pPr>
          <w:pStyle w:val="Footer"/>
          <w:jc w:val="center"/>
        </w:pPr>
        <w:r>
          <w:fldChar w:fldCharType="begin"/>
        </w:r>
        <w:r>
          <w:instrText xml:space="preserve"> PAGE   \* MERGEFORMAT </w:instrText>
        </w:r>
        <w:r>
          <w:fldChar w:fldCharType="separate"/>
        </w:r>
        <w:r w:rsidR="00B80A0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07B1F" w14:textId="77777777" w:rsidR="00191BE2" w:rsidRDefault="00191BE2" w:rsidP="00A60185">
      <w:pPr>
        <w:spacing w:after="0" w:line="240" w:lineRule="auto"/>
      </w:pPr>
      <w:r>
        <w:separator/>
      </w:r>
    </w:p>
  </w:footnote>
  <w:footnote w:type="continuationSeparator" w:id="0">
    <w:p w14:paraId="48D07B20" w14:textId="77777777" w:rsidR="00191BE2" w:rsidRDefault="00191BE2" w:rsidP="00A60185">
      <w:pPr>
        <w:spacing w:after="0" w:line="240" w:lineRule="auto"/>
      </w:pPr>
      <w:r>
        <w:continuationSeparator/>
      </w:r>
    </w:p>
  </w:footnote>
  <w:footnote w:id="1">
    <w:p w14:paraId="19B95699" w14:textId="1E5FA591" w:rsidR="006002D4" w:rsidRDefault="006002D4" w:rsidP="000D713E">
      <w:pPr>
        <w:pStyle w:val="FootnoteText"/>
      </w:pPr>
      <w:r>
        <w:rPr>
          <w:rStyle w:val="FootnoteReference"/>
        </w:rPr>
        <w:footnoteRef/>
      </w:r>
      <w:r>
        <w:t xml:space="preserve"> Combined clothes washers</w:t>
      </w:r>
      <w:r w:rsidR="00951563">
        <w:t>/</w:t>
      </w:r>
      <w:r>
        <w:t xml:space="preserve">dryers must hold a separate registration and display an ERL for each function (i.e. the clothes washer function must be registered and display the ERL, as must the dryer function. </w:t>
      </w:r>
    </w:p>
  </w:footnote>
  <w:footnote w:id="2">
    <w:p w14:paraId="48D07B2A" w14:textId="68652379" w:rsidR="00C53110" w:rsidRDefault="00C53110" w:rsidP="00C53110">
      <w:pPr>
        <w:pStyle w:val="FootnoteText"/>
      </w:pPr>
      <w:r>
        <w:rPr>
          <w:rStyle w:val="FootnoteReference"/>
        </w:rPr>
        <w:footnoteRef/>
      </w:r>
      <w:r>
        <w:t xml:space="preserve"> </w:t>
      </w:r>
      <w:r w:rsidRPr="00FD1262">
        <w:t>In very limited circumstances, such models may be deemed ‘second</w:t>
      </w:r>
      <w:r w:rsidR="000C7BD5">
        <w:t>-</w:t>
      </w:r>
      <w:r w:rsidRPr="00FD1262">
        <w:t>hand’</w:t>
      </w:r>
      <w:r w:rsidR="008D59E0">
        <w:t>;</w:t>
      </w:r>
      <w:r w:rsidRPr="00FD1262">
        <w:t xml:space="preserve"> however</w:t>
      </w:r>
      <w:r w:rsidR="008D59E0">
        <w:t>,</w:t>
      </w:r>
      <w:r w:rsidRPr="00FD1262">
        <w:t xml:space="preserve"> there are very specific conditions that must be met and generally speaking, if it is a straight swap (i.e. a customer has returned a fridge because it does not </w:t>
      </w:r>
      <w:r>
        <w:t xml:space="preserve">fit the space), then the product </w:t>
      </w:r>
      <w:r w:rsidRPr="00FD1262">
        <w:t>cannot m</w:t>
      </w:r>
      <w:r>
        <w:t>e</w:t>
      </w:r>
      <w:r w:rsidRPr="00FD1262">
        <w:t>et the conditions for a ‘second</w:t>
      </w:r>
      <w:r w:rsidR="000C7BD5">
        <w:t>-</w:t>
      </w:r>
      <w:r w:rsidRPr="00FD1262">
        <w:t>hand’ product.</w:t>
      </w:r>
    </w:p>
  </w:footnote>
  <w:footnote w:id="3">
    <w:p w14:paraId="48D07B2B" w14:textId="77777777" w:rsidR="00C53110" w:rsidRDefault="00C53110" w:rsidP="00C53110">
      <w:pPr>
        <w:pStyle w:val="FootnoteText"/>
        <w:spacing w:line="240" w:lineRule="auto"/>
      </w:pPr>
      <w:r>
        <w:rPr>
          <w:rStyle w:val="FootnoteReference"/>
        </w:rPr>
        <w:footnoteRef/>
      </w:r>
      <w:r>
        <w:t xml:space="preserve"> Section 14 GEMS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70E6D" w14:textId="77777777" w:rsidR="000C7BD5" w:rsidRDefault="000C7BD5">
    <w:pPr>
      <w:pStyle w:val="Header"/>
      <w:rPr>
        <w:noProof/>
      </w:rPr>
    </w:pPr>
  </w:p>
  <w:p w14:paraId="59FBE6F4" w14:textId="11C5D793" w:rsidR="00C10712" w:rsidRDefault="00C10712" w:rsidP="00813470">
    <w:pPr>
      <w:pStyle w:val="Header"/>
    </w:pPr>
    <w:r>
      <w:rPr>
        <w:noProof/>
      </w:rPr>
      <w:drawing>
        <wp:inline distT="0" distB="0" distL="0" distR="0" wp14:anchorId="2D043CEF" wp14:editId="5F95B957">
          <wp:extent cx="6411428" cy="523875"/>
          <wp:effectExtent l="0" t="0" r="0" b="0"/>
          <wp:docPr id="2" name="Picture 2" descr="GEMS Regulator Logo" title="GEMS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MS Regulator Logo" title="GEMS Regulator Logo"/>
                  <pic:cNvPicPr/>
                </pic:nvPicPr>
                <pic:blipFill rotWithShape="1">
                  <a:blip r:embed="rId1" cstate="print">
                    <a:extLst>
                      <a:ext uri="{28A0092B-C50C-407E-A947-70E740481C1C}">
                        <a14:useLocalDpi xmlns:a14="http://schemas.microsoft.com/office/drawing/2010/main" val="0"/>
                      </a:ext>
                    </a:extLst>
                  </a:blip>
                  <a:srcRect b="45956"/>
                  <a:stretch/>
                </pic:blipFill>
                <pic:spPr bwMode="auto">
                  <a:xfrm>
                    <a:off x="0" y="0"/>
                    <a:ext cx="6413351" cy="524032"/>
                  </a:xfrm>
                  <a:prstGeom prst="rect">
                    <a:avLst/>
                  </a:prstGeom>
                  <a:noFill/>
                  <a:ln>
                    <a:noFill/>
                  </a:ln>
                  <a:extLst>
                    <a:ext uri="{53640926-AAD7-44D8-BBD7-CCE9431645EC}">
                      <a14:shadowObscured xmlns:a14="http://schemas.microsoft.com/office/drawing/2010/main"/>
                    </a:ext>
                  </a:extLst>
                </pic:spPr>
              </pic:pic>
            </a:graphicData>
          </a:graphic>
        </wp:inline>
      </w:drawing>
    </w:r>
  </w:p>
  <w:p w14:paraId="0DF42423" w14:textId="77777777" w:rsidR="000C7BD5" w:rsidRDefault="000C7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5E2C63"/>
    <w:multiLevelType w:val="hybridMultilevel"/>
    <w:tmpl w:val="1958CD8C"/>
    <w:lvl w:ilvl="0" w:tplc="20AE2B4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4623A"/>
    <w:multiLevelType w:val="multilevel"/>
    <w:tmpl w:val="DC9E3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567C06"/>
    <w:multiLevelType w:val="multilevel"/>
    <w:tmpl w:val="9638750E"/>
    <w:lvl w:ilvl="0">
      <w:start w:val="1"/>
      <w:numFmt w:val="decimal"/>
      <w:pStyle w:val="Heading1"/>
      <w:lvlText w:val="%1."/>
      <w:lvlJc w:val="left"/>
      <w:pPr>
        <w:ind w:left="567" w:hanging="567"/>
      </w:pPr>
      <w:rPr>
        <w:rFonts w:hint="default"/>
      </w:rPr>
    </w:lvl>
    <w:lvl w:ilvl="1">
      <w:start w:val="1"/>
      <w:numFmt w:val="decimal"/>
      <w:pStyle w:val="Heading2"/>
      <w:isLgl/>
      <w:lvlText w:val="%1.%2"/>
      <w:lvlJc w:val="left"/>
      <w:pPr>
        <w:ind w:left="-2824"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2824" w:hanging="720"/>
      </w:pPr>
      <w:rPr>
        <w:rFonts w:hint="default"/>
      </w:rPr>
    </w:lvl>
    <w:lvl w:ilvl="3">
      <w:start w:val="1"/>
      <w:numFmt w:val="decimal"/>
      <w:isLgl/>
      <w:lvlText w:val="%1.%2.%3.%4"/>
      <w:lvlJc w:val="left"/>
      <w:pPr>
        <w:ind w:left="-2464" w:hanging="1080"/>
      </w:pPr>
      <w:rPr>
        <w:rFonts w:hint="default"/>
      </w:rPr>
    </w:lvl>
    <w:lvl w:ilvl="4">
      <w:start w:val="1"/>
      <w:numFmt w:val="decimal"/>
      <w:isLgl/>
      <w:lvlText w:val="%1.%2.%3.%4.%5"/>
      <w:lvlJc w:val="left"/>
      <w:pPr>
        <w:ind w:left="-2104" w:hanging="144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1744" w:hanging="1800"/>
      </w:pPr>
      <w:rPr>
        <w:rFonts w:hint="default"/>
      </w:rPr>
    </w:lvl>
    <w:lvl w:ilvl="7">
      <w:start w:val="1"/>
      <w:numFmt w:val="decimal"/>
      <w:isLgl/>
      <w:lvlText w:val="%1.%2.%3.%4.%5.%6.%7.%8"/>
      <w:lvlJc w:val="left"/>
      <w:pPr>
        <w:ind w:left="-1744" w:hanging="1800"/>
      </w:pPr>
      <w:rPr>
        <w:rFonts w:hint="default"/>
      </w:rPr>
    </w:lvl>
    <w:lvl w:ilvl="8">
      <w:start w:val="1"/>
      <w:numFmt w:val="decimal"/>
      <w:isLgl/>
      <w:lvlText w:val="%1.%2.%3.%4.%5.%6.%7.%8.%9"/>
      <w:lvlJc w:val="left"/>
      <w:pPr>
        <w:ind w:left="-1384" w:hanging="2160"/>
      </w:pPr>
      <w:rPr>
        <w:rFonts w:hint="default"/>
      </w:rPr>
    </w:lvl>
  </w:abstractNum>
  <w:abstractNum w:abstractNumId="7" w15:restartNumberingAfterBreak="0">
    <w:nsid w:val="4DB7358F"/>
    <w:multiLevelType w:val="hybridMultilevel"/>
    <w:tmpl w:val="F3689F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191BE2"/>
    <w:rsid w:val="00004AEE"/>
    <w:rsid w:val="00005CAA"/>
    <w:rsid w:val="00010210"/>
    <w:rsid w:val="00012D66"/>
    <w:rsid w:val="00015ADA"/>
    <w:rsid w:val="00020C99"/>
    <w:rsid w:val="0002707B"/>
    <w:rsid w:val="0003301D"/>
    <w:rsid w:val="0005148E"/>
    <w:rsid w:val="0006288C"/>
    <w:rsid w:val="00072C5A"/>
    <w:rsid w:val="000759E5"/>
    <w:rsid w:val="00084AC6"/>
    <w:rsid w:val="00091608"/>
    <w:rsid w:val="0009333C"/>
    <w:rsid w:val="0009704F"/>
    <w:rsid w:val="000A0F11"/>
    <w:rsid w:val="000A125A"/>
    <w:rsid w:val="000A3610"/>
    <w:rsid w:val="000A57CD"/>
    <w:rsid w:val="000B3758"/>
    <w:rsid w:val="000B7681"/>
    <w:rsid w:val="000B7B42"/>
    <w:rsid w:val="000C02B7"/>
    <w:rsid w:val="000C5100"/>
    <w:rsid w:val="000C5342"/>
    <w:rsid w:val="000C706A"/>
    <w:rsid w:val="000C7BD5"/>
    <w:rsid w:val="000D2887"/>
    <w:rsid w:val="000D6D63"/>
    <w:rsid w:val="000D713E"/>
    <w:rsid w:val="000E0081"/>
    <w:rsid w:val="000E07CF"/>
    <w:rsid w:val="000E31C1"/>
    <w:rsid w:val="000F2CF2"/>
    <w:rsid w:val="000F5BF5"/>
    <w:rsid w:val="00100BEF"/>
    <w:rsid w:val="00111326"/>
    <w:rsid w:val="0011498E"/>
    <w:rsid w:val="00117A45"/>
    <w:rsid w:val="001224AE"/>
    <w:rsid w:val="001337D4"/>
    <w:rsid w:val="00147C12"/>
    <w:rsid w:val="001527A1"/>
    <w:rsid w:val="001530DC"/>
    <w:rsid w:val="0015491F"/>
    <w:rsid w:val="00154989"/>
    <w:rsid w:val="00155A9F"/>
    <w:rsid w:val="00160262"/>
    <w:rsid w:val="0016780A"/>
    <w:rsid w:val="001713FA"/>
    <w:rsid w:val="00173EBF"/>
    <w:rsid w:val="00175ED3"/>
    <w:rsid w:val="001842A2"/>
    <w:rsid w:val="00184A1B"/>
    <w:rsid w:val="00187FA0"/>
    <w:rsid w:val="00187FA8"/>
    <w:rsid w:val="00191BE2"/>
    <w:rsid w:val="00192F5E"/>
    <w:rsid w:val="00197772"/>
    <w:rsid w:val="001A51C8"/>
    <w:rsid w:val="001B4CA8"/>
    <w:rsid w:val="001B536F"/>
    <w:rsid w:val="001B5EA1"/>
    <w:rsid w:val="001C2A1D"/>
    <w:rsid w:val="001C4F3D"/>
    <w:rsid w:val="001D0CDC"/>
    <w:rsid w:val="001D1D82"/>
    <w:rsid w:val="001E1182"/>
    <w:rsid w:val="00202C90"/>
    <w:rsid w:val="00213DE8"/>
    <w:rsid w:val="00216118"/>
    <w:rsid w:val="002209AB"/>
    <w:rsid w:val="002251E3"/>
    <w:rsid w:val="00225206"/>
    <w:rsid w:val="00227A95"/>
    <w:rsid w:val="002316BD"/>
    <w:rsid w:val="002473FC"/>
    <w:rsid w:val="00252E3C"/>
    <w:rsid w:val="00262198"/>
    <w:rsid w:val="00277847"/>
    <w:rsid w:val="00285F1B"/>
    <w:rsid w:val="00292B81"/>
    <w:rsid w:val="002B18AE"/>
    <w:rsid w:val="002C1C93"/>
    <w:rsid w:val="002C5066"/>
    <w:rsid w:val="002C5813"/>
    <w:rsid w:val="002D4AAC"/>
    <w:rsid w:val="002F045A"/>
    <w:rsid w:val="0030039D"/>
    <w:rsid w:val="00300E7C"/>
    <w:rsid w:val="0030326F"/>
    <w:rsid w:val="0030509B"/>
    <w:rsid w:val="00310701"/>
    <w:rsid w:val="00315980"/>
    <w:rsid w:val="00316F7F"/>
    <w:rsid w:val="003218E8"/>
    <w:rsid w:val="00325E34"/>
    <w:rsid w:val="003304AA"/>
    <w:rsid w:val="00330DCE"/>
    <w:rsid w:val="00331E11"/>
    <w:rsid w:val="00334761"/>
    <w:rsid w:val="00337EBC"/>
    <w:rsid w:val="00341DCD"/>
    <w:rsid w:val="0034349F"/>
    <w:rsid w:val="0034563E"/>
    <w:rsid w:val="003518D6"/>
    <w:rsid w:val="0035460C"/>
    <w:rsid w:val="003556BD"/>
    <w:rsid w:val="00362113"/>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18FD"/>
    <w:rsid w:val="003F6F5B"/>
    <w:rsid w:val="0040342D"/>
    <w:rsid w:val="0041152D"/>
    <w:rsid w:val="0041192D"/>
    <w:rsid w:val="00413EE1"/>
    <w:rsid w:val="0042128E"/>
    <w:rsid w:val="00432B60"/>
    <w:rsid w:val="0043348B"/>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5D02"/>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E7263"/>
    <w:rsid w:val="005F1DEA"/>
    <w:rsid w:val="006002D4"/>
    <w:rsid w:val="00607FC9"/>
    <w:rsid w:val="00622FE1"/>
    <w:rsid w:val="0062521C"/>
    <w:rsid w:val="00630A2B"/>
    <w:rsid w:val="00632DC7"/>
    <w:rsid w:val="006357FB"/>
    <w:rsid w:val="00635F18"/>
    <w:rsid w:val="006406FC"/>
    <w:rsid w:val="00640E57"/>
    <w:rsid w:val="00646122"/>
    <w:rsid w:val="00646BFF"/>
    <w:rsid w:val="00653E16"/>
    <w:rsid w:val="00657220"/>
    <w:rsid w:val="00657362"/>
    <w:rsid w:val="0066104B"/>
    <w:rsid w:val="006655EE"/>
    <w:rsid w:val="006674D1"/>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442"/>
    <w:rsid w:val="006F5603"/>
    <w:rsid w:val="006F7B87"/>
    <w:rsid w:val="00701400"/>
    <w:rsid w:val="007037CF"/>
    <w:rsid w:val="007167C0"/>
    <w:rsid w:val="00720481"/>
    <w:rsid w:val="00733193"/>
    <w:rsid w:val="00735392"/>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95EC7"/>
    <w:rsid w:val="007A2573"/>
    <w:rsid w:val="007B106C"/>
    <w:rsid w:val="007B1A4E"/>
    <w:rsid w:val="007B3D05"/>
    <w:rsid w:val="007B5503"/>
    <w:rsid w:val="007C179C"/>
    <w:rsid w:val="007C6BB3"/>
    <w:rsid w:val="007D14B4"/>
    <w:rsid w:val="007D3AD7"/>
    <w:rsid w:val="007E10BF"/>
    <w:rsid w:val="007E24F6"/>
    <w:rsid w:val="00800F64"/>
    <w:rsid w:val="00801050"/>
    <w:rsid w:val="00802F0B"/>
    <w:rsid w:val="00810A67"/>
    <w:rsid w:val="00811607"/>
    <w:rsid w:val="00813470"/>
    <w:rsid w:val="00815720"/>
    <w:rsid w:val="00815922"/>
    <w:rsid w:val="00833CF7"/>
    <w:rsid w:val="00834CDE"/>
    <w:rsid w:val="00842464"/>
    <w:rsid w:val="00845601"/>
    <w:rsid w:val="0085070B"/>
    <w:rsid w:val="00855C5C"/>
    <w:rsid w:val="0088274E"/>
    <w:rsid w:val="008A3C96"/>
    <w:rsid w:val="008A5BE0"/>
    <w:rsid w:val="008A6EFE"/>
    <w:rsid w:val="008B4019"/>
    <w:rsid w:val="008B65C9"/>
    <w:rsid w:val="008C2D4A"/>
    <w:rsid w:val="008D3900"/>
    <w:rsid w:val="008D59E0"/>
    <w:rsid w:val="008D6E1D"/>
    <w:rsid w:val="008F39B4"/>
    <w:rsid w:val="008F4162"/>
    <w:rsid w:val="00903E02"/>
    <w:rsid w:val="00913175"/>
    <w:rsid w:val="00916EDB"/>
    <w:rsid w:val="00920861"/>
    <w:rsid w:val="00922B13"/>
    <w:rsid w:val="009242EF"/>
    <w:rsid w:val="00932291"/>
    <w:rsid w:val="00932861"/>
    <w:rsid w:val="0093408E"/>
    <w:rsid w:val="00951563"/>
    <w:rsid w:val="00952DDF"/>
    <w:rsid w:val="009610A3"/>
    <w:rsid w:val="00961B83"/>
    <w:rsid w:val="00963B6A"/>
    <w:rsid w:val="009664EE"/>
    <w:rsid w:val="00970950"/>
    <w:rsid w:val="009812D4"/>
    <w:rsid w:val="009819A2"/>
    <w:rsid w:val="00982A23"/>
    <w:rsid w:val="009920D8"/>
    <w:rsid w:val="009952F5"/>
    <w:rsid w:val="009A6DB7"/>
    <w:rsid w:val="009B38BE"/>
    <w:rsid w:val="009C3D0F"/>
    <w:rsid w:val="009E1B19"/>
    <w:rsid w:val="009F35E2"/>
    <w:rsid w:val="009F36D0"/>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5D1D"/>
    <w:rsid w:val="00AA7003"/>
    <w:rsid w:val="00AB11C8"/>
    <w:rsid w:val="00AB5AF5"/>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80A0F"/>
    <w:rsid w:val="00B93DD0"/>
    <w:rsid w:val="00B97732"/>
    <w:rsid w:val="00BA65A8"/>
    <w:rsid w:val="00BA6D19"/>
    <w:rsid w:val="00BA7461"/>
    <w:rsid w:val="00BA7DA9"/>
    <w:rsid w:val="00BC4215"/>
    <w:rsid w:val="00BD1A6F"/>
    <w:rsid w:val="00BE4BD8"/>
    <w:rsid w:val="00BE6D3C"/>
    <w:rsid w:val="00BE7852"/>
    <w:rsid w:val="00BF7CEE"/>
    <w:rsid w:val="00C03880"/>
    <w:rsid w:val="00C10712"/>
    <w:rsid w:val="00C135CF"/>
    <w:rsid w:val="00C2683F"/>
    <w:rsid w:val="00C3184D"/>
    <w:rsid w:val="00C3782E"/>
    <w:rsid w:val="00C4714E"/>
    <w:rsid w:val="00C51CCA"/>
    <w:rsid w:val="00C53110"/>
    <w:rsid w:val="00C5504F"/>
    <w:rsid w:val="00C57B55"/>
    <w:rsid w:val="00C63376"/>
    <w:rsid w:val="00C74F97"/>
    <w:rsid w:val="00C8276E"/>
    <w:rsid w:val="00C842AC"/>
    <w:rsid w:val="00C96688"/>
    <w:rsid w:val="00CA0723"/>
    <w:rsid w:val="00CA136C"/>
    <w:rsid w:val="00CB1690"/>
    <w:rsid w:val="00CB569E"/>
    <w:rsid w:val="00CC4365"/>
    <w:rsid w:val="00CD11B0"/>
    <w:rsid w:val="00CE71C2"/>
    <w:rsid w:val="00CF34E9"/>
    <w:rsid w:val="00CF42D5"/>
    <w:rsid w:val="00CF4EDA"/>
    <w:rsid w:val="00D004C4"/>
    <w:rsid w:val="00D021CB"/>
    <w:rsid w:val="00D10F1A"/>
    <w:rsid w:val="00D116F8"/>
    <w:rsid w:val="00D17596"/>
    <w:rsid w:val="00D21D54"/>
    <w:rsid w:val="00D22640"/>
    <w:rsid w:val="00D26D3A"/>
    <w:rsid w:val="00D45EE3"/>
    <w:rsid w:val="00D50618"/>
    <w:rsid w:val="00D509E9"/>
    <w:rsid w:val="00D50AAE"/>
    <w:rsid w:val="00D53B1C"/>
    <w:rsid w:val="00D94DB7"/>
    <w:rsid w:val="00DA1B12"/>
    <w:rsid w:val="00DA54C9"/>
    <w:rsid w:val="00DA6739"/>
    <w:rsid w:val="00DA6CAE"/>
    <w:rsid w:val="00DB1A9E"/>
    <w:rsid w:val="00DB31D6"/>
    <w:rsid w:val="00DB4005"/>
    <w:rsid w:val="00DB6FE4"/>
    <w:rsid w:val="00DB766D"/>
    <w:rsid w:val="00DC34EB"/>
    <w:rsid w:val="00DD2C4D"/>
    <w:rsid w:val="00DF1E5B"/>
    <w:rsid w:val="00DF2275"/>
    <w:rsid w:val="00DF3F5E"/>
    <w:rsid w:val="00DF5653"/>
    <w:rsid w:val="00E0596E"/>
    <w:rsid w:val="00E05B11"/>
    <w:rsid w:val="00E06F66"/>
    <w:rsid w:val="00E228A2"/>
    <w:rsid w:val="00E356E5"/>
    <w:rsid w:val="00E36F81"/>
    <w:rsid w:val="00E45765"/>
    <w:rsid w:val="00E5098C"/>
    <w:rsid w:val="00E60213"/>
    <w:rsid w:val="00E661B2"/>
    <w:rsid w:val="00E74D29"/>
    <w:rsid w:val="00E83C74"/>
    <w:rsid w:val="00E83CEE"/>
    <w:rsid w:val="00E91F18"/>
    <w:rsid w:val="00E9226D"/>
    <w:rsid w:val="00EA2C9B"/>
    <w:rsid w:val="00EA416C"/>
    <w:rsid w:val="00EA5941"/>
    <w:rsid w:val="00EB60CE"/>
    <w:rsid w:val="00EB7D53"/>
    <w:rsid w:val="00ED7903"/>
    <w:rsid w:val="00EE3146"/>
    <w:rsid w:val="00EF27C9"/>
    <w:rsid w:val="00EF50BB"/>
    <w:rsid w:val="00EF53FF"/>
    <w:rsid w:val="00F00192"/>
    <w:rsid w:val="00F01DF6"/>
    <w:rsid w:val="00F0340D"/>
    <w:rsid w:val="00F059A6"/>
    <w:rsid w:val="00F23756"/>
    <w:rsid w:val="00F23BCC"/>
    <w:rsid w:val="00F2523A"/>
    <w:rsid w:val="00F25FFA"/>
    <w:rsid w:val="00F310D2"/>
    <w:rsid w:val="00F36F3D"/>
    <w:rsid w:val="00F4529B"/>
    <w:rsid w:val="00F477BD"/>
    <w:rsid w:val="00F51947"/>
    <w:rsid w:val="00F53491"/>
    <w:rsid w:val="00F54D48"/>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486C"/>
    <w:rsid w:val="00FD1694"/>
    <w:rsid w:val="00FD3D67"/>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D07A1C"/>
  <w15:chartTrackingRefBased/>
  <w15:docId w15:val="{1BCE17B2-6DE1-49CB-B43D-ECDDE2C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E2"/>
    <w:pPr>
      <w:spacing w:after="200" w:line="276" w:lineRule="auto"/>
    </w:pPr>
    <w:rPr>
      <w:rFonts w:asciiTheme="minorHAnsi" w:eastAsiaTheme="minorEastAsia" w:hAnsiTheme="minorHAnsi" w:cstheme="minorBidi"/>
      <w:sz w:val="22"/>
      <w:szCs w:val="22"/>
    </w:rPr>
  </w:style>
  <w:style w:type="paragraph" w:styleId="Heading1">
    <w:name w:val="heading 1"/>
    <w:basedOn w:val="Title"/>
    <w:next w:val="Normal"/>
    <w:link w:val="Heading1Char"/>
    <w:uiPriority w:val="9"/>
    <w:qFormat/>
    <w:rsid w:val="00CB569E"/>
    <w:pPr>
      <w:numPr>
        <w:numId w:val="10"/>
      </w:numPr>
      <w:spacing w:line="360" w:lineRule="auto"/>
      <w:outlineLvl w:val="0"/>
    </w:pPr>
  </w:style>
  <w:style w:type="paragraph" w:styleId="Heading2">
    <w:name w:val="heading 2"/>
    <w:basedOn w:val="ListNumber"/>
    <w:next w:val="Normal"/>
    <w:link w:val="Heading2Char"/>
    <w:uiPriority w:val="9"/>
    <w:qFormat/>
    <w:rsid w:val="000F5BF5"/>
    <w:pPr>
      <w:numPr>
        <w:ilvl w:val="1"/>
        <w:numId w:val="10"/>
      </w:numPr>
      <w:ind w:left="1004"/>
      <w:outlineLvl w:val="1"/>
    </w:pPr>
    <w:rPr>
      <w:rFonts w:ascii="Arial" w:eastAsiaTheme="majorEastAsia" w:hAnsi="Arial" w:cstheme="majorBidi"/>
      <w:b/>
      <w:bCs/>
      <w:color w:val="4A7729"/>
      <w:kern w:val="28"/>
      <w:sz w:val="28"/>
      <w:szCs w:val="28"/>
      <w:lang w:val="en-US" w:eastAsia="en-US"/>
    </w:rPr>
  </w:style>
  <w:style w:type="paragraph" w:styleId="Heading3">
    <w:name w:val="heading 3"/>
    <w:basedOn w:val="Normal"/>
    <w:next w:val="Normal"/>
    <w:link w:val="Heading3Char"/>
    <w:autoRedefine/>
    <w:uiPriority w:val="9"/>
    <w:qFormat/>
    <w:rsid w:val="000F5BF5"/>
    <w:pPr>
      <w:keepNext/>
      <w:numPr>
        <w:ilvl w:val="2"/>
        <w:numId w:val="10"/>
      </w:numPr>
      <w:ind w:left="1287"/>
      <w:outlineLvl w:val="2"/>
    </w:pPr>
    <w:rPr>
      <w:rFonts w:ascii="Arial" w:eastAsiaTheme="majorEastAsia" w:hAnsi="Arial" w:cstheme="majorBidi"/>
      <w:b/>
      <w:bCs/>
      <w:color w:val="4A7729"/>
      <w:kern w:val="28"/>
      <w:sz w:val="24"/>
      <w:szCs w:val="28"/>
      <w:lang w:val="en-US" w:eastAsia="en-US"/>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B569E"/>
    <w:rPr>
      <w:rFonts w:eastAsiaTheme="majorEastAsia" w:cstheme="majorBidi"/>
      <w:b/>
      <w:bCs/>
      <w:color w:val="4A7729"/>
      <w:kern w:val="28"/>
      <w:sz w:val="32"/>
      <w:szCs w:val="28"/>
      <w:lang w:val="en-US" w:eastAsia="en-US"/>
    </w:rPr>
  </w:style>
  <w:style w:type="character" w:customStyle="1" w:styleId="Heading2Char">
    <w:name w:val="Heading 2 Char"/>
    <w:basedOn w:val="DefaultParagraphFont"/>
    <w:link w:val="Heading2"/>
    <w:uiPriority w:val="9"/>
    <w:rsid w:val="000F5BF5"/>
    <w:rPr>
      <w:rFonts w:eastAsiaTheme="majorEastAsia" w:cstheme="majorBidi"/>
      <w:b/>
      <w:bCs/>
      <w:color w:val="4A7729"/>
      <w:kern w:val="28"/>
      <w:sz w:val="28"/>
      <w:szCs w:val="28"/>
      <w:lang w:val="en-US" w:eastAsia="en-US"/>
    </w:rPr>
  </w:style>
  <w:style w:type="character" w:customStyle="1" w:styleId="Heading3Char">
    <w:name w:val="Heading 3 Char"/>
    <w:basedOn w:val="DefaultParagraphFont"/>
    <w:link w:val="Heading3"/>
    <w:uiPriority w:val="9"/>
    <w:rsid w:val="000F5BF5"/>
    <w:rPr>
      <w:rFonts w:eastAsiaTheme="majorEastAsia" w:cstheme="majorBidi"/>
      <w:b/>
      <w:bCs/>
      <w:color w:val="4A7729"/>
      <w:kern w:val="28"/>
      <w:sz w:val="24"/>
      <w:szCs w:val="28"/>
      <w:lang w:val="en-US"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odyText1">
    <w:name w:val="Body Text1"/>
    <w:basedOn w:val="Normal"/>
    <w:link w:val="BodyText1Char"/>
    <w:qFormat/>
    <w:rsid w:val="00191BE2"/>
    <w:pPr>
      <w:spacing w:after="120"/>
    </w:pPr>
    <w:rPr>
      <w:rFonts w:ascii="Arial" w:hAnsi="Arial" w:cs="Arial"/>
      <w:sz w:val="20"/>
      <w:szCs w:val="20"/>
    </w:rPr>
  </w:style>
  <w:style w:type="character" w:customStyle="1" w:styleId="BodyText1Char">
    <w:name w:val="Body Text1 Char"/>
    <w:basedOn w:val="DefaultParagraphFont"/>
    <w:link w:val="BodyText1"/>
    <w:rsid w:val="00191BE2"/>
    <w:rPr>
      <w:rFonts w:eastAsiaTheme="minorEastAsia" w:cs="Arial"/>
    </w:rPr>
  </w:style>
  <w:style w:type="table" w:styleId="ListTable3-Accent1">
    <w:name w:val="List Table 3 Accent 1"/>
    <w:basedOn w:val="TableNormal"/>
    <w:uiPriority w:val="48"/>
    <w:rsid w:val="009819A2"/>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5">
    <w:name w:val="List Table 3 Accent 5"/>
    <w:basedOn w:val="TableNormal"/>
    <w:uiPriority w:val="48"/>
    <w:rsid w:val="009819A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FootnoteText">
    <w:name w:val="footnote text"/>
    <w:basedOn w:val="Normal"/>
    <w:link w:val="FootnoteTextChar"/>
    <w:uiPriority w:val="99"/>
    <w:unhideWhenUsed/>
    <w:rsid w:val="000D713E"/>
    <w:pPr>
      <w:spacing w:after="0"/>
    </w:pPr>
    <w:rPr>
      <w:sz w:val="16"/>
    </w:rPr>
  </w:style>
  <w:style w:type="character" w:customStyle="1" w:styleId="FootnoteTextChar">
    <w:name w:val="Footnote Text Char"/>
    <w:basedOn w:val="DefaultParagraphFont"/>
    <w:link w:val="FootnoteText"/>
    <w:uiPriority w:val="99"/>
    <w:rsid w:val="000D713E"/>
    <w:rPr>
      <w:rFonts w:asciiTheme="minorHAnsi" w:eastAsiaTheme="minorEastAsia" w:hAnsiTheme="minorHAnsi" w:cstheme="minorBidi"/>
      <w:sz w:val="16"/>
      <w:szCs w:val="22"/>
    </w:rPr>
  </w:style>
  <w:style w:type="character" w:styleId="FootnoteReference">
    <w:name w:val="footnote reference"/>
    <w:uiPriority w:val="99"/>
    <w:unhideWhenUsed/>
    <w:rsid w:val="000D713E"/>
    <w:rPr>
      <w:vertAlign w:val="superscript"/>
    </w:rPr>
  </w:style>
  <w:style w:type="character" w:styleId="Hyperlink">
    <w:name w:val="Hyperlink"/>
    <w:uiPriority w:val="99"/>
    <w:unhideWhenUsed/>
    <w:rsid w:val="00C53110"/>
    <w:rPr>
      <w:color w:val="0000FF"/>
      <w:u w:val="single"/>
    </w:rPr>
  </w:style>
  <w:style w:type="paragraph" w:customStyle="1" w:styleId="Bullet1">
    <w:name w:val="Bullet1"/>
    <w:basedOn w:val="ListParagraph"/>
    <w:link w:val="Bullet1Char"/>
    <w:qFormat/>
    <w:rsid w:val="00C53110"/>
    <w:pPr>
      <w:numPr>
        <w:numId w:val="8"/>
      </w:numPr>
      <w:spacing w:after="0"/>
      <w:ind w:left="714" w:hanging="357"/>
      <w:contextualSpacing/>
    </w:pPr>
    <w:rPr>
      <w:rFonts w:ascii="Arial" w:hAnsi="Arial" w:cs="Arial"/>
      <w:sz w:val="20"/>
      <w:szCs w:val="20"/>
    </w:rPr>
  </w:style>
  <w:style w:type="character" w:customStyle="1" w:styleId="Bullet1Char">
    <w:name w:val="Bullet1 Char"/>
    <w:basedOn w:val="DefaultParagraphFont"/>
    <w:link w:val="Bullet1"/>
    <w:rsid w:val="00C53110"/>
    <w:rPr>
      <w:rFonts w:eastAsiaTheme="minorEastAsia" w:cs="Arial"/>
    </w:rPr>
  </w:style>
  <w:style w:type="paragraph" w:styleId="Title">
    <w:name w:val="Title"/>
    <w:basedOn w:val="Normal"/>
    <w:next w:val="Normal"/>
    <w:link w:val="TitleChar"/>
    <w:uiPriority w:val="10"/>
    <w:qFormat/>
    <w:rsid w:val="008A6EFE"/>
    <w:pPr>
      <w:spacing w:after="0" w:line="240" w:lineRule="auto"/>
    </w:pPr>
    <w:rPr>
      <w:rFonts w:ascii="Arial" w:eastAsiaTheme="majorEastAsia" w:hAnsi="Arial" w:cstheme="majorBidi"/>
      <w:b/>
      <w:bCs/>
      <w:color w:val="4A7729"/>
      <w:kern w:val="28"/>
      <w:sz w:val="32"/>
      <w:szCs w:val="28"/>
      <w:lang w:val="en-US" w:eastAsia="en-US"/>
    </w:rPr>
  </w:style>
  <w:style w:type="character" w:customStyle="1" w:styleId="TitleChar">
    <w:name w:val="Title Char"/>
    <w:basedOn w:val="DefaultParagraphFont"/>
    <w:link w:val="Title"/>
    <w:uiPriority w:val="10"/>
    <w:rsid w:val="008A6EFE"/>
    <w:rPr>
      <w:rFonts w:eastAsiaTheme="majorEastAsia" w:cstheme="majorBidi"/>
      <w:b/>
      <w:bCs/>
      <w:color w:val="4A7729"/>
      <w:kern w:val="28"/>
      <w:sz w:val="32"/>
      <w:szCs w:val="28"/>
      <w:lang w:val="en-US" w:eastAsia="en-US"/>
    </w:rPr>
  </w:style>
  <w:style w:type="character" w:styleId="FollowedHyperlink">
    <w:name w:val="FollowedHyperlink"/>
    <w:basedOn w:val="DefaultParagraphFont"/>
    <w:uiPriority w:val="99"/>
    <w:semiHidden/>
    <w:unhideWhenUsed/>
    <w:rsid w:val="00AB5AF5"/>
    <w:rPr>
      <w:color w:val="800080" w:themeColor="followedHyperlink"/>
      <w:u w:val="single"/>
    </w:rPr>
  </w:style>
  <w:style w:type="character" w:styleId="Strong">
    <w:name w:val="Strong"/>
    <w:uiPriority w:val="22"/>
    <w:qFormat/>
    <w:rsid w:val="00D50AAE"/>
    <w:rPr>
      <w:rFonts w:ascii="Arial" w:hAnsi="Arial" w:cs="Arial"/>
      <w:b/>
      <w:sz w:val="20"/>
      <w:szCs w:val="20"/>
    </w:rPr>
  </w:style>
  <w:style w:type="character" w:styleId="CommentReference">
    <w:name w:val="annotation reference"/>
    <w:basedOn w:val="DefaultParagraphFont"/>
    <w:uiPriority w:val="99"/>
    <w:semiHidden/>
    <w:unhideWhenUsed/>
    <w:rsid w:val="003F18FD"/>
    <w:rPr>
      <w:sz w:val="16"/>
      <w:szCs w:val="16"/>
    </w:rPr>
  </w:style>
  <w:style w:type="paragraph" w:styleId="CommentText">
    <w:name w:val="annotation text"/>
    <w:basedOn w:val="Normal"/>
    <w:link w:val="CommentTextChar"/>
    <w:uiPriority w:val="99"/>
    <w:semiHidden/>
    <w:unhideWhenUsed/>
    <w:rsid w:val="003F18FD"/>
    <w:pPr>
      <w:spacing w:line="240" w:lineRule="auto"/>
    </w:pPr>
    <w:rPr>
      <w:sz w:val="20"/>
      <w:szCs w:val="20"/>
    </w:rPr>
  </w:style>
  <w:style w:type="character" w:customStyle="1" w:styleId="CommentTextChar">
    <w:name w:val="Comment Text Char"/>
    <w:basedOn w:val="DefaultParagraphFont"/>
    <w:link w:val="CommentText"/>
    <w:uiPriority w:val="99"/>
    <w:semiHidden/>
    <w:rsid w:val="003F18F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3F18FD"/>
    <w:rPr>
      <w:b/>
      <w:bCs/>
    </w:rPr>
  </w:style>
  <w:style w:type="character" w:customStyle="1" w:styleId="CommentSubjectChar">
    <w:name w:val="Comment Subject Char"/>
    <w:basedOn w:val="CommentTextChar"/>
    <w:link w:val="CommentSubject"/>
    <w:uiPriority w:val="99"/>
    <w:semiHidden/>
    <w:rsid w:val="003F18FD"/>
    <w:rPr>
      <w:rFonts w:asciiTheme="minorHAnsi" w:eastAsiaTheme="minorEastAsia" w:hAnsiTheme="minorHAnsi" w:cstheme="minorBidi"/>
      <w:b/>
      <w:bCs/>
    </w:rPr>
  </w:style>
  <w:style w:type="paragraph" w:styleId="Revision">
    <w:name w:val="Revision"/>
    <w:hidden/>
    <w:uiPriority w:val="99"/>
    <w:semiHidden/>
    <w:rsid w:val="003F18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72636">
      <w:bodyDiv w:val="1"/>
      <w:marLeft w:val="0"/>
      <w:marRight w:val="0"/>
      <w:marTop w:val="0"/>
      <w:marBottom w:val="0"/>
      <w:divBdr>
        <w:top w:val="none" w:sz="0" w:space="0" w:color="auto"/>
        <w:left w:val="none" w:sz="0" w:space="0" w:color="auto"/>
        <w:bottom w:val="none" w:sz="0" w:space="0" w:color="auto"/>
        <w:right w:val="none" w:sz="0" w:space="0" w:color="auto"/>
      </w:divBdr>
    </w:div>
    <w:div w:id="923612568">
      <w:bodyDiv w:val="1"/>
      <w:marLeft w:val="0"/>
      <w:marRight w:val="0"/>
      <w:marTop w:val="0"/>
      <w:marBottom w:val="0"/>
      <w:divBdr>
        <w:top w:val="none" w:sz="0" w:space="0" w:color="auto"/>
        <w:left w:val="none" w:sz="0" w:space="0" w:color="auto"/>
        <w:bottom w:val="none" w:sz="0" w:space="0" w:color="auto"/>
        <w:right w:val="none" w:sz="0" w:space="0" w:color="auto"/>
      </w:divBdr>
    </w:div>
    <w:div w:id="1337808499">
      <w:bodyDiv w:val="1"/>
      <w:marLeft w:val="0"/>
      <w:marRight w:val="0"/>
      <w:marTop w:val="0"/>
      <w:marBottom w:val="0"/>
      <w:divBdr>
        <w:top w:val="none" w:sz="0" w:space="0" w:color="auto"/>
        <w:left w:val="none" w:sz="0" w:space="0" w:color="auto"/>
        <w:bottom w:val="none" w:sz="0" w:space="0" w:color="auto"/>
        <w:right w:val="none" w:sz="0" w:space="0" w:color="auto"/>
      </w:divBdr>
    </w:div>
    <w:div w:id="1494491713">
      <w:bodyDiv w:val="1"/>
      <w:marLeft w:val="0"/>
      <w:marRight w:val="0"/>
      <w:marTop w:val="0"/>
      <w:marBottom w:val="0"/>
      <w:divBdr>
        <w:top w:val="none" w:sz="0" w:space="0" w:color="auto"/>
        <w:left w:val="none" w:sz="0" w:space="0" w:color="auto"/>
        <w:bottom w:val="none" w:sz="0" w:space="0" w:color="auto"/>
        <w:right w:val="none" w:sz="0" w:space="0" w:color="auto"/>
      </w:divBdr>
    </w:div>
    <w:div w:id="18902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ergyrating.gov.au/document/gems-compliance-policy-e3-program" TargetMode="External"/><Relationship Id="rId18" Type="http://schemas.openxmlformats.org/officeDocument/2006/relationships/hyperlink" Target="http://www.energyrating.gov.au/suppliers/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3.Compliance@environment.gov.au" TargetMode="External"/><Relationship Id="rId2" Type="http://schemas.openxmlformats.org/officeDocument/2006/relationships/customXml" Target="../customXml/item2.xml"/><Relationship Id="rId16" Type="http://schemas.openxmlformats.org/officeDocument/2006/relationships/hyperlink" Target="http://reg.energyrating.gov.au/comparator/product_typ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nergyrating.gov.au/suppliers/registration"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lii.edu.au/au/legis/cth/consol_act/ca191482/s4aa.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Description xmlns="dca4b455-8b9b-405b-8a0f-4e99acf53253" xsi:nil="true"/>
    <Branch xmlns="dca4b455-8b9b-405b-8a0f-4e99acf53253">
      <UserInfo>
        <DisplayName/>
        <AccountId xsi:nil="true"/>
        <AccountType/>
      </UserInfo>
    </Branch>
    <RecordNumber xmlns="dca4b455-8b9b-405b-8a0f-4e99acf53253">002408481</RecordNumber>
    <Approval xmlns="dca4b455-8b9b-405b-8a0f-4e99acf53253">Approved</Approval>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13DD0D1E0504704A9A546361C743C587010020C6FC7C4CB02F49B5C64692A2840B1E" ma:contentTypeVersion="7" ma:contentTypeDescription="Create a new Word Document" ma:contentTypeScope="" ma:versionID="b575f8acf75cdaa4f47cf42249eaa8e3">
  <xsd:schema xmlns:xsd="http://www.w3.org/2001/XMLSchema" xmlns:xs="http://www.w3.org/2001/XMLSchema" xmlns:p="http://schemas.microsoft.com/office/2006/metadata/properties" xmlns:ns2="dca4b455-8b9b-405b-8a0f-4e99acf53253" targetNamespace="http://schemas.microsoft.com/office/2006/metadata/properties" ma:root="true" ma:fieldsID="94a621a1917b601dafe3ba430f38ffad" ns2:_="">
    <xsd:import namespace="dca4b455-8b9b-405b-8a0f-4e99acf53253"/>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C993A-F53D-418E-BD80-5C0766DE6D04}"/>
</file>

<file path=customXml/itemProps2.xml><?xml version="1.0" encoding="utf-8"?>
<ds:datastoreItem xmlns:ds="http://schemas.openxmlformats.org/officeDocument/2006/customXml" ds:itemID="{9BAD3DB7-147D-407B-B034-A63C38F3EB9D}"/>
</file>

<file path=customXml/itemProps3.xml><?xml version="1.0" encoding="utf-8"?>
<ds:datastoreItem xmlns:ds="http://schemas.openxmlformats.org/officeDocument/2006/customXml" ds:itemID="{AEB3EAAF-6DE0-44F9-A3D8-0B323CA629E9}"/>
</file>

<file path=customXml/itemProps4.xml><?xml version="1.0" encoding="utf-8"?>
<ds:datastoreItem xmlns:ds="http://schemas.openxmlformats.org/officeDocument/2006/customXml" ds:itemID="{158FE500-CC54-461C-A025-1C42754B626B}"/>
</file>

<file path=customXml/itemProps5.xml><?xml version="1.0" encoding="utf-8"?>
<ds:datastoreItem xmlns:ds="http://schemas.openxmlformats.org/officeDocument/2006/customXml" ds:itemID="{2E57156A-C9CC-410B-94F4-21ACC93B3FCE}"/>
</file>

<file path=customXml/itemProps6.xml><?xml version="1.0" encoding="utf-8"?>
<ds:datastoreItem xmlns:ds="http://schemas.openxmlformats.org/officeDocument/2006/customXml" ds:itemID="{B5D39E57-FC39-4C66-BEA5-6F17030C41BC}"/>
</file>

<file path=docProps/app.xml><?xml version="1.0" encoding="utf-8"?>
<Properties xmlns="http://schemas.openxmlformats.org/officeDocument/2006/extended-properties" xmlns:vt="http://schemas.openxmlformats.org/officeDocument/2006/docPropsVTypes">
  <Template>53AD187D.dotm</Template>
  <TotalTime>817</TotalTime>
  <Pages>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2017 18 draft report ERL products</vt:lpstr>
    </vt:vector>
  </TitlesOfParts>
  <Company>The Department of the Environment</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18 report ERL products</dc:title>
  <dc:subject/>
  <dc:creator>Wolter, Michael</dc:creator>
  <cp:keywords/>
  <dc:description/>
  <cp:lastModifiedBy>Wolter, Michael</cp:lastModifiedBy>
  <cp:revision>43</cp:revision>
  <dcterms:created xsi:type="dcterms:W3CDTF">2018-08-15T03:26:00Z</dcterms:created>
  <dcterms:modified xsi:type="dcterms:W3CDTF">2018-09-20T01:11:00Z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0x01010013DD0D1E0504704A9A546361C743C587010020C6FC7C4CB02F49B5C64692A2840B1E</vt:lpwstr>
  </property>
  <property fmtid="{D5CDD505-2E9C-101B-9397-08002B2CF9AE}" pid="3" name="RecordPoint_WorkflowType">
    <vt:lpwstr>ActiveSubmitStub</vt:lpwstr>
  </property>
  <property fmtid="{D5CDD505-2E9C-101B-9397-08002B2CF9AE}" pid="4" name="RecordPoint_ActiveItemSiteId">
    <vt:lpwstr>{5d5943af-3559-4aa8-b232-61db5aa26396}</vt:lpwstr>
  </property>
  <property fmtid="{D5CDD505-2E9C-101B-9397-08002B2CF9AE}" pid="5" name="RecordPoint_ActiveItemListId">
    <vt:lpwstr>{f2a2c9d2-fc29-4933-a251-3f26342e3e06}</vt:lpwstr>
  </property>
  <property fmtid="{D5CDD505-2E9C-101B-9397-08002B2CF9AE}" pid="6" name="RecordPoint_ActiveItemUniqueId">
    <vt:lpwstr>{73ea387f-77a5-41ae-a26f-33e7454cdf71}</vt:lpwstr>
  </property>
  <property fmtid="{D5CDD505-2E9C-101B-9397-08002B2CF9AE}" pid="7" name="RecordPoint_ActiveItemWebId">
    <vt:lpwstr>{7f8fbf13-1c02-4ddf-ad5c-9013fd1a2fbc}</vt:lpwstr>
  </property>
  <property fmtid="{D5CDD505-2E9C-101B-9397-08002B2CF9AE}" pid="8" name="RecordPoint_RecordNumberSubmitted">
    <vt:lpwstr>002408481</vt:lpwstr>
  </property>
  <property fmtid="{D5CDD505-2E9C-101B-9397-08002B2CF9AE}" pid="9" name="RecordPoint_SubmissionCompleted">
    <vt:lpwstr>2018-09-19T01:42:20.3020329+10:00</vt:lpwstr>
  </property>
</Properties>
</file>