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2C335" w14:textId="77777777" w:rsidR="00DE0195" w:rsidRPr="00B72688" w:rsidRDefault="00DE0195" w:rsidP="008A57D5"/>
    <w:p w14:paraId="0987AD90" w14:textId="7EFD223B" w:rsidR="00DE0195" w:rsidRPr="00B72688" w:rsidRDefault="00C14E37" w:rsidP="00DE0195">
      <w:pPr>
        <w:pStyle w:val="TitleCover"/>
      </w:pPr>
      <w:bookmarkStart w:id="0" w:name="_GoBack"/>
      <w:r>
        <w:t>RBS</w:t>
      </w:r>
      <w:r w:rsidR="00EF2AEE">
        <w:t xml:space="preserve">2.0 </w:t>
      </w:r>
      <w:r>
        <w:t xml:space="preserve">Methodology </w:t>
      </w:r>
      <w:r w:rsidR="00391B80">
        <w:t>Report</w:t>
      </w:r>
      <w:bookmarkEnd w:id="0"/>
    </w:p>
    <w:p w14:paraId="351A109B" w14:textId="77777777" w:rsidR="00DE0195" w:rsidRPr="00B72688" w:rsidRDefault="00DE0195" w:rsidP="00DE0195">
      <w:pPr>
        <w:ind w:left="851"/>
      </w:pPr>
    </w:p>
    <w:p w14:paraId="43FBD2FD" w14:textId="77777777" w:rsidR="00DE0195" w:rsidRPr="00B72688" w:rsidRDefault="00DE0195" w:rsidP="00DE0195">
      <w:pPr>
        <w:ind w:left="851"/>
      </w:pPr>
    </w:p>
    <w:p w14:paraId="2EDA1518" w14:textId="77777777" w:rsidR="00DE0195" w:rsidRPr="00B72688" w:rsidRDefault="00DE0195" w:rsidP="003D2CC4">
      <w:pPr>
        <w:ind w:firstLine="131"/>
      </w:pPr>
      <w:r w:rsidRPr="00B72688">
        <w:t>Prepared for</w:t>
      </w:r>
    </w:p>
    <w:p w14:paraId="7F6803BF" w14:textId="2DEA3FA1" w:rsidR="00DE0195" w:rsidRPr="00B72688" w:rsidRDefault="003F0119" w:rsidP="00DE0195">
      <w:pPr>
        <w:pStyle w:val="ClientName"/>
      </w:pPr>
      <w:r w:rsidRPr="00B72688">
        <w:t xml:space="preserve">Department of </w:t>
      </w:r>
      <w:r w:rsidR="00C14E37">
        <w:t xml:space="preserve">Industry, Science, Energy and Resources </w:t>
      </w:r>
    </w:p>
    <w:p w14:paraId="5464A1E8" w14:textId="77777777" w:rsidR="00DE0195" w:rsidRPr="00B72688" w:rsidRDefault="00DE0195" w:rsidP="00DE0195">
      <w:pPr>
        <w:ind w:left="284" w:firstLine="567"/>
      </w:pPr>
    </w:p>
    <w:p w14:paraId="33A4344C" w14:textId="77777777" w:rsidR="00DE0195" w:rsidRPr="00B72688" w:rsidRDefault="00DE0195" w:rsidP="009D4EF6"/>
    <w:p w14:paraId="3D771A7B" w14:textId="7D37C5AD" w:rsidR="00DE0195" w:rsidRPr="00B72688" w:rsidRDefault="00E675FA" w:rsidP="00DE0195">
      <w:pPr>
        <w:pStyle w:val="FooterDate"/>
      </w:pPr>
      <w:r>
        <w:t>2 September</w:t>
      </w:r>
      <w:r w:rsidR="00C14E37">
        <w:t xml:space="preserve"> </w:t>
      </w:r>
      <w:r w:rsidR="00DE0195" w:rsidRPr="005C1648">
        <w:t>20</w:t>
      </w:r>
      <w:r w:rsidR="00C14E37">
        <w:t>20</w:t>
      </w:r>
    </w:p>
    <w:p w14:paraId="1D3FB67B" w14:textId="23793935" w:rsidR="00DE0195" w:rsidRPr="00C74CB3" w:rsidRDefault="00C74CB3" w:rsidP="008A57D5">
      <w:pPr>
        <w:rPr>
          <w:rFonts w:asciiTheme="minorHAnsi" w:eastAsia="Times" w:hAnsiTheme="minorHAnsi" w:cs="Times New Roman"/>
          <w:i/>
          <w:sz w:val="40"/>
          <w:szCs w:val="20"/>
        </w:rPr>
      </w:pPr>
      <w:r w:rsidRPr="00187C56">
        <w:rPr>
          <w:rFonts w:asciiTheme="minorHAnsi" w:eastAsia="Times" w:hAnsiTheme="minorHAnsi" w:cs="Times New Roman"/>
          <w:i/>
          <w:sz w:val="40"/>
          <w:szCs w:val="20"/>
        </w:rPr>
        <w:t>V</w:t>
      </w:r>
      <w:r w:rsidR="00E675FA">
        <w:rPr>
          <w:rFonts w:asciiTheme="minorHAnsi" w:eastAsia="Times" w:hAnsiTheme="minorHAnsi" w:cs="Times New Roman"/>
          <w:i/>
          <w:sz w:val="40"/>
          <w:szCs w:val="20"/>
        </w:rPr>
        <w:t>1.</w:t>
      </w:r>
      <w:r w:rsidR="00525232">
        <w:rPr>
          <w:rFonts w:asciiTheme="minorHAnsi" w:eastAsia="Times" w:hAnsiTheme="minorHAnsi" w:cs="Times New Roman"/>
          <w:i/>
          <w:sz w:val="40"/>
          <w:szCs w:val="20"/>
        </w:rPr>
        <w:t>3</w:t>
      </w:r>
    </w:p>
    <w:p w14:paraId="30483F56" w14:textId="77777777" w:rsidR="00406C69" w:rsidRPr="00406C69" w:rsidRDefault="00DE0195" w:rsidP="00406C69">
      <w:r w:rsidRPr="00B72688">
        <w:rPr>
          <w:noProof/>
          <w:lang w:eastAsia="en-AU"/>
        </w:rPr>
        <w:drawing>
          <wp:anchor distT="0" distB="0" distL="114300" distR="114300" simplePos="0" relativeHeight="251658240" behindDoc="1" locked="0" layoutInCell="1" allowOverlap="1" wp14:anchorId="4EA98660" wp14:editId="5894F07B">
            <wp:simplePos x="0" y="0"/>
            <wp:positionH relativeFrom="margin">
              <wp:align>right</wp:align>
            </wp:positionH>
            <wp:positionV relativeFrom="paragraph">
              <wp:posOffset>4638675</wp:posOffset>
            </wp:positionV>
            <wp:extent cx="2463800" cy="387350"/>
            <wp:effectExtent l="0" t="0" r="0" b="0"/>
            <wp:wrapTight wrapText="bothSides">
              <wp:wrapPolygon edited="0">
                <wp:start x="0" y="0"/>
                <wp:lineTo x="0" y="20184"/>
                <wp:lineTo x="21377" y="20184"/>
                <wp:lineTo x="21377" y="0"/>
                <wp:lineTo x="0" y="0"/>
              </wp:wrapPolygon>
            </wp:wrapTight>
            <wp:docPr id="13" name="Picture 13"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rgy logo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38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297FD" w14:textId="77777777" w:rsidR="00406C69" w:rsidRPr="00406C69" w:rsidRDefault="00406C69" w:rsidP="00406C69"/>
    <w:p w14:paraId="047DA546" w14:textId="77777777" w:rsidR="00406C69" w:rsidRPr="00406C69" w:rsidRDefault="00406C69" w:rsidP="00406C69"/>
    <w:p w14:paraId="633A122B" w14:textId="77777777" w:rsidR="00406C69" w:rsidRPr="00406C69" w:rsidRDefault="00406C69" w:rsidP="00406C69"/>
    <w:p w14:paraId="45D7EE1D" w14:textId="77777777" w:rsidR="00406C69" w:rsidRPr="00406C69" w:rsidRDefault="00406C69" w:rsidP="00406C69"/>
    <w:p w14:paraId="07D696FF" w14:textId="77777777" w:rsidR="00406C69" w:rsidRPr="00406C69" w:rsidRDefault="00406C69" w:rsidP="00406C69"/>
    <w:p w14:paraId="4E6B5A8D" w14:textId="77777777" w:rsidR="00406C69" w:rsidRPr="00406C69" w:rsidRDefault="00406C69" w:rsidP="00406C69">
      <w:pPr>
        <w:sectPr w:rsidR="00406C69" w:rsidRPr="00406C69" w:rsidSect="00843D17">
          <w:headerReference w:type="default" r:id="rId13"/>
          <w:footerReference w:type="default" r:id="rId14"/>
          <w:headerReference w:type="first" r:id="rId15"/>
          <w:footerReference w:type="first" r:id="rId16"/>
          <w:pgSz w:w="11906" w:h="16838"/>
          <w:pgMar w:top="1440" w:right="1332" w:bottom="1440" w:left="1332" w:header="720" w:footer="720" w:gutter="0"/>
          <w:cols w:space="720"/>
          <w:titlePg/>
          <w:docGrid w:linePitch="360"/>
        </w:sectPr>
      </w:pPr>
    </w:p>
    <w:p w14:paraId="077DA99E" w14:textId="77777777" w:rsidR="003D2CC4" w:rsidRPr="00B72688" w:rsidRDefault="003D2CC4" w:rsidP="006F62D5">
      <w:pPr>
        <w:pStyle w:val="ContentsHeading"/>
        <w:spacing w:after="120"/>
      </w:pPr>
      <w:r w:rsidRPr="00B72688">
        <w:lastRenderedPageBreak/>
        <w:t>Contents</w:t>
      </w:r>
    </w:p>
    <w:p w14:paraId="24E5316E" w14:textId="3143FE70" w:rsidR="000E59C0" w:rsidRDefault="00524B9D">
      <w:pPr>
        <w:pStyle w:val="TOC1"/>
        <w:rPr>
          <w:rFonts w:asciiTheme="minorHAnsi" w:eastAsiaTheme="minorEastAsia" w:hAnsiTheme="minorHAnsi"/>
          <w:noProof/>
          <w:lang w:eastAsia="en-AU"/>
        </w:rPr>
      </w:pPr>
      <w:r w:rsidRPr="00B72688">
        <w:fldChar w:fldCharType="begin"/>
      </w:r>
      <w:r w:rsidRPr="00B72688">
        <w:instrText xml:space="preserve"> TOC \h \z \t "Heading 1,1,Heading 2,2" </w:instrText>
      </w:r>
      <w:r w:rsidRPr="00B72688">
        <w:fldChar w:fldCharType="separate"/>
      </w:r>
      <w:hyperlink w:anchor="_Toc99115754" w:history="1">
        <w:r w:rsidR="000E59C0" w:rsidRPr="008805EA">
          <w:rPr>
            <w:rStyle w:val="Hyperlink"/>
            <w:noProof/>
          </w:rPr>
          <w:t>1.</w:t>
        </w:r>
        <w:r w:rsidR="000E59C0">
          <w:rPr>
            <w:rFonts w:asciiTheme="minorHAnsi" w:eastAsiaTheme="minorEastAsia" w:hAnsiTheme="minorHAnsi"/>
            <w:noProof/>
            <w:lang w:eastAsia="en-AU"/>
          </w:rPr>
          <w:tab/>
        </w:r>
        <w:r w:rsidR="000E59C0" w:rsidRPr="008805EA">
          <w:rPr>
            <w:rStyle w:val="Hyperlink"/>
            <w:noProof/>
          </w:rPr>
          <w:t>Introduction</w:t>
        </w:r>
        <w:r w:rsidR="000E59C0">
          <w:rPr>
            <w:noProof/>
            <w:webHidden/>
          </w:rPr>
          <w:tab/>
        </w:r>
        <w:r w:rsidR="000E59C0">
          <w:rPr>
            <w:noProof/>
            <w:webHidden/>
          </w:rPr>
          <w:fldChar w:fldCharType="begin"/>
        </w:r>
        <w:r w:rsidR="000E59C0">
          <w:rPr>
            <w:noProof/>
            <w:webHidden/>
          </w:rPr>
          <w:instrText xml:space="preserve"> PAGEREF _Toc99115754 \h </w:instrText>
        </w:r>
        <w:r w:rsidR="000E59C0">
          <w:rPr>
            <w:noProof/>
            <w:webHidden/>
          </w:rPr>
        </w:r>
        <w:r w:rsidR="000E59C0">
          <w:rPr>
            <w:noProof/>
            <w:webHidden/>
          </w:rPr>
          <w:fldChar w:fldCharType="separate"/>
        </w:r>
        <w:r w:rsidR="000E59C0">
          <w:rPr>
            <w:noProof/>
            <w:webHidden/>
          </w:rPr>
          <w:t>1</w:t>
        </w:r>
        <w:r w:rsidR="000E59C0">
          <w:rPr>
            <w:noProof/>
            <w:webHidden/>
          </w:rPr>
          <w:fldChar w:fldCharType="end"/>
        </w:r>
      </w:hyperlink>
    </w:p>
    <w:p w14:paraId="07A60069" w14:textId="42FA4D87" w:rsidR="000E59C0" w:rsidRDefault="000C3710">
      <w:pPr>
        <w:pStyle w:val="TOC2"/>
        <w:rPr>
          <w:rFonts w:asciiTheme="minorHAnsi" w:eastAsiaTheme="minorEastAsia" w:hAnsiTheme="minorHAnsi"/>
          <w:noProof/>
          <w:lang w:eastAsia="en-AU"/>
        </w:rPr>
      </w:pPr>
      <w:hyperlink w:anchor="_Toc99115755" w:history="1">
        <w:r w:rsidR="000E59C0" w:rsidRPr="008805EA">
          <w:rPr>
            <w:rStyle w:val="Hyperlink"/>
            <w:noProof/>
          </w:rPr>
          <w:t>Background: Objectives and Scope of the RBS</w:t>
        </w:r>
        <w:r w:rsidR="000E59C0">
          <w:rPr>
            <w:noProof/>
            <w:webHidden/>
          </w:rPr>
          <w:tab/>
        </w:r>
        <w:r w:rsidR="000E59C0">
          <w:rPr>
            <w:noProof/>
            <w:webHidden/>
          </w:rPr>
          <w:fldChar w:fldCharType="begin"/>
        </w:r>
        <w:r w:rsidR="000E59C0">
          <w:rPr>
            <w:noProof/>
            <w:webHidden/>
          </w:rPr>
          <w:instrText xml:space="preserve"> PAGEREF _Toc99115755 \h </w:instrText>
        </w:r>
        <w:r w:rsidR="000E59C0">
          <w:rPr>
            <w:noProof/>
            <w:webHidden/>
          </w:rPr>
        </w:r>
        <w:r w:rsidR="000E59C0">
          <w:rPr>
            <w:noProof/>
            <w:webHidden/>
          </w:rPr>
          <w:fldChar w:fldCharType="separate"/>
        </w:r>
        <w:r w:rsidR="000E59C0">
          <w:rPr>
            <w:noProof/>
            <w:webHidden/>
          </w:rPr>
          <w:t>1</w:t>
        </w:r>
        <w:r w:rsidR="000E59C0">
          <w:rPr>
            <w:noProof/>
            <w:webHidden/>
          </w:rPr>
          <w:fldChar w:fldCharType="end"/>
        </w:r>
      </w:hyperlink>
    </w:p>
    <w:p w14:paraId="066A7F82" w14:textId="00B4FC65" w:rsidR="000E59C0" w:rsidRDefault="000C3710">
      <w:pPr>
        <w:pStyle w:val="TOC2"/>
        <w:rPr>
          <w:rFonts w:asciiTheme="minorHAnsi" w:eastAsiaTheme="minorEastAsia" w:hAnsiTheme="minorHAnsi"/>
          <w:noProof/>
          <w:lang w:eastAsia="en-AU"/>
        </w:rPr>
      </w:pPr>
      <w:hyperlink w:anchor="_Toc99115756" w:history="1">
        <w:r w:rsidR="000E59C0" w:rsidRPr="008805EA">
          <w:rPr>
            <w:rStyle w:val="Hyperlink"/>
            <w:noProof/>
          </w:rPr>
          <w:t>RBS Enhancements and Stakeholder Consultation</w:t>
        </w:r>
        <w:r w:rsidR="000E59C0">
          <w:rPr>
            <w:noProof/>
            <w:webHidden/>
          </w:rPr>
          <w:tab/>
        </w:r>
        <w:r w:rsidR="000E59C0">
          <w:rPr>
            <w:noProof/>
            <w:webHidden/>
          </w:rPr>
          <w:fldChar w:fldCharType="begin"/>
        </w:r>
        <w:r w:rsidR="000E59C0">
          <w:rPr>
            <w:noProof/>
            <w:webHidden/>
          </w:rPr>
          <w:instrText xml:space="preserve"> PAGEREF _Toc99115756 \h </w:instrText>
        </w:r>
        <w:r w:rsidR="000E59C0">
          <w:rPr>
            <w:noProof/>
            <w:webHidden/>
          </w:rPr>
        </w:r>
        <w:r w:rsidR="000E59C0">
          <w:rPr>
            <w:noProof/>
            <w:webHidden/>
          </w:rPr>
          <w:fldChar w:fldCharType="separate"/>
        </w:r>
        <w:r w:rsidR="000E59C0">
          <w:rPr>
            <w:noProof/>
            <w:webHidden/>
          </w:rPr>
          <w:t>2</w:t>
        </w:r>
        <w:r w:rsidR="000E59C0">
          <w:rPr>
            <w:noProof/>
            <w:webHidden/>
          </w:rPr>
          <w:fldChar w:fldCharType="end"/>
        </w:r>
      </w:hyperlink>
    </w:p>
    <w:p w14:paraId="3EAA5D04" w14:textId="2F7C35F5" w:rsidR="000E59C0" w:rsidRDefault="000C3710">
      <w:pPr>
        <w:pStyle w:val="TOC1"/>
        <w:rPr>
          <w:rFonts w:asciiTheme="minorHAnsi" w:eastAsiaTheme="minorEastAsia" w:hAnsiTheme="minorHAnsi"/>
          <w:noProof/>
          <w:lang w:eastAsia="en-AU"/>
        </w:rPr>
      </w:pPr>
      <w:hyperlink w:anchor="_Toc99115757" w:history="1">
        <w:r w:rsidR="000E59C0" w:rsidRPr="008805EA">
          <w:rPr>
            <w:rStyle w:val="Hyperlink"/>
            <w:noProof/>
          </w:rPr>
          <w:t>2.</w:t>
        </w:r>
        <w:r w:rsidR="000E59C0">
          <w:rPr>
            <w:rFonts w:asciiTheme="minorHAnsi" w:eastAsiaTheme="minorEastAsia" w:hAnsiTheme="minorHAnsi"/>
            <w:noProof/>
            <w:lang w:eastAsia="en-AU"/>
          </w:rPr>
          <w:tab/>
        </w:r>
        <w:r w:rsidR="000E59C0" w:rsidRPr="008805EA">
          <w:rPr>
            <w:rStyle w:val="Hyperlink"/>
            <w:noProof/>
          </w:rPr>
          <w:t>Methodology</w:t>
        </w:r>
        <w:r w:rsidR="000E59C0">
          <w:rPr>
            <w:noProof/>
            <w:webHidden/>
          </w:rPr>
          <w:tab/>
        </w:r>
        <w:r w:rsidR="000E59C0">
          <w:rPr>
            <w:noProof/>
            <w:webHidden/>
          </w:rPr>
          <w:fldChar w:fldCharType="begin"/>
        </w:r>
        <w:r w:rsidR="000E59C0">
          <w:rPr>
            <w:noProof/>
            <w:webHidden/>
          </w:rPr>
          <w:instrText xml:space="preserve"> PAGEREF _Toc99115757 \h </w:instrText>
        </w:r>
        <w:r w:rsidR="000E59C0">
          <w:rPr>
            <w:noProof/>
            <w:webHidden/>
          </w:rPr>
        </w:r>
        <w:r w:rsidR="000E59C0">
          <w:rPr>
            <w:noProof/>
            <w:webHidden/>
          </w:rPr>
          <w:fldChar w:fldCharType="separate"/>
        </w:r>
        <w:r w:rsidR="000E59C0">
          <w:rPr>
            <w:noProof/>
            <w:webHidden/>
          </w:rPr>
          <w:t>3</w:t>
        </w:r>
        <w:r w:rsidR="000E59C0">
          <w:rPr>
            <w:noProof/>
            <w:webHidden/>
          </w:rPr>
          <w:fldChar w:fldCharType="end"/>
        </w:r>
      </w:hyperlink>
    </w:p>
    <w:p w14:paraId="28BF4489" w14:textId="2454358C" w:rsidR="000E59C0" w:rsidRDefault="000C3710">
      <w:pPr>
        <w:pStyle w:val="TOC2"/>
        <w:rPr>
          <w:rFonts w:asciiTheme="minorHAnsi" w:eastAsiaTheme="minorEastAsia" w:hAnsiTheme="minorHAnsi"/>
          <w:noProof/>
          <w:lang w:eastAsia="en-AU"/>
        </w:rPr>
      </w:pPr>
      <w:hyperlink w:anchor="_Toc99115758" w:history="1">
        <w:r w:rsidR="000E59C0" w:rsidRPr="008805EA">
          <w:rPr>
            <w:rStyle w:val="Hyperlink"/>
            <w:noProof/>
          </w:rPr>
          <w:t>Summary of Core Model</w:t>
        </w:r>
        <w:r w:rsidR="000E59C0">
          <w:rPr>
            <w:noProof/>
            <w:webHidden/>
          </w:rPr>
          <w:tab/>
        </w:r>
        <w:r w:rsidR="000E59C0">
          <w:rPr>
            <w:noProof/>
            <w:webHidden/>
          </w:rPr>
          <w:fldChar w:fldCharType="begin"/>
        </w:r>
        <w:r w:rsidR="000E59C0">
          <w:rPr>
            <w:noProof/>
            <w:webHidden/>
          </w:rPr>
          <w:instrText xml:space="preserve"> PAGEREF _Toc99115758 \h </w:instrText>
        </w:r>
        <w:r w:rsidR="000E59C0">
          <w:rPr>
            <w:noProof/>
            <w:webHidden/>
          </w:rPr>
        </w:r>
        <w:r w:rsidR="000E59C0">
          <w:rPr>
            <w:noProof/>
            <w:webHidden/>
          </w:rPr>
          <w:fldChar w:fldCharType="separate"/>
        </w:r>
        <w:r w:rsidR="000E59C0">
          <w:rPr>
            <w:noProof/>
            <w:webHidden/>
          </w:rPr>
          <w:t>3</w:t>
        </w:r>
        <w:r w:rsidR="000E59C0">
          <w:rPr>
            <w:noProof/>
            <w:webHidden/>
          </w:rPr>
          <w:fldChar w:fldCharType="end"/>
        </w:r>
      </w:hyperlink>
    </w:p>
    <w:p w14:paraId="4CB50CB1" w14:textId="645FB914" w:rsidR="000E59C0" w:rsidRDefault="000C3710">
      <w:pPr>
        <w:pStyle w:val="TOC2"/>
        <w:rPr>
          <w:rFonts w:asciiTheme="minorHAnsi" w:eastAsiaTheme="minorEastAsia" w:hAnsiTheme="minorHAnsi"/>
          <w:noProof/>
          <w:lang w:eastAsia="en-AU"/>
        </w:rPr>
      </w:pPr>
      <w:hyperlink w:anchor="_Toc99115759" w:history="1">
        <w:r w:rsidR="000E59C0" w:rsidRPr="008805EA">
          <w:rPr>
            <w:rStyle w:val="Hyperlink"/>
            <w:noProof/>
          </w:rPr>
          <w:t>Summary of Proposed Changes: RBS1.0 to RBS2.0</w:t>
        </w:r>
        <w:r w:rsidR="000E59C0">
          <w:rPr>
            <w:noProof/>
            <w:webHidden/>
          </w:rPr>
          <w:tab/>
        </w:r>
        <w:r w:rsidR="000E59C0">
          <w:rPr>
            <w:noProof/>
            <w:webHidden/>
          </w:rPr>
          <w:fldChar w:fldCharType="begin"/>
        </w:r>
        <w:r w:rsidR="000E59C0">
          <w:rPr>
            <w:noProof/>
            <w:webHidden/>
          </w:rPr>
          <w:instrText xml:space="preserve"> PAGEREF _Toc99115759 \h </w:instrText>
        </w:r>
        <w:r w:rsidR="000E59C0">
          <w:rPr>
            <w:noProof/>
            <w:webHidden/>
          </w:rPr>
        </w:r>
        <w:r w:rsidR="000E59C0">
          <w:rPr>
            <w:noProof/>
            <w:webHidden/>
          </w:rPr>
          <w:fldChar w:fldCharType="separate"/>
        </w:r>
        <w:r w:rsidR="000E59C0">
          <w:rPr>
            <w:noProof/>
            <w:webHidden/>
          </w:rPr>
          <w:t>4</w:t>
        </w:r>
        <w:r w:rsidR="000E59C0">
          <w:rPr>
            <w:noProof/>
            <w:webHidden/>
          </w:rPr>
          <w:fldChar w:fldCharType="end"/>
        </w:r>
      </w:hyperlink>
    </w:p>
    <w:p w14:paraId="58B4C2BB" w14:textId="77402A33" w:rsidR="000E59C0" w:rsidRDefault="000C3710">
      <w:pPr>
        <w:pStyle w:val="TOC1"/>
        <w:rPr>
          <w:rFonts w:asciiTheme="minorHAnsi" w:eastAsiaTheme="minorEastAsia" w:hAnsiTheme="minorHAnsi"/>
          <w:noProof/>
          <w:lang w:eastAsia="en-AU"/>
        </w:rPr>
      </w:pPr>
      <w:hyperlink w:anchor="_Toc99115760" w:history="1">
        <w:r w:rsidR="000E59C0" w:rsidRPr="008805EA">
          <w:rPr>
            <w:rStyle w:val="Hyperlink"/>
            <w:noProof/>
          </w:rPr>
          <w:t>3.</w:t>
        </w:r>
        <w:r w:rsidR="000E59C0">
          <w:rPr>
            <w:rFonts w:asciiTheme="minorHAnsi" w:eastAsiaTheme="minorEastAsia" w:hAnsiTheme="minorHAnsi"/>
            <w:noProof/>
            <w:lang w:eastAsia="en-AU"/>
          </w:rPr>
          <w:tab/>
        </w:r>
        <w:r w:rsidR="000E59C0" w:rsidRPr="008805EA">
          <w:rPr>
            <w:rStyle w:val="Hyperlink"/>
            <w:noProof/>
          </w:rPr>
          <w:t>Update of RBS Core Data</w:t>
        </w:r>
        <w:r w:rsidR="000E59C0">
          <w:rPr>
            <w:noProof/>
            <w:webHidden/>
          </w:rPr>
          <w:tab/>
        </w:r>
        <w:r w:rsidR="000E59C0">
          <w:rPr>
            <w:noProof/>
            <w:webHidden/>
          </w:rPr>
          <w:fldChar w:fldCharType="begin"/>
        </w:r>
        <w:r w:rsidR="000E59C0">
          <w:rPr>
            <w:noProof/>
            <w:webHidden/>
          </w:rPr>
          <w:instrText xml:space="preserve"> PAGEREF _Toc99115760 \h </w:instrText>
        </w:r>
        <w:r w:rsidR="000E59C0">
          <w:rPr>
            <w:noProof/>
            <w:webHidden/>
          </w:rPr>
        </w:r>
        <w:r w:rsidR="000E59C0">
          <w:rPr>
            <w:noProof/>
            <w:webHidden/>
          </w:rPr>
          <w:fldChar w:fldCharType="separate"/>
        </w:r>
        <w:r w:rsidR="000E59C0">
          <w:rPr>
            <w:noProof/>
            <w:webHidden/>
          </w:rPr>
          <w:t>5</w:t>
        </w:r>
        <w:r w:rsidR="000E59C0">
          <w:rPr>
            <w:noProof/>
            <w:webHidden/>
          </w:rPr>
          <w:fldChar w:fldCharType="end"/>
        </w:r>
      </w:hyperlink>
    </w:p>
    <w:p w14:paraId="299F775F" w14:textId="50EACB89" w:rsidR="000E59C0" w:rsidRDefault="000C3710">
      <w:pPr>
        <w:pStyle w:val="TOC2"/>
        <w:rPr>
          <w:rFonts w:asciiTheme="minorHAnsi" w:eastAsiaTheme="minorEastAsia" w:hAnsiTheme="minorHAnsi"/>
          <w:noProof/>
          <w:lang w:eastAsia="en-AU"/>
        </w:rPr>
      </w:pPr>
      <w:hyperlink w:anchor="_Toc99115761" w:history="1">
        <w:r w:rsidR="000E59C0" w:rsidRPr="008805EA">
          <w:rPr>
            <w:rStyle w:val="Hyperlink"/>
            <w:noProof/>
          </w:rPr>
          <w:t>Data Collection, Analysis and Research</w:t>
        </w:r>
        <w:r w:rsidR="000E59C0">
          <w:rPr>
            <w:noProof/>
            <w:webHidden/>
          </w:rPr>
          <w:tab/>
        </w:r>
        <w:r w:rsidR="000E59C0">
          <w:rPr>
            <w:noProof/>
            <w:webHidden/>
          </w:rPr>
          <w:fldChar w:fldCharType="begin"/>
        </w:r>
        <w:r w:rsidR="000E59C0">
          <w:rPr>
            <w:noProof/>
            <w:webHidden/>
          </w:rPr>
          <w:instrText xml:space="preserve"> PAGEREF _Toc99115761 \h </w:instrText>
        </w:r>
        <w:r w:rsidR="000E59C0">
          <w:rPr>
            <w:noProof/>
            <w:webHidden/>
          </w:rPr>
        </w:r>
        <w:r w:rsidR="000E59C0">
          <w:rPr>
            <w:noProof/>
            <w:webHidden/>
          </w:rPr>
          <w:fldChar w:fldCharType="separate"/>
        </w:r>
        <w:r w:rsidR="000E59C0">
          <w:rPr>
            <w:noProof/>
            <w:webHidden/>
          </w:rPr>
          <w:t>5</w:t>
        </w:r>
        <w:r w:rsidR="000E59C0">
          <w:rPr>
            <w:noProof/>
            <w:webHidden/>
          </w:rPr>
          <w:fldChar w:fldCharType="end"/>
        </w:r>
      </w:hyperlink>
    </w:p>
    <w:p w14:paraId="65B33F84" w14:textId="26F0A714" w:rsidR="000E59C0" w:rsidRDefault="000C3710">
      <w:pPr>
        <w:pStyle w:val="TOC2"/>
        <w:rPr>
          <w:rFonts w:asciiTheme="minorHAnsi" w:eastAsiaTheme="minorEastAsia" w:hAnsiTheme="minorHAnsi"/>
          <w:noProof/>
          <w:lang w:eastAsia="en-AU"/>
        </w:rPr>
      </w:pPr>
      <w:hyperlink w:anchor="_Toc99115762" w:history="1">
        <w:r w:rsidR="000E59C0" w:rsidRPr="008805EA">
          <w:rPr>
            <w:rStyle w:val="Hyperlink"/>
            <w:noProof/>
          </w:rPr>
          <w:t>Input of New Data, Revision and Review of Trends</w:t>
        </w:r>
        <w:r w:rsidR="000E59C0">
          <w:rPr>
            <w:noProof/>
            <w:webHidden/>
          </w:rPr>
          <w:tab/>
        </w:r>
        <w:r w:rsidR="000E59C0">
          <w:rPr>
            <w:noProof/>
            <w:webHidden/>
          </w:rPr>
          <w:fldChar w:fldCharType="begin"/>
        </w:r>
        <w:r w:rsidR="000E59C0">
          <w:rPr>
            <w:noProof/>
            <w:webHidden/>
          </w:rPr>
          <w:instrText xml:space="preserve"> PAGEREF _Toc99115762 \h </w:instrText>
        </w:r>
        <w:r w:rsidR="000E59C0">
          <w:rPr>
            <w:noProof/>
            <w:webHidden/>
          </w:rPr>
        </w:r>
        <w:r w:rsidR="000E59C0">
          <w:rPr>
            <w:noProof/>
            <w:webHidden/>
          </w:rPr>
          <w:fldChar w:fldCharType="separate"/>
        </w:r>
        <w:r w:rsidR="000E59C0">
          <w:rPr>
            <w:noProof/>
            <w:webHidden/>
          </w:rPr>
          <w:t>7</w:t>
        </w:r>
        <w:r w:rsidR="000E59C0">
          <w:rPr>
            <w:noProof/>
            <w:webHidden/>
          </w:rPr>
          <w:fldChar w:fldCharType="end"/>
        </w:r>
      </w:hyperlink>
    </w:p>
    <w:p w14:paraId="28989A26" w14:textId="1DEC8389" w:rsidR="000E59C0" w:rsidRDefault="000C3710">
      <w:pPr>
        <w:pStyle w:val="TOC1"/>
        <w:rPr>
          <w:rFonts w:asciiTheme="minorHAnsi" w:eastAsiaTheme="minorEastAsia" w:hAnsiTheme="minorHAnsi"/>
          <w:noProof/>
          <w:lang w:eastAsia="en-AU"/>
        </w:rPr>
      </w:pPr>
      <w:hyperlink w:anchor="_Toc99115763" w:history="1">
        <w:r w:rsidR="000E59C0" w:rsidRPr="008805EA">
          <w:rPr>
            <w:rStyle w:val="Hyperlink"/>
            <w:noProof/>
          </w:rPr>
          <w:t>4.</w:t>
        </w:r>
        <w:r w:rsidR="000E59C0">
          <w:rPr>
            <w:rFonts w:asciiTheme="minorHAnsi" w:eastAsiaTheme="minorEastAsia" w:hAnsiTheme="minorHAnsi"/>
            <w:noProof/>
            <w:lang w:eastAsia="en-AU"/>
          </w:rPr>
          <w:tab/>
        </w:r>
        <w:r w:rsidR="000E59C0" w:rsidRPr="008805EA">
          <w:rPr>
            <w:rStyle w:val="Hyperlink"/>
            <w:noProof/>
          </w:rPr>
          <w:t>Enhancements: Stakeholder Feedback and Proposed Approaches</w:t>
        </w:r>
        <w:r w:rsidR="000E59C0">
          <w:rPr>
            <w:noProof/>
            <w:webHidden/>
          </w:rPr>
          <w:tab/>
        </w:r>
        <w:r w:rsidR="000E59C0">
          <w:rPr>
            <w:noProof/>
            <w:webHidden/>
          </w:rPr>
          <w:fldChar w:fldCharType="begin"/>
        </w:r>
        <w:r w:rsidR="000E59C0">
          <w:rPr>
            <w:noProof/>
            <w:webHidden/>
          </w:rPr>
          <w:instrText xml:space="preserve"> PAGEREF _Toc99115763 \h </w:instrText>
        </w:r>
        <w:r w:rsidR="000E59C0">
          <w:rPr>
            <w:noProof/>
            <w:webHidden/>
          </w:rPr>
        </w:r>
        <w:r w:rsidR="000E59C0">
          <w:rPr>
            <w:noProof/>
            <w:webHidden/>
          </w:rPr>
          <w:fldChar w:fldCharType="separate"/>
        </w:r>
        <w:r w:rsidR="000E59C0">
          <w:rPr>
            <w:noProof/>
            <w:webHidden/>
          </w:rPr>
          <w:t>9</w:t>
        </w:r>
        <w:r w:rsidR="000E59C0">
          <w:rPr>
            <w:noProof/>
            <w:webHidden/>
          </w:rPr>
          <w:fldChar w:fldCharType="end"/>
        </w:r>
      </w:hyperlink>
    </w:p>
    <w:p w14:paraId="015E6C90" w14:textId="164707D7" w:rsidR="000E59C0" w:rsidRDefault="000C3710">
      <w:pPr>
        <w:pStyle w:val="TOC2"/>
        <w:rPr>
          <w:rFonts w:asciiTheme="minorHAnsi" w:eastAsiaTheme="minorEastAsia" w:hAnsiTheme="minorHAnsi"/>
          <w:noProof/>
          <w:lang w:eastAsia="en-AU"/>
        </w:rPr>
      </w:pPr>
      <w:hyperlink w:anchor="_Toc99115764" w:history="1">
        <w:r w:rsidR="000E59C0" w:rsidRPr="008805EA">
          <w:rPr>
            <w:rStyle w:val="Hyperlink"/>
            <w:noProof/>
          </w:rPr>
          <w:t>Introduction and process to develop enhancement options</w:t>
        </w:r>
        <w:r w:rsidR="000E59C0">
          <w:rPr>
            <w:noProof/>
            <w:webHidden/>
          </w:rPr>
          <w:tab/>
        </w:r>
        <w:r w:rsidR="000E59C0">
          <w:rPr>
            <w:noProof/>
            <w:webHidden/>
          </w:rPr>
          <w:fldChar w:fldCharType="begin"/>
        </w:r>
        <w:r w:rsidR="000E59C0">
          <w:rPr>
            <w:noProof/>
            <w:webHidden/>
          </w:rPr>
          <w:instrText xml:space="preserve"> PAGEREF _Toc99115764 \h </w:instrText>
        </w:r>
        <w:r w:rsidR="000E59C0">
          <w:rPr>
            <w:noProof/>
            <w:webHidden/>
          </w:rPr>
        </w:r>
        <w:r w:rsidR="000E59C0">
          <w:rPr>
            <w:noProof/>
            <w:webHidden/>
          </w:rPr>
          <w:fldChar w:fldCharType="separate"/>
        </w:r>
        <w:r w:rsidR="000E59C0">
          <w:rPr>
            <w:noProof/>
            <w:webHidden/>
          </w:rPr>
          <w:t>9</w:t>
        </w:r>
        <w:r w:rsidR="000E59C0">
          <w:rPr>
            <w:noProof/>
            <w:webHidden/>
          </w:rPr>
          <w:fldChar w:fldCharType="end"/>
        </w:r>
      </w:hyperlink>
    </w:p>
    <w:p w14:paraId="1E77921A" w14:textId="049C774B" w:rsidR="000E59C0" w:rsidRDefault="000C3710">
      <w:pPr>
        <w:pStyle w:val="TOC2"/>
        <w:rPr>
          <w:rFonts w:asciiTheme="minorHAnsi" w:eastAsiaTheme="minorEastAsia" w:hAnsiTheme="minorHAnsi"/>
          <w:noProof/>
          <w:lang w:eastAsia="en-AU"/>
        </w:rPr>
      </w:pPr>
      <w:hyperlink w:anchor="_Toc99115765" w:history="1">
        <w:r w:rsidR="000E59C0" w:rsidRPr="008805EA">
          <w:rPr>
            <w:rStyle w:val="Hyperlink"/>
            <w:noProof/>
          </w:rPr>
          <w:t>Consultation process</w:t>
        </w:r>
        <w:r w:rsidR="000E59C0">
          <w:rPr>
            <w:noProof/>
            <w:webHidden/>
          </w:rPr>
          <w:tab/>
        </w:r>
        <w:r w:rsidR="000E59C0">
          <w:rPr>
            <w:noProof/>
            <w:webHidden/>
          </w:rPr>
          <w:fldChar w:fldCharType="begin"/>
        </w:r>
        <w:r w:rsidR="000E59C0">
          <w:rPr>
            <w:noProof/>
            <w:webHidden/>
          </w:rPr>
          <w:instrText xml:space="preserve"> PAGEREF _Toc99115765 \h </w:instrText>
        </w:r>
        <w:r w:rsidR="000E59C0">
          <w:rPr>
            <w:noProof/>
            <w:webHidden/>
          </w:rPr>
        </w:r>
        <w:r w:rsidR="000E59C0">
          <w:rPr>
            <w:noProof/>
            <w:webHidden/>
          </w:rPr>
          <w:fldChar w:fldCharType="separate"/>
        </w:r>
        <w:r w:rsidR="000E59C0">
          <w:rPr>
            <w:noProof/>
            <w:webHidden/>
          </w:rPr>
          <w:t>10</w:t>
        </w:r>
        <w:r w:rsidR="000E59C0">
          <w:rPr>
            <w:noProof/>
            <w:webHidden/>
          </w:rPr>
          <w:fldChar w:fldCharType="end"/>
        </w:r>
      </w:hyperlink>
    </w:p>
    <w:p w14:paraId="6C2CB55A" w14:textId="3D37927E" w:rsidR="000E59C0" w:rsidRDefault="000C3710">
      <w:pPr>
        <w:pStyle w:val="TOC2"/>
        <w:rPr>
          <w:rFonts w:asciiTheme="minorHAnsi" w:eastAsiaTheme="minorEastAsia" w:hAnsiTheme="minorHAnsi"/>
          <w:noProof/>
          <w:lang w:eastAsia="en-AU"/>
        </w:rPr>
      </w:pPr>
      <w:hyperlink w:anchor="_Toc99115766" w:history="1">
        <w:r w:rsidR="000E59C0" w:rsidRPr="008805EA">
          <w:rPr>
            <w:rStyle w:val="Hyperlink"/>
            <w:noProof/>
          </w:rPr>
          <w:t>Enhancement One: Power Demand by Time of Use Data</w:t>
        </w:r>
        <w:r w:rsidR="000E59C0">
          <w:rPr>
            <w:noProof/>
            <w:webHidden/>
          </w:rPr>
          <w:tab/>
        </w:r>
        <w:r w:rsidR="000E59C0">
          <w:rPr>
            <w:noProof/>
            <w:webHidden/>
          </w:rPr>
          <w:fldChar w:fldCharType="begin"/>
        </w:r>
        <w:r w:rsidR="000E59C0">
          <w:rPr>
            <w:noProof/>
            <w:webHidden/>
          </w:rPr>
          <w:instrText xml:space="preserve"> PAGEREF _Toc99115766 \h </w:instrText>
        </w:r>
        <w:r w:rsidR="000E59C0">
          <w:rPr>
            <w:noProof/>
            <w:webHidden/>
          </w:rPr>
        </w:r>
        <w:r w:rsidR="000E59C0">
          <w:rPr>
            <w:noProof/>
            <w:webHidden/>
          </w:rPr>
          <w:fldChar w:fldCharType="separate"/>
        </w:r>
        <w:r w:rsidR="000E59C0">
          <w:rPr>
            <w:noProof/>
            <w:webHidden/>
          </w:rPr>
          <w:t>10</w:t>
        </w:r>
        <w:r w:rsidR="000E59C0">
          <w:rPr>
            <w:noProof/>
            <w:webHidden/>
          </w:rPr>
          <w:fldChar w:fldCharType="end"/>
        </w:r>
      </w:hyperlink>
    </w:p>
    <w:p w14:paraId="0A363519" w14:textId="09BA851A" w:rsidR="000E59C0" w:rsidRDefault="000C3710">
      <w:pPr>
        <w:pStyle w:val="TOC2"/>
        <w:rPr>
          <w:rFonts w:asciiTheme="minorHAnsi" w:eastAsiaTheme="minorEastAsia" w:hAnsiTheme="minorHAnsi"/>
          <w:noProof/>
          <w:lang w:eastAsia="en-AU"/>
        </w:rPr>
      </w:pPr>
      <w:hyperlink w:anchor="_Toc99115767" w:history="1">
        <w:r w:rsidR="000E59C0" w:rsidRPr="008805EA">
          <w:rPr>
            <w:rStyle w:val="Hyperlink"/>
            <w:noProof/>
          </w:rPr>
          <w:t>Enhancement Two: Linkage with Weather Data</w:t>
        </w:r>
        <w:r w:rsidR="000E59C0">
          <w:rPr>
            <w:noProof/>
            <w:webHidden/>
          </w:rPr>
          <w:tab/>
        </w:r>
        <w:r w:rsidR="000E59C0">
          <w:rPr>
            <w:noProof/>
            <w:webHidden/>
          </w:rPr>
          <w:fldChar w:fldCharType="begin"/>
        </w:r>
        <w:r w:rsidR="000E59C0">
          <w:rPr>
            <w:noProof/>
            <w:webHidden/>
          </w:rPr>
          <w:instrText xml:space="preserve"> PAGEREF _Toc99115767 \h </w:instrText>
        </w:r>
        <w:r w:rsidR="000E59C0">
          <w:rPr>
            <w:noProof/>
            <w:webHidden/>
          </w:rPr>
        </w:r>
        <w:r w:rsidR="000E59C0">
          <w:rPr>
            <w:noProof/>
            <w:webHidden/>
          </w:rPr>
          <w:fldChar w:fldCharType="separate"/>
        </w:r>
        <w:r w:rsidR="000E59C0">
          <w:rPr>
            <w:noProof/>
            <w:webHidden/>
          </w:rPr>
          <w:t>11</w:t>
        </w:r>
        <w:r w:rsidR="000E59C0">
          <w:rPr>
            <w:noProof/>
            <w:webHidden/>
          </w:rPr>
          <w:fldChar w:fldCharType="end"/>
        </w:r>
      </w:hyperlink>
    </w:p>
    <w:p w14:paraId="5C9FB175" w14:textId="58D06522" w:rsidR="000E59C0" w:rsidRDefault="000C3710">
      <w:pPr>
        <w:pStyle w:val="TOC2"/>
        <w:rPr>
          <w:rFonts w:asciiTheme="minorHAnsi" w:eastAsiaTheme="minorEastAsia" w:hAnsiTheme="minorHAnsi"/>
          <w:noProof/>
          <w:lang w:eastAsia="en-AU"/>
        </w:rPr>
      </w:pPr>
      <w:hyperlink w:anchor="_Toc99115768" w:history="1">
        <w:r w:rsidR="000E59C0" w:rsidRPr="008805EA">
          <w:rPr>
            <w:rStyle w:val="Hyperlink"/>
            <w:noProof/>
          </w:rPr>
          <w:t>Enhancement Three: Policy Scenario Testing</w:t>
        </w:r>
        <w:r w:rsidR="000E59C0">
          <w:rPr>
            <w:noProof/>
            <w:webHidden/>
          </w:rPr>
          <w:tab/>
        </w:r>
        <w:r w:rsidR="000E59C0">
          <w:rPr>
            <w:noProof/>
            <w:webHidden/>
          </w:rPr>
          <w:fldChar w:fldCharType="begin"/>
        </w:r>
        <w:r w:rsidR="000E59C0">
          <w:rPr>
            <w:noProof/>
            <w:webHidden/>
          </w:rPr>
          <w:instrText xml:space="preserve"> PAGEREF _Toc99115768 \h </w:instrText>
        </w:r>
        <w:r w:rsidR="000E59C0">
          <w:rPr>
            <w:noProof/>
            <w:webHidden/>
          </w:rPr>
        </w:r>
        <w:r w:rsidR="000E59C0">
          <w:rPr>
            <w:noProof/>
            <w:webHidden/>
          </w:rPr>
          <w:fldChar w:fldCharType="separate"/>
        </w:r>
        <w:r w:rsidR="000E59C0">
          <w:rPr>
            <w:noProof/>
            <w:webHidden/>
          </w:rPr>
          <w:t>12</w:t>
        </w:r>
        <w:r w:rsidR="000E59C0">
          <w:rPr>
            <w:noProof/>
            <w:webHidden/>
          </w:rPr>
          <w:fldChar w:fldCharType="end"/>
        </w:r>
      </w:hyperlink>
    </w:p>
    <w:p w14:paraId="7567CA3D" w14:textId="3CC87707" w:rsidR="000E59C0" w:rsidRDefault="000C3710">
      <w:pPr>
        <w:pStyle w:val="TOC2"/>
        <w:rPr>
          <w:rFonts w:asciiTheme="minorHAnsi" w:eastAsiaTheme="minorEastAsia" w:hAnsiTheme="minorHAnsi"/>
          <w:noProof/>
          <w:lang w:eastAsia="en-AU"/>
        </w:rPr>
      </w:pPr>
      <w:hyperlink w:anchor="_Toc99115769" w:history="1">
        <w:r w:rsidR="000E59C0" w:rsidRPr="008805EA">
          <w:rPr>
            <w:rStyle w:val="Hyperlink"/>
            <w:noProof/>
          </w:rPr>
          <w:t>Enhancement Four: Increased Data Granularity and Increased Data Output Options</w:t>
        </w:r>
        <w:r w:rsidR="000E59C0">
          <w:rPr>
            <w:noProof/>
            <w:webHidden/>
          </w:rPr>
          <w:tab/>
        </w:r>
        <w:r w:rsidR="000E59C0">
          <w:rPr>
            <w:noProof/>
            <w:webHidden/>
          </w:rPr>
          <w:fldChar w:fldCharType="begin"/>
        </w:r>
        <w:r w:rsidR="000E59C0">
          <w:rPr>
            <w:noProof/>
            <w:webHidden/>
          </w:rPr>
          <w:instrText xml:space="preserve"> PAGEREF _Toc99115769 \h </w:instrText>
        </w:r>
        <w:r w:rsidR="000E59C0">
          <w:rPr>
            <w:noProof/>
            <w:webHidden/>
          </w:rPr>
        </w:r>
        <w:r w:rsidR="000E59C0">
          <w:rPr>
            <w:noProof/>
            <w:webHidden/>
          </w:rPr>
          <w:fldChar w:fldCharType="separate"/>
        </w:r>
        <w:r w:rsidR="000E59C0">
          <w:rPr>
            <w:noProof/>
            <w:webHidden/>
          </w:rPr>
          <w:t>14</w:t>
        </w:r>
        <w:r w:rsidR="000E59C0">
          <w:rPr>
            <w:noProof/>
            <w:webHidden/>
          </w:rPr>
          <w:fldChar w:fldCharType="end"/>
        </w:r>
      </w:hyperlink>
    </w:p>
    <w:p w14:paraId="29C68637" w14:textId="5EB9112F" w:rsidR="000E59C0" w:rsidRDefault="000C3710">
      <w:pPr>
        <w:pStyle w:val="TOC1"/>
        <w:rPr>
          <w:rFonts w:asciiTheme="minorHAnsi" w:eastAsiaTheme="minorEastAsia" w:hAnsiTheme="minorHAnsi"/>
          <w:noProof/>
          <w:lang w:eastAsia="en-AU"/>
        </w:rPr>
      </w:pPr>
      <w:hyperlink w:anchor="_Toc99115770" w:history="1">
        <w:r w:rsidR="000E59C0" w:rsidRPr="008805EA">
          <w:rPr>
            <w:rStyle w:val="Hyperlink"/>
            <w:noProof/>
          </w:rPr>
          <w:t>5.</w:t>
        </w:r>
        <w:r w:rsidR="000E59C0">
          <w:rPr>
            <w:rFonts w:asciiTheme="minorHAnsi" w:eastAsiaTheme="minorEastAsia" w:hAnsiTheme="minorHAnsi"/>
            <w:noProof/>
            <w:lang w:eastAsia="en-AU"/>
          </w:rPr>
          <w:tab/>
        </w:r>
        <w:r w:rsidR="000E59C0" w:rsidRPr="008805EA">
          <w:rPr>
            <w:rStyle w:val="Hyperlink"/>
            <w:noProof/>
          </w:rPr>
          <w:t>Detailed Enhancement Methodology and Approach</w:t>
        </w:r>
        <w:r w:rsidR="000E59C0">
          <w:rPr>
            <w:noProof/>
            <w:webHidden/>
          </w:rPr>
          <w:tab/>
        </w:r>
        <w:r w:rsidR="000E59C0">
          <w:rPr>
            <w:noProof/>
            <w:webHidden/>
          </w:rPr>
          <w:fldChar w:fldCharType="begin"/>
        </w:r>
        <w:r w:rsidR="000E59C0">
          <w:rPr>
            <w:noProof/>
            <w:webHidden/>
          </w:rPr>
          <w:instrText xml:space="preserve"> PAGEREF _Toc99115770 \h </w:instrText>
        </w:r>
        <w:r w:rsidR="000E59C0">
          <w:rPr>
            <w:noProof/>
            <w:webHidden/>
          </w:rPr>
        </w:r>
        <w:r w:rsidR="000E59C0">
          <w:rPr>
            <w:noProof/>
            <w:webHidden/>
          </w:rPr>
          <w:fldChar w:fldCharType="separate"/>
        </w:r>
        <w:r w:rsidR="000E59C0">
          <w:rPr>
            <w:noProof/>
            <w:webHidden/>
          </w:rPr>
          <w:t>16</w:t>
        </w:r>
        <w:r w:rsidR="000E59C0">
          <w:rPr>
            <w:noProof/>
            <w:webHidden/>
          </w:rPr>
          <w:fldChar w:fldCharType="end"/>
        </w:r>
      </w:hyperlink>
    </w:p>
    <w:p w14:paraId="4017AFCA" w14:textId="0DDD6B2E" w:rsidR="000E59C0" w:rsidRDefault="000C3710">
      <w:pPr>
        <w:pStyle w:val="TOC2"/>
        <w:rPr>
          <w:rFonts w:asciiTheme="minorHAnsi" w:eastAsiaTheme="minorEastAsia" w:hAnsiTheme="minorHAnsi"/>
          <w:noProof/>
          <w:lang w:eastAsia="en-AU"/>
        </w:rPr>
      </w:pPr>
      <w:hyperlink w:anchor="_Toc99115771" w:history="1">
        <w:r w:rsidR="000E59C0" w:rsidRPr="008805EA">
          <w:rPr>
            <w:rStyle w:val="Hyperlink"/>
            <w:noProof/>
          </w:rPr>
          <w:t>Enhancement 1: Power demand by time</w:t>
        </w:r>
        <w:r w:rsidR="000E59C0">
          <w:rPr>
            <w:noProof/>
            <w:webHidden/>
          </w:rPr>
          <w:tab/>
        </w:r>
        <w:r w:rsidR="000E59C0">
          <w:rPr>
            <w:noProof/>
            <w:webHidden/>
          </w:rPr>
          <w:fldChar w:fldCharType="begin"/>
        </w:r>
        <w:r w:rsidR="000E59C0">
          <w:rPr>
            <w:noProof/>
            <w:webHidden/>
          </w:rPr>
          <w:instrText xml:space="preserve"> PAGEREF _Toc99115771 \h </w:instrText>
        </w:r>
        <w:r w:rsidR="000E59C0">
          <w:rPr>
            <w:noProof/>
            <w:webHidden/>
          </w:rPr>
        </w:r>
        <w:r w:rsidR="000E59C0">
          <w:rPr>
            <w:noProof/>
            <w:webHidden/>
          </w:rPr>
          <w:fldChar w:fldCharType="separate"/>
        </w:r>
        <w:r w:rsidR="000E59C0">
          <w:rPr>
            <w:noProof/>
            <w:webHidden/>
          </w:rPr>
          <w:t>16</w:t>
        </w:r>
        <w:r w:rsidR="000E59C0">
          <w:rPr>
            <w:noProof/>
            <w:webHidden/>
          </w:rPr>
          <w:fldChar w:fldCharType="end"/>
        </w:r>
      </w:hyperlink>
    </w:p>
    <w:p w14:paraId="67BFC0FB" w14:textId="369A5235" w:rsidR="000E59C0" w:rsidRDefault="000C3710">
      <w:pPr>
        <w:pStyle w:val="TOC2"/>
        <w:rPr>
          <w:rFonts w:asciiTheme="minorHAnsi" w:eastAsiaTheme="minorEastAsia" w:hAnsiTheme="minorHAnsi"/>
          <w:noProof/>
          <w:lang w:eastAsia="en-AU"/>
        </w:rPr>
      </w:pPr>
      <w:hyperlink w:anchor="_Toc99115772" w:history="1">
        <w:r w:rsidR="000E59C0" w:rsidRPr="008805EA">
          <w:rPr>
            <w:rStyle w:val="Hyperlink"/>
            <w:noProof/>
          </w:rPr>
          <w:t>Enhancement 2: Weather data linkage and additional regionalisation</w:t>
        </w:r>
        <w:r w:rsidR="000E59C0">
          <w:rPr>
            <w:noProof/>
            <w:webHidden/>
          </w:rPr>
          <w:tab/>
        </w:r>
        <w:r w:rsidR="000E59C0">
          <w:rPr>
            <w:noProof/>
            <w:webHidden/>
          </w:rPr>
          <w:fldChar w:fldCharType="begin"/>
        </w:r>
        <w:r w:rsidR="000E59C0">
          <w:rPr>
            <w:noProof/>
            <w:webHidden/>
          </w:rPr>
          <w:instrText xml:space="preserve"> PAGEREF _Toc99115772 \h </w:instrText>
        </w:r>
        <w:r w:rsidR="000E59C0">
          <w:rPr>
            <w:noProof/>
            <w:webHidden/>
          </w:rPr>
        </w:r>
        <w:r w:rsidR="000E59C0">
          <w:rPr>
            <w:noProof/>
            <w:webHidden/>
          </w:rPr>
          <w:fldChar w:fldCharType="separate"/>
        </w:r>
        <w:r w:rsidR="000E59C0">
          <w:rPr>
            <w:noProof/>
            <w:webHidden/>
          </w:rPr>
          <w:t>19</w:t>
        </w:r>
        <w:r w:rsidR="000E59C0">
          <w:rPr>
            <w:noProof/>
            <w:webHidden/>
          </w:rPr>
          <w:fldChar w:fldCharType="end"/>
        </w:r>
      </w:hyperlink>
    </w:p>
    <w:p w14:paraId="425B4CE7" w14:textId="52A8F496" w:rsidR="000E59C0" w:rsidRDefault="000C3710">
      <w:pPr>
        <w:pStyle w:val="TOC2"/>
        <w:rPr>
          <w:rFonts w:asciiTheme="minorHAnsi" w:eastAsiaTheme="minorEastAsia" w:hAnsiTheme="minorHAnsi"/>
          <w:noProof/>
          <w:lang w:eastAsia="en-AU"/>
        </w:rPr>
      </w:pPr>
      <w:hyperlink w:anchor="_Toc99115773" w:history="1">
        <w:r w:rsidR="000E59C0" w:rsidRPr="008805EA">
          <w:rPr>
            <w:rStyle w:val="Hyperlink"/>
            <w:noProof/>
          </w:rPr>
          <w:t>Enhancement 3: Policy Scenario Testing</w:t>
        </w:r>
        <w:r w:rsidR="000E59C0">
          <w:rPr>
            <w:noProof/>
            <w:webHidden/>
          </w:rPr>
          <w:tab/>
        </w:r>
        <w:r w:rsidR="000E59C0">
          <w:rPr>
            <w:noProof/>
            <w:webHidden/>
          </w:rPr>
          <w:fldChar w:fldCharType="begin"/>
        </w:r>
        <w:r w:rsidR="000E59C0">
          <w:rPr>
            <w:noProof/>
            <w:webHidden/>
          </w:rPr>
          <w:instrText xml:space="preserve"> PAGEREF _Toc99115773 \h </w:instrText>
        </w:r>
        <w:r w:rsidR="000E59C0">
          <w:rPr>
            <w:noProof/>
            <w:webHidden/>
          </w:rPr>
        </w:r>
        <w:r w:rsidR="000E59C0">
          <w:rPr>
            <w:noProof/>
            <w:webHidden/>
          </w:rPr>
          <w:fldChar w:fldCharType="separate"/>
        </w:r>
        <w:r w:rsidR="000E59C0">
          <w:rPr>
            <w:noProof/>
            <w:webHidden/>
          </w:rPr>
          <w:t>21</w:t>
        </w:r>
        <w:r w:rsidR="000E59C0">
          <w:rPr>
            <w:noProof/>
            <w:webHidden/>
          </w:rPr>
          <w:fldChar w:fldCharType="end"/>
        </w:r>
      </w:hyperlink>
    </w:p>
    <w:p w14:paraId="43A20D17" w14:textId="693E4F8A" w:rsidR="000E59C0" w:rsidRDefault="000C3710">
      <w:pPr>
        <w:pStyle w:val="TOC2"/>
        <w:rPr>
          <w:rFonts w:asciiTheme="minorHAnsi" w:eastAsiaTheme="minorEastAsia" w:hAnsiTheme="minorHAnsi"/>
          <w:noProof/>
          <w:lang w:eastAsia="en-AU"/>
        </w:rPr>
      </w:pPr>
      <w:hyperlink w:anchor="_Toc99115774" w:history="1">
        <w:r w:rsidR="000E59C0" w:rsidRPr="008805EA">
          <w:rPr>
            <w:rStyle w:val="Hyperlink"/>
            <w:noProof/>
          </w:rPr>
          <w:t>Enhancement 4: Increased Data Granularity and Increased Data Output Options</w:t>
        </w:r>
        <w:r w:rsidR="000E59C0">
          <w:rPr>
            <w:noProof/>
            <w:webHidden/>
          </w:rPr>
          <w:tab/>
        </w:r>
        <w:r w:rsidR="000E59C0">
          <w:rPr>
            <w:noProof/>
            <w:webHidden/>
          </w:rPr>
          <w:fldChar w:fldCharType="begin"/>
        </w:r>
        <w:r w:rsidR="000E59C0">
          <w:rPr>
            <w:noProof/>
            <w:webHidden/>
          </w:rPr>
          <w:instrText xml:space="preserve"> PAGEREF _Toc99115774 \h </w:instrText>
        </w:r>
        <w:r w:rsidR="000E59C0">
          <w:rPr>
            <w:noProof/>
            <w:webHidden/>
          </w:rPr>
        </w:r>
        <w:r w:rsidR="000E59C0">
          <w:rPr>
            <w:noProof/>
            <w:webHidden/>
          </w:rPr>
          <w:fldChar w:fldCharType="separate"/>
        </w:r>
        <w:r w:rsidR="000E59C0">
          <w:rPr>
            <w:noProof/>
            <w:webHidden/>
          </w:rPr>
          <w:t>23</w:t>
        </w:r>
        <w:r w:rsidR="000E59C0">
          <w:rPr>
            <w:noProof/>
            <w:webHidden/>
          </w:rPr>
          <w:fldChar w:fldCharType="end"/>
        </w:r>
      </w:hyperlink>
    </w:p>
    <w:p w14:paraId="3ADCF6A9" w14:textId="5CADFDF3" w:rsidR="000E59C0" w:rsidRDefault="000C3710">
      <w:pPr>
        <w:pStyle w:val="TOC1"/>
        <w:rPr>
          <w:rFonts w:asciiTheme="minorHAnsi" w:eastAsiaTheme="minorEastAsia" w:hAnsiTheme="minorHAnsi"/>
          <w:noProof/>
          <w:lang w:eastAsia="en-AU"/>
        </w:rPr>
      </w:pPr>
      <w:hyperlink w:anchor="_Toc99115775" w:history="1">
        <w:r w:rsidR="000E59C0" w:rsidRPr="008805EA">
          <w:rPr>
            <w:rStyle w:val="Hyperlink"/>
            <w:noProof/>
          </w:rPr>
          <w:t>Appendix A: Underlying RBS1.0 Methodology</w:t>
        </w:r>
        <w:r w:rsidR="000E59C0">
          <w:rPr>
            <w:noProof/>
            <w:webHidden/>
          </w:rPr>
          <w:tab/>
        </w:r>
        <w:r w:rsidR="000E59C0">
          <w:rPr>
            <w:noProof/>
            <w:webHidden/>
          </w:rPr>
          <w:fldChar w:fldCharType="begin"/>
        </w:r>
        <w:r w:rsidR="000E59C0">
          <w:rPr>
            <w:noProof/>
            <w:webHidden/>
          </w:rPr>
          <w:instrText xml:space="preserve"> PAGEREF _Toc99115775 \h </w:instrText>
        </w:r>
        <w:r w:rsidR="000E59C0">
          <w:rPr>
            <w:noProof/>
            <w:webHidden/>
          </w:rPr>
        </w:r>
        <w:r w:rsidR="000E59C0">
          <w:rPr>
            <w:noProof/>
            <w:webHidden/>
          </w:rPr>
          <w:fldChar w:fldCharType="separate"/>
        </w:r>
        <w:r w:rsidR="000E59C0">
          <w:rPr>
            <w:noProof/>
            <w:webHidden/>
          </w:rPr>
          <w:t>25</w:t>
        </w:r>
        <w:r w:rsidR="000E59C0">
          <w:rPr>
            <w:noProof/>
            <w:webHidden/>
          </w:rPr>
          <w:fldChar w:fldCharType="end"/>
        </w:r>
      </w:hyperlink>
    </w:p>
    <w:p w14:paraId="49EF79ED" w14:textId="7C8342E5" w:rsidR="000E59C0" w:rsidRDefault="000C3710">
      <w:pPr>
        <w:pStyle w:val="TOC2"/>
        <w:rPr>
          <w:rFonts w:asciiTheme="minorHAnsi" w:eastAsiaTheme="minorEastAsia" w:hAnsiTheme="minorHAnsi"/>
          <w:noProof/>
          <w:lang w:eastAsia="en-AU"/>
        </w:rPr>
      </w:pPr>
      <w:hyperlink w:anchor="_Toc99115776" w:history="1">
        <w:r w:rsidR="000E59C0" w:rsidRPr="008805EA">
          <w:rPr>
            <w:rStyle w:val="Hyperlink"/>
            <w:noProof/>
          </w:rPr>
          <w:t>Underlying Method</w:t>
        </w:r>
        <w:r w:rsidR="000E59C0">
          <w:rPr>
            <w:noProof/>
            <w:webHidden/>
          </w:rPr>
          <w:tab/>
        </w:r>
        <w:r w:rsidR="000E59C0">
          <w:rPr>
            <w:noProof/>
            <w:webHidden/>
          </w:rPr>
          <w:fldChar w:fldCharType="begin"/>
        </w:r>
        <w:r w:rsidR="000E59C0">
          <w:rPr>
            <w:noProof/>
            <w:webHidden/>
          </w:rPr>
          <w:instrText xml:space="preserve"> PAGEREF _Toc99115776 \h </w:instrText>
        </w:r>
        <w:r w:rsidR="000E59C0">
          <w:rPr>
            <w:noProof/>
            <w:webHidden/>
          </w:rPr>
        </w:r>
        <w:r w:rsidR="000E59C0">
          <w:rPr>
            <w:noProof/>
            <w:webHidden/>
          </w:rPr>
          <w:fldChar w:fldCharType="separate"/>
        </w:r>
        <w:r w:rsidR="000E59C0">
          <w:rPr>
            <w:noProof/>
            <w:webHidden/>
          </w:rPr>
          <w:t>25</w:t>
        </w:r>
        <w:r w:rsidR="000E59C0">
          <w:rPr>
            <w:noProof/>
            <w:webHidden/>
          </w:rPr>
          <w:fldChar w:fldCharType="end"/>
        </w:r>
      </w:hyperlink>
    </w:p>
    <w:p w14:paraId="03254C59" w14:textId="4DDA3B7C" w:rsidR="000E59C0" w:rsidRDefault="000C3710">
      <w:pPr>
        <w:pStyle w:val="TOC2"/>
        <w:rPr>
          <w:rFonts w:asciiTheme="minorHAnsi" w:eastAsiaTheme="minorEastAsia" w:hAnsiTheme="minorHAnsi"/>
          <w:noProof/>
          <w:lang w:eastAsia="en-AU"/>
        </w:rPr>
      </w:pPr>
      <w:hyperlink w:anchor="_Toc99115777" w:history="1">
        <w:r w:rsidR="000E59C0" w:rsidRPr="008805EA">
          <w:rPr>
            <w:rStyle w:val="Hyperlink"/>
            <w:noProof/>
          </w:rPr>
          <w:t>Space Conditioning Method</w:t>
        </w:r>
        <w:r w:rsidR="000E59C0">
          <w:rPr>
            <w:noProof/>
            <w:webHidden/>
          </w:rPr>
          <w:tab/>
        </w:r>
        <w:r w:rsidR="000E59C0">
          <w:rPr>
            <w:noProof/>
            <w:webHidden/>
          </w:rPr>
          <w:fldChar w:fldCharType="begin"/>
        </w:r>
        <w:r w:rsidR="000E59C0">
          <w:rPr>
            <w:noProof/>
            <w:webHidden/>
          </w:rPr>
          <w:instrText xml:space="preserve"> PAGEREF _Toc99115777 \h </w:instrText>
        </w:r>
        <w:r w:rsidR="000E59C0">
          <w:rPr>
            <w:noProof/>
            <w:webHidden/>
          </w:rPr>
        </w:r>
        <w:r w:rsidR="000E59C0">
          <w:rPr>
            <w:noProof/>
            <w:webHidden/>
          </w:rPr>
          <w:fldChar w:fldCharType="separate"/>
        </w:r>
        <w:r w:rsidR="000E59C0">
          <w:rPr>
            <w:noProof/>
            <w:webHidden/>
          </w:rPr>
          <w:t>28</w:t>
        </w:r>
        <w:r w:rsidR="000E59C0">
          <w:rPr>
            <w:noProof/>
            <w:webHidden/>
          </w:rPr>
          <w:fldChar w:fldCharType="end"/>
        </w:r>
      </w:hyperlink>
    </w:p>
    <w:p w14:paraId="48EE9E3D" w14:textId="7DA8AD5B" w:rsidR="000E59C0" w:rsidRDefault="000C3710">
      <w:pPr>
        <w:pStyle w:val="TOC2"/>
        <w:rPr>
          <w:rFonts w:asciiTheme="minorHAnsi" w:eastAsiaTheme="minorEastAsia" w:hAnsiTheme="minorHAnsi"/>
          <w:noProof/>
          <w:lang w:eastAsia="en-AU"/>
        </w:rPr>
      </w:pPr>
      <w:hyperlink w:anchor="_Toc99115778" w:history="1">
        <w:r w:rsidR="000E59C0" w:rsidRPr="008805EA">
          <w:rPr>
            <w:rStyle w:val="Hyperlink"/>
            <w:noProof/>
          </w:rPr>
          <w:t>Peak Electricity Demand Method</w:t>
        </w:r>
        <w:r w:rsidR="000E59C0">
          <w:rPr>
            <w:noProof/>
            <w:webHidden/>
          </w:rPr>
          <w:tab/>
        </w:r>
        <w:r w:rsidR="000E59C0">
          <w:rPr>
            <w:noProof/>
            <w:webHidden/>
          </w:rPr>
          <w:fldChar w:fldCharType="begin"/>
        </w:r>
        <w:r w:rsidR="000E59C0">
          <w:rPr>
            <w:noProof/>
            <w:webHidden/>
          </w:rPr>
          <w:instrText xml:space="preserve"> PAGEREF _Toc99115778 \h </w:instrText>
        </w:r>
        <w:r w:rsidR="000E59C0">
          <w:rPr>
            <w:noProof/>
            <w:webHidden/>
          </w:rPr>
        </w:r>
        <w:r w:rsidR="000E59C0">
          <w:rPr>
            <w:noProof/>
            <w:webHidden/>
          </w:rPr>
          <w:fldChar w:fldCharType="separate"/>
        </w:r>
        <w:r w:rsidR="000E59C0">
          <w:rPr>
            <w:noProof/>
            <w:webHidden/>
          </w:rPr>
          <w:t>30</w:t>
        </w:r>
        <w:r w:rsidR="000E59C0">
          <w:rPr>
            <w:noProof/>
            <w:webHidden/>
          </w:rPr>
          <w:fldChar w:fldCharType="end"/>
        </w:r>
      </w:hyperlink>
    </w:p>
    <w:p w14:paraId="053974F0" w14:textId="5DAAE177" w:rsidR="000E59C0" w:rsidRDefault="000C3710">
      <w:pPr>
        <w:pStyle w:val="TOC2"/>
        <w:rPr>
          <w:rFonts w:asciiTheme="minorHAnsi" w:eastAsiaTheme="minorEastAsia" w:hAnsiTheme="minorHAnsi"/>
          <w:noProof/>
          <w:lang w:eastAsia="en-AU"/>
        </w:rPr>
      </w:pPr>
      <w:hyperlink w:anchor="_Toc99115779" w:history="1">
        <w:r w:rsidR="000E59C0" w:rsidRPr="008805EA">
          <w:rPr>
            <w:rStyle w:val="Hyperlink"/>
            <w:noProof/>
          </w:rPr>
          <w:t>Model Architecture</w:t>
        </w:r>
        <w:r w:rsidR="000E59C0">
          <w:rPr>
            <w:noProof/>
            <w:webHidden/>
          </w:rPr>
          <w:tab/>
        </w:r>
        <w:r w:rsidR="000E59C0">
          <w:rPr>
            <w:noProof/>
            <w:webHidden/>
          </w:rPr>
          <w:fldChar w:fldCharType="begin"/>
        </w:r>
        <w:r w:rsidR="000E59C0">
          <w:rPr>
            <w:noProof/>
            <w:webHidden/>
          </w:rPr>
          <w:instrText xml:space="preserve"> PAGEREF _Toc99115779 \h </w:instrText>
        </w:r>
        <w:r w:rsidR="000E59C0">
          <w:rPr>
            <w:noProof/>
            <w:webHidden/>
          </w:rPr>
        </w:r>
        <w:r w:rsidR="000E59C0">
          <w:rPr>
            <w:noProof/>
            <w:webHidden/>
          </w:rPr>
          <w:fldChar w:fldCharType="separate"/>
        </w:r>
        <w:r w:rsidR="000E59C0">
          <w:rPr>
            <w:noProof/>
            <w:webHidden/>
          </w:rPr>
          <w:t>32</w:t>
        </w:r>
        <w:r w:rsidR="000E59C0">
          <w:rPr>
            <w:noProof/>
            <w:webHidden/>
          </w:rPr>
          <w:fldChar w:fldCharType="end"/>
        </w:r>
      </w:hyperlink>
    </w:p>
    <w:p w14:paraId="3E03E868" w14:textId="0847DF73" w:rsidR="00057694" w:rsidRPr="00B72688" w:rsidRDefault="00524B9D" w:rsidP="00661131">
      <w:r w:rsidRPr="00B72688">
        <w:fldChar w:fldCharType="end"/>
      </w:r>
    </w:p>
    <w:p w14:paraId="36F7B419" w14:textId="77777777" w:rsidR="003D6094" w:rsidRPr="00B72688" w:rsidRDefault="003D6094" w:rsidP="00027333"/>
    <w:p w14:paraId="57C50683" w14:textId="77777777" w:rsidR="007F7AAF" w:rsidRPr="00B72688" w:rsidRDefault="007F7AAF" w:rsidP="003D2CC4"/>
    <w:p w14:paraId="3C97AADA" w14:textId="77777777" w:rsidR="009D4EF6" w:rsidRPr="00B72688" w:rsidRDefault="009D4EF6" w:rsidP="003D2CC4">
      <w:pPr>
        <w:sectPr w:rsidR="009D4EF6" w:rsidRPr="00B72688" w:rsidSect="00843D17">
          <w:headerReference w:type="first" r:id="rId17"/>
          <w:footerReference w:type="first" r:id="rId18"/>
          <w:pgSz w:w="11906" w:h="16838"/>
          <w:pgMar w:top="1440" w:right="1332" w:bottom="1440" w:left="1332" w:header="720" w:footer="720" w:gutter="0"/>
          <w:pgNumType w:fmt="lowerRoman" w:start="1"/>
          <w:cols w:space="720"/>
          <w:docGrid w:linePitch="360"/>
        </w:sectPr>
      </w:pPr>
    </w:p>
    <w:p w14:paraId="4C8B8F10" w14:textId="40D6A761" w:rsidR="008A57D5" w:rsidRPr="00B72688" w:rsidRDefault="003D2CC4" w:rsidP="003D2CC4">
      <w:pPr>
        <w:pStyle w:val="Heading1"/>
      </w:pPr>
      <w:bookmarkStart w:id="1" w:name="_Toc99115754"/>
      <w:r w:rsidRPr="00B72688">
        <w:lastRenderedPageBreak/>
        <w:t>Introduction</w:t>
      </w:r>
      <w:bookmarkEnd w:id="1"/>
      <w:r w:rsidR="00C14E37">
        <w:t xml:space="preserve"> </w:t>
      </w:r>
    </w:p>
    <w:p w14:paraId="6596A0A4" w14:textId="54440A4D" w:rsidR="00832B78" w:rsidRDefault="00832B78" w:rsidP="00832B78">
      <w:r w:rsidRPr="00C36F72">
        <w:t xml:space="preserve">The </w:t>
      </w:r>
      <w:r>
        <w:t xml:space="preserve">Department </w:t>
      </w:r>
      <w:r w:rsidRPr="00C36F72">
        <w:t>has</w:t>
      </w:r>
      <w:r>
        <w:t xml:space="preserve"> commissioned</w:t>
      </w:r>
      <w:r w:rsidRPr="006804A0">
        <w:t xml:space="preserve"> Energy</w:t>
      </w:r>
      <w:r>
        <w:t xml:space="preserve">Consult to </w:t>
      </w:r>
      <w:r w:rsidRPr="00005629">
        <w:t>undertake</w:t>
      </w:r>
      <w:r>
        <w:t xml:space="preserve"> an update of the </w:t>
      </w:r>
      <w:r w:rsidR="00A31721">
        <w:t xml:space="preserve">first </w:t>
      </w:r>
      <w:r>
        <w:t xml:space="preserve">Residential Baseline </w:t>
      </w:r>
      <w:r w:rsidRPr="00005629">
        <w:t>Study</w:t>
      </w:r>
      <w:r>
        <w:t xml:space="preserve"> (RBS), a study</w:t>
      </w:r>
      <w:r w:rsidRPr="00005629">
        <w:t xml:space="preserve"> into </w:t>
      </w:r>
      <w:r>
        <w:t>e</w:t>
      </w:r>
      <w:r w:rsidRPr="00005629">
        <w:t xml:space="preserve">nergy </w:t>
      </w:r>
      <w:r>
        <w:t>u</w:t>
      </w:r>
      <w:r w:rsidRPr="00005629">
        <w:t>se in the Australian and New Zealand Residential Sectors</w:t>
      </w:r>
      <w:r>
        <w:t xml:space="preserve">. The first RBS was conducted by EnergyConsult in 2015, and prior to that studies of </w:t>
      </w:r>
      <w:r w:rsidRPr="00005629">
        <w:t xml:space="preserve">‘Energy Use in the Australian Residential Sector’ </w:t>
      </w:r>
      <w:r>
        <w:t>covering just Australia were</w:t>
      </w:r>
      <w:r w:rsidRPr="00005629">
        <w:t xml:space="preserve"> </w:t>
      </w:r>
      <w:r>
        <w:t>published</w:t>
      </w:r>
      <w:r w:rsidRPr="00005629">
        <w:t xml:space="preserve"> in 2008 and </w:t>
      </w:r>
      <w:r>
        <w:t xml:space="preserve">1999.  </w:t>
      </w:r>
    </w:p>
    <w:p w14:paraId="0FC67DF0" w14:textId="7A7F7563" w:rsidR="003B2C25" w:rsidRDefault="00832B78" w:rsidP="003B2C25">
      <w:r w:rsidRPr="00A249BD">
        <w:t>Th</w:t>
      </w:r>
      <w:r>
        <w:t>is</w:t>
      </w:r>
      <w:r w:rsidRPr="00A249BD">
        <w:t xml:space="preserve"> </w:t>
      </w:r>
      <w:r w:rsidR="00DC1129">
        <w:t xml:space="preserve">methodology </w:t>
      </w:r>
      <w:r w:rsidRPr="00A249BD">
        <w:t xml:space="preserve">report focuses on </w:t>
      </w:r>
      <w:r>
        <w:t xml:space="preserve">the </w:t>
      </w:r>
      <w:r w:rsidR="000624C6">
        <w:t xml:space="preserve">need for enhancement of the RBS and the </w:t>
      </w:r>
      <w:r>
        <w:t xml:space="preserve">underlying methodology </w:t>
      </w:r>
      <w:r w:rsidR="000624C6">
        <w:t xml:space="preserve">changes that will be </w:t>
      </w:r>
      <w:r>
        <w:t xml:space="preserve">used </w:t>
      </w:r>
      <w:r w:rsidR="000624C6">
        <w:t xml:space="preserve">to expand the functions </w:t>
      </w:r>
      <w:r>
        <w:t>in the RBS</w:t>
      </w:r>
      <w:r w:rsidR="000624C6">
        <w:t>. It describe</w:t>
      </w:r>
      <w:r w:rsidR="001250D5">
        <w:t>s</w:t>
      </w:r>
      <w:r w:rsidR="000624C6">
        <w:t xml:space="preserve"> the</w:t>
      </w:r>
      <w:r>
        <w:t xml:space="preserve"> data and core RBS function</w:t>
      </w:r>
      <w:r w:rsidR="002C74D4">
        <w:t>al</w:t>
      </w:r>
      <w:r>
        <w:t xml:space="preserve"> updates, and four areas of enhancement.</w:t>
      </w:r>
      <w:r w:rsidR="003B2C25">
        <w:t xml:space="preserve"> Preliminary data gathering and assessment of the gaps to update the RBS is also described in this report </w:t>
      </w:r>
    </w:p>
    <w:p w14:paraId="4DB3C72A" w14:textId="06C75C6A" w:rsidR="00F70C39" w:rsidRPr="00A249BD" w:rsidRDefault="00F70C39" w:rsidP="00832B78">
      <w:r>
        <w:t>The potential enhancements to the RBS have been the subject of consultation with key RBS stakeholders, to ensure the enhancements would address their needs.  The outcomes of this consultation, their feedback and the proposed methodology to address their needs is presented in the current report.</w:t>
      </w:r>
    </w:p>
    <w:p w14:paraId="79882553" w14:textId="6CE16176" w:rsidR="00832B78" w:rsidRDefault="00F70C39" w:rsidP="00832B78">
      <w:pPr>
        <w:pStyle w:val="Heading2"/>
      </w:pPr>
      <w:bookmarkStart w:id="2" w:name="_Toc427932592"/>
      <w:bookmarkStart w:id="3" w:name="_Toc99115755"/>
      <w:r>
        <w:t xml:space="preserve">Background: </w:t>
      </w:r>
      <w:r w:rsidR="00832B78">
        <w:t>Objectives and Scope</w:t>
      </w:r>
      <w:bookmarkEnd w:id="2"/>
      <w:r w:rsidR="00832B78">
        <w:t xml:space="preserve"> </w:t>
      </w:r>
      <w:r>
        <w:t>of the RBS</w:t>
      </w:r>
      <w:bookmarkEnd w:id="3"/>
    </w:p>
    <w:p w14:paraId="030C93E3" w14:textId="77777777" w:rsidR="003B0A37" w:rsidRDefault="00542990" w:rsidP="00832B78">
      <w:r w:rsidRPr="00542990">
        <w:t>The prime objective for the</w:t>
      </w:r>
      <w:r w:rsidR="00CB2623">
        <w:t xml:space="preserve"> 2015</w:t>
      </w:r>
      <w:r w:rsidRPr="00542990">
        <w:t xml:space="preserve"> RBS </w:t>
      </w:r>
      <w:r w:rsidR="00672B2C">
        <w:t>was</w:t>
      </w:r>
      <w:r w:rsidR="00672B2C" w:rsidRPr="00542990">
        <w:t xml:space="preserve"> </w:t>
      </w:r>
      <w:r w:rsidRPr="00542990">
        <w:t>to develop a model of energy consumption that covers all categories of residential appliances/equipment and that provides projections of energy consumption until 2030.  The study examined energy use in total, by end-use</w:t>
      </w:r>
      <w:r>
        <w:t>/products</w:t>
      </w:r>
      <w:r w:rsidRPr="00542990">
        <w:t xml:space="preserve"> and by fuel.  It also examined and modelled potential maximum residential electricity peak demand.</w:t>
      </w:r>
      <w:r>
        <w:t xml:space="preserve">  The 2015 RBS was extended to </w:t>
      </w:r>
      <w:r w:rsidR="00CB2623">
        <w:t xml:space="preserve">include New Zealand. </w:t>
      </w:r>
      <w:r w:rsidR="00CB2623" w:rsidRPr="00CB2623">
        <w:t xml:space="preserve">The modelling tool, the RBS model, is a bottom-up engineering, end-use energy model of the residential sector in Australia and New Zealand. </w:t>
      </w:r>
      <w:r w:rsidR="00CB2623">
        <w:t xml:space="preserve"> </w:t>
      </w:r>
      <w:r w:rsidR="00CB2623" w:rsidRPr="00CB2623">
        <w:t>It involves calculating the energy end-use consumption at the household end-use level and aggregating these consumptions to estimate the total locality or national consumption.  More specifically this involves estimating the energy use at the appliance (unit) level and then aggregating the energy use across all appliances and households to get the total energy use</w:t>
      </w:r>
      <w:r w:rsidR="00CB2623">
        <w:t xml:space="preserve">. </w:t>
      </w:r>
      <w:r w:rsidR="00CB2623" w:rsidRPr="00CB2623">
        <w:t xml:space="preserve">The resulting RBS modelling enables the contribution of individual end-uses, product groups and products to national energy use to be examined and understood.  </w:t>
      </w:r>
      <w:r w:rsidR="003B0A37">
        <w:t>See</w:t>
      </w:r>
      <w:r w:rsidR="00CB2623">
        <w:t xml:space="preserve"> </w:t>
      </w:r>
      <w:hyperlink r:id="rId19" w:history="1">
        <w:r w:rsidR="00CB2623" w:rsidRPr="003B0A37">
          <w:rPr>
            <w:rStyle w:val="Hyperlink"/>
          </w:rPr>
          <w:t>2015 RBS</w:t>
        </w:r>
      </w:hyperlink>
      <w:r w:rsidR="003B0A37">
        <w:t xml:space="preserve"> for more details.</w:t>
      </w:r>
    </w:p>
    <w:p w14:paraId="770CE0E7" w14:textId="14922516" w:rsidR="00832B78" w:rsidRPr="00076B95" w:rsidRDefault="000624C6" w:rsidP="00832B78">
      <w:r>
        <w:t>The 2021 RBS has</w:t>
      </w:r>
      <w:r w:rsidR="00832B78" w:rsidRPr="00A249BD">
        <w:t xml:space="preserve"> a number of objectives </w:t>
      </w:r>
      <w:r>
        <w:t>which remain consistent with those of the earlier 2015 RBS. These objectives and the</w:t>
      </w:r>
      <w:r w:rsidRPr="00A249BD">
        <w:t xml:space="preserve"> </w:t>
      </w:r>
      <w:r w:rsidR="00832B78" w:rsidRPr="00A249BD">
        <w:t>prime requirements for the study</w:t>
      </w:r>
      <w:r w:rsidR="00832B78">
        <w:t xml:space="preserve"> include:</w:t>
      </w:r>
    </w:p>
    <w:p w14:paraId="441CF295" w14:textId="32383F19" w:rsidR="00832B78" w:rsidRPr="00A33BD4" w:rsidRDefault="00832B78" w:rsidP="00A33BD4">
      <w:pPr>
        <w:pStyle w:val="Bullets-Minor"/>
      </w:pPr>
      <w:r w:rsidRPr="00A33BD4">
        <w:t>Developing a model of energy consumption that covers all categories of residential appliances/equipment and that enables projection until 20</w:t>
      </w:r>
      <w:r w:rsidR="000B5CC2">
        <w:t>4</w:t>
      </w:r>
      <w:r w:rsidRPr="00A33BD4">
        <w:t>0.</w:t>
      </w:r>
    </w:p>
    <w:p w14:paraId="259310ED" w14:textId="7E73AF02" w:rsidR="00832B78" w:rsidRPr="00A33BD4" w:rsidRDefault="00832B78" w:rsidP="00A33BD4">
      <w:pPr>
        <w:pStyle w:val="Bullets-Minor"/>
      </w:pPr>
      <w:r w:rsidRPr="00A33BD4">
        <w:t>Modelling potential residential electricity peak demand during extreme weather events, and potentially modelling average power demand by time of use as an enhancement to the RBS</w:t>
      </w:r>
    </w:p>
    <w:p w14:paraId="15FD22ED" w14:textId="7C3690C0" w:rsidR="00832B78" w:rsidRPr="00A33BD4" w:rsidRDefault="00832B78" w:rsidP="00A33BD4">
      <w:pPr>
        <w:pStyle w:val="Bullets-Minor"/>
      </w:pPr>
      <w:r w:rsidRPr="00A33BD4">
        <w:lastRenderedPageBreak/>
        <w:t>Ensuring that alterations to appliance efficiency can be undertaken separately to building shell efficiency, so the impact of policy changes on building efficiency can be integrated into the model</w:t>
      </w:r>
    </w:p>
    <w:p w14:paraId="2B3194DF" w14:textId="088332BA" w:rsidR="00832B78" w:rsidRPr="00A33BD4" w:rsidRDefault="00832B78" w:rsidP="00A33BD4">
      <w:pPr>
        <w:pStyle w:val="Bullets-Minor"/>
      </w:pPr>
      <w:r w:rsidRPr="00A33BD4">
        <w:t>Provide facilities so Department users can input appliance, building and energy data as this becomes available, and be able to alter modelling factors in order to undertake policy research. This objective also relate</w:t>
      </w:r>
      <w:r w:rsidR="001250D5">
        <w:t>s</w:t>
      </w:r>
      <w:r w:rsidRPr="00A33BD4">
        <w:t xml:space="preserve"> to a potential enhancement of the RBS.</w:t>
      </w:r>
    </w:p>
    <w:p w14:paraId="28290063" w14:textId="53D93EAC" w:rsidR="00832B78" w:rsidRDefault="00832B78" w:rsidP="00832B78">
      <w:r>
        <w:t xml:space="preserve">The </w:t>
      </w:r>
      <w:r w:rsidR="00DC1129">
        <w:t xml:space="preserve">RBS </w:t>
      </w:r>
      <w:r>
        <w:t xml:space="preserve">model </w:t>
      </w:r>
      <w:r w:rsidR="00DC1129">
        <w:t>is</w:t>
      </w:r>
      <w:r>
        <w:t xml:space="preserve"> to</w:t>
      </w:r>
      <w:r w:rsidR="004C65EC">
        <w:t xml:space="preserve"> continue to</w:t>
      </w:r>
      <w:r>
        <w:t xml:space="preserve"> encompass:</w:t>
      </w:r>
    </w:p>
    <w:p w14:paraId="4800937B" w14:textId="77777777" w:rsidR="00832B78" w:rsidRPr="00A33BD4" w:rsidRDefault="00832B78" w:rsidP="00A33BD4">
      <w:pPr>
        <w:pStyle w:val="Bullets-Minor"/>
      </w:pPr>
      <w:r w:rsidRPr="00A33BD4">
        <w:t>In Australia, the building classifications of Class 1a- detached dwellings, Class 1b- attached dwellings and Class 2- buildings containing two or more occupancy units</w:t>
      </w:r>
    </w:p>
    <w:p w14:paraId="5926B464" w14:textId="77777777" w:rsidR="00832B78" w:rsidRPr="00A33BD4" w:rsidRDefault="00832B78" w:rsidP="00A33BD4">
      <w:pPr>
        <w:pStyle w:val="Bullets-Minor"/>
      </w:pPr>
      <w:r w:rsidRPr="00A33BD4">
        <w:t>Residential energy use of electricity, natural gas, liquid petroleum gas, and wood, and solar photovoltaic electricity generation</w:t>
      </w:r>
    </w:p>
    <w:p w14:paraId="77A52DFA" w14:textId="44BC4563" w:rsidR="00832B78" w:rsidRDefault="00832B78" w:rsidP="00A33BD4">
      <w:pPr>
        <w:pStyle w:val="Bullets-Minor"/>
      </w:pPr>
      <w:r w:rsidRPr="00A33BD4">
        <w:t>Results and modelling at the jurisdictional level of Australian States and Territories, and at the national level.</w:t>
      </w:r>
    </w:p>
    <w:p w14:paraId="05BEB9B1" w14:textId="5248ABAC" w:rsidR="00390750" w:rsidRDefault="00DC1129" w:rsidP="00390750">
      <w:pPr>
        <w:pStyle w:val="Heading2"/>
      </w:pPr>
      <w:bookmarkStart w:id="4" w:name="_Toc99115756"/>
      <w:r>
        <w:t>RBS Enhancements and Stakeholder Consultation</w:t>
      </w:r>
      <w:bookmarkEnd w:id="4"/>
    </w:p>
    <w:p w14:paraId="5F6DCFF2" w14:textId="65FAE85C" w:rsidR="00DC1129" w:rsidRDefault="00DC1129" w:rsidP="00390750">
      <w:r>
        <w:t xml:space="preserve">There are four main enhancements which are to form part of the 2021 RBS. The broad requirements for these enhancements have been </w:t>
      </w:r>
      <w:r w:rsidR="00066518">
        <w:t>proposed</w:t>
      </w:r>
      <w:r>
        <w:t xml:space="preserve"> by the Department as follows: </w:t>
      </w:r>
    </w:p>
    <w:p w14:paraId="2C7C4C0C" w14:textId="03623847" w:rsidR="00DC1129" w:rsidRDefault="00066518" w:rsidP="00066518">
      <w:pPr>
        <w:pStyle w:val="ListParagraph"/>
        <w:numPr>
          <w:ilvl w:val="0"/>
          <w:numId w:val="34"/>
        </w:numPr>
      </w:pPr>
      <w:r>
        <w:t>Inclusion of Power Demand and Time of Use data</w:t>
      </w:r>
    </w:p>
    <w:p w14:paraId="7352D903" w14:textId="5B1A9990" w:rsidR="00066518" w:rsidRDefault="00066518" w:rsidP="00066518">
      <w:pPr>
        <w:pStyle w:val="ListParagraph"/>
        <w:numPr>
          <w:ilvl w:val="0"/>
          <w:numId w:val="34"/>
        </w:numPr>
      </w:pPr>
      <w:r>
        <w:t>Weather data linkages</w:t>
      </w:r>
    </w:p>
    <w:p w14:paraId="26821BCE" w14:textId="69629EFD" w:rsidR="00066518" w:rsidRDefault="00066518" w:rsidP="00066518">
      <w:pPr>
        <w:pStyle w:val="ListParagraph"/>
        <w:numPr>
          <w:ilvl w:val="0"/>
          <w:numId w:val="34"/>
        </w:numPr>
      </w:pPr>
      <w:r>
        <w:t>Policy scenario tool</w:t>
      </w:r>
    </w:p>
    <w:p w14:paraId="077A4D45" w14:textId="03D076BB" w:rsidR="00066518" w:rsidRDefault="00066518" w:rsidP="004C65EC">
      <w:pPr>
        <w:pStyle w:val="ListParagraph"/>
        <w:numPr>
          <w:ilvl w:val="0"/>
          <w:numId w:val="34"/>
        </w:numPr>
      </w:pPr>
      <w:r>
        <w:t>Increased data categories and outputs.</w:t>
      </w:r>
    </w:p>
    <w:p w14:paraId="12715091" w14:textId="42236B3D" w:rsidR="00390750" w:rsidRDefault="008B1E45" w:rsidP="00390750">
      <w:r>
        <w:t xml:space="preserve">A key aspect of the workplan for updating the RBS is to consult with the Department and RBS users to refine the objectives for the enhancements proposed to be included.  This consultation was undertaken by </w:t>
      </w:r>
      <w:r w:rsidR="003D331A">
        <w:t xml:space="preserve">surveying the potential RBS users and seeking their feedback on the scope, usefulness and purpose of the proposed enhancements. </w:t>
      </w:r>
      <w:r w:rsidR="00750371">
        <w:t xml:space="preserve"> This is described in </w:t>
      </w:r>
      <w:r w:rsidR="00EC0EC4">
        <w:t xml:space="preserve">section </w:t>
      </w:r>
      <w:r w:rsidR="00750371">
        <w:fldChar w:fldCharType="begin"/>
      </w:r>
      <w:r w:rsidR="00750371">
        <w:instrText xml:space="preserve"> REF _Ref49166162 \r \h </w:instrText>
      </w:r>
      <w:r w:rsidR="00750371">
        <w:fldChar w:fldCharType="separate"/>
      </w:r>
      <w:r w:rsidR="00FF581E">
        <w:t>4</w:t>
      </w:r>
      <w:r w:rsidR="00750371">
        <w:fldChar w:fldCharType="end"/>
      </w:r>
      <w:r w:rsidR="00750371">
        <w:t xml:space="preserve">. </w:t>
      </w:r>
      <w:r w:rsidR="00750371">
        <w:fldChar w:fldCharType="begin"/>
      </w:r>
      <w:r w:rsidR="00750371">
        <w:instrText xml:space="preserve"> REF _Ref49166167 \h </w:instrText>
      </w:r>
      <w:r w:rsidR="00750371">
        <w:fldChar w:fldCharType="separate"/>
      </w:r>
      <w:r w:rsidR="00FF581E">
        <w:t>Enhancements: Stakeholder Feedback and Proposed Approaches</w:t>
      </w:r>
      <w:r w:rsidR="00750371">
        <w:fldChar w:fldCharType="end"/>
      </w:r>
      <w:r w:rsidR="00EC0EC4">
        <w:t>.</w:t>
      </w:r>
    </w:p>
    <w:p w14:paraId="41F4FB4D" w14:textId="0FB39F44" w:rsidR="00066518" w:rsidRDefault="00066518" w:rsidP="00390750">
      <w:r>
        <w:t xml:space="preserve">Another aspect of refining the objectives of the </w:t>
      </w:r>
      <w:r w:rsidR="00A07D5D">
        <w:t xml:space="preserve">proposed </w:t>
      </w:r>
      <w:r>
        <w:t xml:space="preserve">enhancement was to research the availability of </w:t>
      </w:r>
      <w:r w:rsidR="00A07D5D">
        <w:t>appropriate data to support the enhancements</w:t>
      </w:r>
      <w:r>
        <w:t xml:space="preserve"> </w:t>
      </w:r>
      <w:r w:rsidR="00A07D5D">
        <w:t>and the technical feasibility of modelling the enhancement. Feedback on this technical research was to inform the consultation with the Department.</w:t>
      </w:r>
    </w:p>
    <w:p w14:paraId="43742CD1" w14:textId="52621DFD" w:rsidR="003B2C25" w:rsidRDefault="008B1E45" w:rsidP="003B2C25">
      <w:r>
        <w:t xml:space="preserve">The updated </w:t>
      </w:r>
      <w:r w:rsidR="00066518">
        <w:t xml:space="preserve">2021 </w:t>
      </w:r>
      <w:r>
        <w:t>RBS is referred to as RBS2.0.</w:t>
      </w:r>
      <w:r w:rsidR="003B2C25" w:rsidRPr="003B2C25">
        <w:t xml:space="preserve"> </w:t>
      </w:r>
    </w:p>
    <w:p w14:paraId="19254569" w14:textId="20D0EC3D" w:rsidR="000B5CC2" w:rsidRDefault="000B5CC2" w:rsidP="003B2C25"/>
    <w:p w14:paraId="047E66FB" w14:textId="52DB471E" w:rsidR="008B1E45" w:rsidRPr="00390750" w:rsidRDefault="008B1E45" w:rsidP="00390750"/>
    <w:p w14:paraId="007ECA8F" w14:textId="4E767DA8" w:rsidR="00832B78" w:rsidRDefault="00832B78" w:rsidP="00832B78">
      <w:pPr>
        <w:pStyle w:val="Heading1"/>
      </w:pPr>
      <w:bookmarkStart w:id="5" w:name="_Toc427932595"/>
      <w:bookmarkStart w:id="6" w:name="_Toc99115757"/>
      <w:r w:rsidRPr="0034172A">
        <w:lastRenderedPageBreak/>
        <w:t>Methodology</w:t>
      </w:r>
      <w:bookmarkEnd w:id="5"/>
      <w:bookmarkEnd w:id="6"/>
    </w:p>
    <w:p w14:paraId="4E76B177" w14:textId="340CC6A2" w:rsidR="000406D8" w:rsidRDefault="000406D8" w:rsidP="00832B78">
      <w:r>
        <w:t>The RBS</w:t>
      </w:r>
      <w:r w:rsidR="00941F64">
        <w:t>2.0</w:t>
      </w:r>
      <w:r>
        <w:t xml:space="preserve"> </w:t>
      </w:r>
      <w:r w:rsidR="003E7B47">
        <w:t xml:space="preserve">model </w:t>
      </w:r>
      <w:r>
        <w:t xml:space="preserve">will </w:t>
      </w:r>
      <w:r w:rsidR="003E7B47">
        <w:t>be</w:t>
      </w:r>
      <w:r>
        <w:t xml:space="preserve"> </w:t>
      </w:r>
      <w:r w:rsidR="003E7B47">
        <w:t>largely</w:t>
      </w:r>
      <w:r>
        <w:t xml:space="preserve"> the same</w:t>
      </w:r>
      <w:r w:rsidR="003E7B47">
        <w:t xml:space="preserve"> as the RBS</w:t>
      </w:r>
      <w:r w:rsidR="00941F64">
        <w:t>1.0</w:t>
      </w:r>
      <w:r w:rsidR="003E7B47">
        <w:t xml:space="preserve"> model and will use fundamentally the same </w:t>
      </w:r>
      <w:r>
        <w:t xml:space="preserve">methodology, but with updates to data and some enhancements. </w:t>
      </w:r>
    </w:p>
    <w:p w14:paraId="14F2C2FA" w14:textId="1BB90B75" w:rsidR="008C6E2A" w:rsidRDefault="008C6E2A" w:rsidP="008C6E2A">
      <w:pPr>
        <w:pStyle w:val="Heading2"/>
      </w:pPr>
      <w:bookmarkStart w:id="7" w:name="_Toc99115758"/>
      <w:r>
        <w:t xml:space="preserve">Summary of </w:t>
      </w:r>
      <w:r w:rsidR="00EC0EC4">
        <w:t>Core Model</w:t>
      </w:r>
      <w:bookmarkEnd w:id="7"/>
    </w:p>
    <w:p w14:paraId="02F179EA" w14:textId="15AD9484" w:rsidR="00A07D5D" w:rsidRDefault="00832B78" w:rsidP="00832B78">
      <w:r>
        <w:t>The RBS model is a bottom-up</w:t>
      </w:r>
      <w:r w:rsidR="00305B0A">
        <w:t xml:space="preserve"> engineering</w:t>
      </w:r>
      <w:r>
        <w:t xml:space="preserve">, end-use energy model of the residential sector in Australia and New Zealand. </w:t>
      </w:r>
      <w:r w:rsidR="00A07D5D">
        <w:t xml:space="preserve">In essence, the RBS consists of a large database of information on all the different products that are in Australian and New Zealand homes, and on the number, size, </w:t>
      </w:r>
      <w:r w:rsidR="004C65EC">
        <w:t xml:space="preserve">efficiency </w:t>
      </w:r>
      <w:r w:rsidR="00A07D5D">
        <w:t>and use characteristics</w:t>
      </w:r>
      <w:r w:rsidR="004F3780">
        <w:t>. It is this underlying product data which is then combined using formulae releva</w:t>
      </w:r>
      <w:r w:rsidR="00305B0A">
        <w:t>nt to each product to calculate</w:t>
      </w:r>
      <w:r w:rsidR="00A07D5D">
        <w:t xml:space="preserve"> how much energy each of the products uses</w:t>
      </w:r>
      <w:r w:rsidR="004F3780">
        <w:t xml:space="preserve"> annually. The results of the calculations are then extracted and can be reformatted in numerous ways to produce the modelling outputs in the form required by the RBS user. </w:t>
      </w:r>
    </w:p>
    <w:p w14:paraId="0A10BE44" w14:textId="1449556B" w:rsidR="00170177" w:rsidRDefault="004C65EC" w:rsidP="00832B78">
      <w:r>
        <w:t>A</w:t>
      </w:r>
      <w:r w:rsidR="00170177">
        <w:t>n important implication of the RBS being a bottom-up model is that the accuracy of the RBS rests on the availability and accuracy of the underlying product and usage data. This is the strength of the RBS but also it has implications when developing enhancements to the RBS, as will be discussed later i</w:t>
      </w:r>
      <w:r w:rsidR="00F74094">
        <w:t>n</w:t>
      </w:r>
      <w:r w:rsidR="00170177">
        <w:t xml:space="preserve"> the report. </w:t>
      </w:r>
    </w:p>
    <w:p w14:paraId="0379B89F" w14:textId="77777777" w:rsidR="00832B78" w:rsidRDefault="00832B78" w:rsidP="00832B78">
      <w:r>
        <w:t>The RBS model incorporates data from a wide variety of sources and takes into account the following major factors:</w:t>
      </w:r>
    </w:p>
    <w:p w14:paraId="6FAC69A6" w14:textId="77777777" w:rsidR="00832B78" w:rsidRDefault="00832B78" w:rsidP="001052FF">
      <w:pPr>
        <w:pStyle w:val="Bullets-Major"/>
      </w:pPr>
      <w:r>
        <w:t>Sales and stock of all residential appliances</w:t>
      </w:r>
    </w:p>
    <w:p w14:paraId="445E06DB" w14:textId="77777777" w:rsidR="00832B78" w:rsidRDefault="00832B78" w:rsidP="001052FF">
      <w:pPr>
        <w:pStyle w:val="Bullets-Major"/>
      </w:pPr>
      <w:r>
        <w:t>The energy usage, demand and efficiency of all appliances, which varies by appliance type, technology, size and year sold</w:t>
      </w:r>
    </w:p>
    <w:p w14:paraId="6639DBA5" w14:textId="77777777" w:rsidR="00832B78" w:rsidRDefault="00832B78" w:rsidP="001052FF">
      <w:pPr>
        <w:pStyle w:val="Bullets-Major"/>
      </w:pPr>
      <w:r>
        <w:t>Usage patterns and user behaviour regarding all appliance use, varied by locality where relevant</w:t>
      </w:r>
    </w:p>
    <w:p w14:paraId="54AC2BD9" w14:textId="77777777" w:rsidR="00832B78" w:rsidRDefault="00832B78" w:rsidP="001052FF">
      <w:pPr>
        <w:pStyle w:val="Bullets-Major"/>
      </w:pPr>
      <w:r>
        <w:t>Building type, insulation and thermal efficiency</w:t>
      </w:r>
      <w:r w:rsidRPr="00AB7F63">
        <w:t xml:space="preserve"> </w:t>
      </w:r>
      <w:r>
        <w:t>varied by locality and over time</w:t>
      </w:r>
    </w:p>
    <w:p w14:paraId="6C1AF4AD" w14:textId="77777777" w:rsidR="00832B78" w:rsidRDefault="00832B78" w:rsidP="001052FF">
      <w:pPr>
        <w:pStyle w:val="Bullets-Major"/>
      </w:pPr>
      <w:r>
        <w:t>The impact of climate on space conditioning requirements and usage</w:t>
      </w:r>
    </w:p>
    <w:p w14:paraId="612990AC" w14:textId="5E1F7B6C" w:rsidR="00832B78" w:rsidRDefault="00832B78" w:rsidP="001052FF">
      <w:pPr>
        <w:pStyle w:val="Bullets-Major"/>
      </w:pPr>
      <w:r>
        <w:t>The impact of locality on PV generation</w:t>
      </w:r>
      <w:r w:rsidR="009B2D43">
        <w:t xml:space="preserve"> and solar water heating</w:t>
      </w:r>
      <w:r>
        <w:t>.</w:t>
      </w:r>
    </w:p>
    <w:p w14:paraId="12A01232" w14:textId="2EA22F6C" w:rsidR="00832B78" w:rsidRDefault="00832B78" w:rsidP="00832B78">
      <w:r>
        <w:t xml:space="preserve">In total 129 different appliances and products </w:t>
      </w:r>
      <w:r w:rsidR="00F70C39">
        <w:t>are currently</w:t>
      </w:r>
      <w:r>
        <w:t xml:space="preserve"> modelled</w:t>
      </w:r>
      <w:r w:rsidR="00F70C39">
        <w:t>, but further product disaggregation being considered may increase this number</w:t>
      </w:r>
      <w:r>
        <w:t xml:space="preserve">. </w:t>
      </w:r>
      <w:r w:rsidR="004F3780">
        <w:fldChar w:fldCharType="begin"/>
      </w:r>
      <w:r w:rsidR="004F3780">
        <w:instrText xml:space="preserve"> REF _Ref47712053 \h </w:instrText>
      </w:r>
      <w:r w:rsidR="004F3780">
        <w:fldChar w:fldCharType="separate"/>
      </w:r>
      <w:r w:rsidR="00FF581E">
        <w:t>Appendix A: Underlying RBS1.0 Methodology</w:t>
      </w:r>
      <w:r w:rsidR="004F3780">
        <w:fldChar w:fldCharType="end"/>
      </w:r>
      <w:r w:rsidR="004F3780">
        <w:t xml:space="preserve"> describes in more detail the methods and approach used to estimate the energy use and demand of the different </w:t>
      </w:r>
      <w:r w:rsidR="004F3780" w:rsidRPr="00BD65C6">
        <w:t>residential energy end-uses in the RBS model, and the overall architecture of the RBS model.</w:t>
      </w:r>
      <w:r w:rsidR="004F3780">
        <w:t xml:space="preserve"> </w:t>
      </w:r>
      <w:r w:rsidR="00170177">
        <w:t>The Appendix describes</w:t>
      </w:r>
      <w:r>
        <w:t>:</w:t>
      </w:r>
    </w:p>
    <w:p w14:paraId="21E6B75F" w14:textId="77777777" w:rsidR="00832B78" w:rsidRDefault="00832B78" w:rsidP="001052FF">
      <w:pPr>
        <w:pStyle w:val="Bullets-Major"/>
      </w:pPr>
      <w:r>
        <w:t>Underlying Method</w:t>
      </w:r>
    </w:p>
    <w:p w14:paraId="2B157BA0" w14:textId="77777777" w:rsidR="00832B78" w:rsidRDefault="00832B78" w:rsidP="001052FF">
      <w:pPr>
        <w:pStyle w:val="Bullets-Major"/>
      </w:pPr>
      <w:r>
        <w:t>Space Conditioning Method</w:t>
      </w:r>
    </w:p>
    <w:p w14:paraId="723460DE" w14:textId="77777777" w:rsidR="00832B78" w:rsidRDefault="00832B78" w:rsidP="001052FF">
      <w:pPr>
        <w:pStyle w:val="Bullets-Major"/>
      </w:pPr>
      <w:r>
        <w:t>Peak Load Method</w:t>
      </w:r>
    </w:p>
    <w:p w14:paraId="5E752A3E" w14:textId="77777777" w:rsidR="00832B78" w:rsidRDefault="00832B78" w:rsidP="001052FF">
      <w:pPr>
        <w:pStyle w:val="Bullets-Major"/>
      </w:pPr>
      <w:r>
        <w:lastRenderedPageBreak/>
        <w:t>Model Architecture.</w:t>
      </w:r>
    </w:p>
    <w:p w14:paraId="21F550BD" w14:textId="5A45B7DF" w:rsidR="00832B78" w:rsidRDefault="00832B78" w:rsidP="00832B78"/>
    <w:p w14:paraId="3F02C248" w14:textId="3F27370A" w:rsidR="008C6E2A" w:rsidRDefault="008C6E2A" w:rsidP="008C6E2A">
      <w:pPr>
        <w:pStyle w:val="Heading2"/>
      </w:pPr>
      <w:bookmarkStart w:id="8" w:name="_Toc99115759"/>
      <w:r>
        <w:t>Summary of Proposed Changes: RBS1.0 to RBS2.0</w:t>
      </w:r>
      <w:bookmarkEnd w:id="8"/>
    </w:p>
    <w:p w14:paraId="5A10E737" w14:textId="40D5EF53" w:rsidR="002566C2" w:rsidRDefault="008C6E2A" w:rsidP="008C6E2A">
      <w:r>
        <w:t>The key areas of change between RBS1.0 and RBS2.0 are shown in</w:t>
      </w:r>
      <w:r w:rsidR="00A637CC">
        <w:t xml:space="preserve"> </w:t>
      </w:r>
      <w:r w:rsidR="00A637CC">
        <w:fldChar w:fldCharType="begin"/>
      </w:r>
      <w:r w:rsidR="00A637CC">
        <w:instrText xml:space="preserve"> REF _Ref49178239 \h </w:instrText>
      </w:r>
      <w:r w:rsidR="00A637CC">
        <w:fldChar w:fldCharType="separate"/>
      </w:r>
      <w:r w:rsidR="00A637CC">
        <w:t xml:space="preserve">Figure </w:t>
      </w:r>
      <w:r w:rsidR="00A637CC">
        <w:rPr>
          <w:noProof/>
        </w:rPr>
        <w:t>1</w:t>
      </w:r>
      <w:r w:rsidR="00A637CC">
        <w:fldChar w:fldCharType="end"/>
      </w:r>
      <w:r>
        <w:t>.  As part of the update of the RBS, the core data will be updated to 2019</w:t>
      </w:r>
      <w:r w:rsidR="00AE4EB6">
        <w:t xml:space="preserve"> or</w:t>
      </w:r>
      <w:r>
        <w:t xml:space="preserve"> </w:t>
      </w:r>
      <w:r w:rsidR="00A637CC">
        <w:t xml:space="preserve">2020 </w:t>
      </w:r>
      <w:r>
        <w:t>and projections made to 2040.  This includes obtaining and analysing data relating to the energy/technical characteristics of equipment, the sales/uptake of products from 2014 to 2019</w:t>
      </w:r>
      <w:r w:rsidR="00A863A1">
        <w:t xml:space="preserve"> (and projected trends post 2020)</w:t>
      </w:r>
      <w:r>
        <w:t xml:space="preserve">, changes to the thermal efficiency of buildings and addition of new products. </w:t>
      </w:r>
    </w:p>
    <w:p w14:paraId="67E41560" w14:textId="6B369E86" w:rsidR="008C6E2A" w:rsidRPr="008B73E6" w:rsidRDefault="008C6E2A" w:rsidP="008C6E2A">
      <w:r>
        <w:t xml:space="preserve">Further enhancements for RBS2.0 relate to the </w:t>
      </w:r>
      <w:r w:rsidR="00A863A1">
        <w:t xml:space="preserve">estimation of </w:t>
      </w:r>
      <w:r>
        <w:t>average demand</w:t>
      </w:r>
      <w:r w:rsidR="00A863A1">
        <w:t xml:space="preserve"> by time of day</w:t>
      </w:r>
      <w:r>
        <w:t>, linkages with weather, policy scenario functionality and additional outputs.</w:t>
      </w:r>
      <w:r w:rsidR="00BC5C53">
        <w:t xml:space="preserve">  These enhancements are described in detail in the following sections of this report.</w:t>
      </w:r>
    </w:p>
    <w:p w14:paraId="3415002F" w14:textId="60C2AE81" w:rsidR="008C6E2A" w:rsidRDefault="008C6E2A" w:rsidP="008C6E2A">
      <w:pPr>
        <w:pStyle w:val="Caption"/>
      </w:pPr>
      <w:bookmarkStart w:id="9" w:name="_Ref49178239"/>
      <w:r>
        <w:t xml:space="preserve">Figure </w:t>
      </w:r>
      <w:r>
        <w:fldChar w:fldCharType="begin"/>
      </w:r>
      <w:r>
        <w:instrText xml:space="preserve"> SEQ Figure \* ARABIC </w:instrText>
      </w:r>
      <w:r>
        <w:fldChar w:fldCharType="separate"/>
      </w:r>
      <w:r w:rsidR="00FF581E">
        <w:rPr>
          <w:noProof/>
        </w:rPr>
        <w:t>1</w:t>
      </w:r>
      <w:r>
        <w:fldChar w:fldCharType="end"/>
      </w:r>
      <w:bookmarkEnd w:id="9"/>
      <w:r>
        <w:t>: Key areas of change for RBS2.0</w:t>
      </w:r>
    </w:p>
    <w:p w14:paraId="24B4CBAA" w14:textId="77777777" w:rsidR="008C6E2A" w:rsidRDefault="008C6E2A" w:rsidP="008C6E2A">
      <w:r>
        <w:rPr>
          <w:noProof/>
          <w:lang w:eastAsia="en-AU"/>
        </w:rPr>
        <w:drawing>
          <wp:inline distT="0" distB="0" distL="0" distR="0" wp14:anchorId="46F60243" wp14:editId="2E8BAEE7">
            <wp:extent cx="5486400" cy="4619625"/>
            <wp:effectExtent l="0" t="0" r="57150" b="2857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FABBA9B" w14:textId="77777777" w:rsidR="008C6E2A" w:rsidRDefault="008C6E2A" w:rsidP="00832B78"/>
    <w:p w14:paraId="03277EF9" w14:textId="76428C30" w:rsidR="00C14E37" w:rsidRPr="002F30DB" w:rsidRDefault="00C14E37" w:rsidP="00C14E37">
      <w:pPr>
        <w:pStyle w:val="Heading1"/>
      </w:pPr>
      <w:bookmarkStart w:id="10" w:name="_Toc99115760"/>
      <w:r>
        <w:lastRenderedPageBreak/>
        <w:t>Update of RBS Core Data</w:t>
      </w:r>
      <w:bookmarkEnd w:id="10"/>
      <w:r>
        <w:t xml:space="preserve"> </w:t>
      </w:r>
    </w:p>
    <w:p w14:paraId="1D3EDB78" w14:textId="425EBB8B" w:rsidR="00C14E37" w:rsidRDefault="00C14E37" w:rsidP="009E7C95">
      <w:r>
        <w:t xml:space="preserve">There are two main tasks in the </w:t>
      </w:r>
      <w:r w:rsidR="00170177">
        <w:t xml:space="preserve">updating </w:t>
      </w:r>
      <w:r>
        <w:t>of the RBS core data and model</w:t>
      </w:r>
      <w:r w:rsidR="00A863A1">
        <w:t>ling parameters</w:t>
      </w:r>
      <w:r>
        <w:t xml:space="preserve">, these being the data collection, analysis and research, plus the input of the new data, revision and review of trends. </w:t>
      </w:r>
      <w:r w:rsidR="008B1E45">
        <w:t xml:space="preserve"> </w:t>
      </w:r>
    </w:p>
    <w:p w14:paraId="0F76493D" w14:textId="77777777" w:rsidR="00C14E37" w:rsidRPr="00A840B4" w:rsidRDefault="00C14E37" w:rsidP="00C14E37">
      <w:pPr>
        <w:pStyle w:val="Heading2"/>
      </w:pPr>
      <w:bookmarkStart w:id="11" w:name="_Toc99115761"/>
      <w:r w:rsidRPr="00A840B4">
        <w:t>Data Collection, Analysis and Research</w:t>
      </w:r>
      <w:bookmarkEnd w:id="11"/>
    </w:p>
    <w:p w14:paraId="47E46DF2" w14:textId="4486722B" w:rsidR="00C14E37" w:rsidRDefault="00C14E37" w:rsidP="008D6D22">
      <w:r>
        <w:t xml:space="preserve">Updating of the underlying data set will be a major part of the preparation of RBS </w:t>
      </w:r>
      <w:r w:rsidR="008D6D22">
        <w:t>2.0</w:t>
      </w:r>
      <w:r>
        <w:t xml:space="preserve"> and will involve collection and preparation of appropriate data.</w:t>
      </w:r>
      <w:r w:rsidR="00A373CC">
        <w:t xml:space="preserve">  The update will follow the same processes used in the creation of the RBS documented in the</w:t>
      </w:r>
      <w:r w:rsidR="009256D8">
        <w:t xml:space="preserve"> </w:t>
      </w:r>
      <w:r w:rsidR="009256D8" w:rsidRPr="009256D8">
        <w:t>2015</w:t>
      </w:r>
      <w:r w:rsidR="00A373CC" w:rsidRPr="009256D8">
        <w:t xml:space="preserve"> RBS – Technical Appendix</w:t>
      </w:r>
      <w:r w:rsidR="009256D8">
        <w:t xml:space="preserve"> —</w:t>
      </w:r>
      <w:r w:rsidR="00A373CC">
        <w:t xml:space="preserve"> </w:t>
      </w:r>
      <w:hyperlink r:id="rId25" w:history="1">
        <w:r w:rsidR="009256D8" w:rsidRPr="009256D8">
          <w:rPr>
            <w:rStyle w:val="Hyperlink"/>
          </w:rPr>
          <w:t>PDF</w:t>
        </w:r>
      </w:hyperlink>
      <w:r w:rsidR="00DA67E0">
        <w:t xml:space="preserve"> |</w:t>
      </w:r>
      <w:r w:rsidR="00A373CC">
        <w:t xml:space="preserve"> </w:t>
      </w:r>
      <w:hyperlink r:id="rId26" w:history="1">
        <w:r w:rsidR="009256D8" w:rsidRPr="009256D8">
          <w:rPr>
            <w:rStyle w:val="Hyperlink"/>
          </w:rPr>
          <w:t>Word</w:t>
        </w:r>
      </w:hyperlink>
      <w:r w:rsidR="009256D8">
        <w:t>.</w:t>
      </w:r>
    </w:p>
    <w:p w14:paraId="215AAD04" w14:textId="663853FE" w:rsidR="00C14E37" w:rsidRDefault="00A373CC" w:rsidP="00A373CC">
      <w:r>
        <w:t>The update will involve i</w:t>
      </w:r>
      <w:r w:rsidR="00C14E37">
        <w:t>dentifying and extracting product and housing data</w:t>
      </w:r>
      <w:r>
        <w:t>, relating to the annual installation/sales of products</w:t>
      </w:r>
      <w:r w:rsidR="003F3E0F">
        <w:t>;</w:t>
      </w:r>
      <w:r>
        <w:t xml:space="preserve"> usage, </w:t>
      </w:r>
      <w:r w:rsidR="003F3E0F">
        <w:t xml:space="preserve">energy </w:t>
      </w:r>
      <w:r>
        <w:t>efficiency and capacity</w:t>
      </w:r>
      <w:r w:rsidR="00232504">
        <w:t xml:space="preserve"> </w:t>
      </w:r>
      <w:r>
        <w:t xml:space="preserve">(size) characteristics and trends.  </w:t>
      </w:r>
      <w:r w:rsidR="003F3E0F">
        <w:t xml:space="preserve">The </w:t>
      </w:r>
      <w:r w:rsidR="00C14E37">
        <w:t>following sources</w:t>
      </w:r>
      <w:r w:rsidR="003F3E0F">
        <w:t xml:space="preserve"> will be utilised</w:t>
      </w:r>
      <w:r w:rsidR="00C14E37">
        <w:t>:</w:t>
      </w:r>
    </w:p>
    <w:p w14:paraId="2EAC2C99" w14:textId="77777777" w:rsidR="00C14E37" w:rsidRDefault="00C14E37" w:rsidP="003F3E0F">
      <w:pPr>
        <w:pStyle w:val="Bullets-Major"/>
      </w:pPr>
      <w:r>
        <w:t>Latest Australian (2016) and NZ (2018) census data</w:t>
      </w:r>
    </w:p>
    <w:p w14:paraId="1E37C1A0" w14:textId="3BED5B0F" w:rsidR="00C14E37" w:rsidRDefault="003F3E0F" w:rsidP="003F3E0F">
      <w:pPr>
        <w:pStyle w:val="Bullets-Major"/>
      </w:pPr>
      <w:r>
        <w:t xml:space="preserve">Latest </w:t>
      </w:r>
      <w:r w:rsidR="00C14E37" w:rsidRPr="00753CC8">
        <w:t>ABS</w:t>
      </w:r>
      <w:r w:rsidR="00C14E37">
        <w:t>/Stats NZ housing and population forecast</w:t>
      </w:r>
      <w:r w:rsidR="00232504">
        <w:t>s</w:t>
      </w:r>
    </w:p>
    <w:p w14:paraId="5C0BDB02" w14:textId="77777777" w:rsidR="00C14E37" w:rsidRDefault="00C14E37" w:rsidP="003F3E0F">
      <w:pPr>
        <w:pStyle w:val="Bullets-Major"/>
      </w:pPr>
      <w:r>
        <w:t>Regulatory Impact Statement (RIS) reports</w:t>
      </w:r>
    </w:p>
    <w:p w14:paraId="4DDDCB4B" w14:textId="1ED37B5F" w:rsidR="00C14E37" w:rsidRDefault="00C14E37" w:rsidP="003F3E0F">
      <w:pPr>
        <w:pStyle w:val="Bullets-Major"/>
      </w:pPr>
      <w:r>
        <w:t>GEMS registration database</w:t>
      </w:r>
    </w:p>
    <w:p w14:paraId="3230B578" w14:textId="40ADE3B7" w:rsidR="00BC5C53" w:rsidRDefault="00BC5C53" w:rsidP="003F3E0F">
      <w:pPr>
        <w:pStyle w:val="Bullets-Major"/>
      </w:pPr>
      <w:r>
        <w:t xml:space="preserve">Clean Energy Regulator – </w:t>
      </w:r>
      <w:r w:rsidRPr="00BC5C53">
        <w:t>Small-scale Renewable Energy Scheme</w:t>
      </w:r>
      <w:r>
        <w:t xml:space="preserve"> data</w:t>
      </w:r>
    </w:p>
    <w:p w14:paraId="376AB817" w14:textId="77777777" w:rsidR="00DA67E0" w:rsidRDefault="00DA67E0" w:rsidP="00DA67E0">
      <w:pPr>
        <w:pStyle w:val="Bullets-Major"/>
      </w:pPr>
      <w:r>
        <w:t xml:space="preserve">AEMO </w:t>
      </w:r>
      <w:hyperlink r:id="rId27" w:history="1">
        <w:r w:rsidRPr="00C20EF4">
          <w:rPr>
            <w:rStyle w:val="Hyperlink"/>
          </w:rPr>
          <w:t>Distributed Energy Resource Register</w:t>
        </w:r>
      </w:hyperlink>
      <w:r w:rsidRPr="005925BF">
        <w:t xml:space="preserve"> </w:t>
      </w:r>
      <w:r>
        <w:t xml:space="preserve">and </w:t>
      </w:r>
      <w:hyperlink r:id="rId28" w:history="1">
        <w:r w:rsidRPr="005925BF">
          <w:rPr>
            <w:rStyle w:val="Hyperlink"/>
          </w:rPr>
          <w:t>Login</w:t>
        </w:r>
      </w:hyperlink>
      <w:r>
        <w:t xml:space="preserve"> </w:t>
      </w:r>
    </w:p>
    <w:p w14:paraId="50CCE7D8" w14:textId="6C5B2CD4" w:rsidR="00C14E37" w:rsidRDefault="00232504" w:rsidP="00DA67E0">
      <w:pPr>
        <w:pStyle w:val="Bullets-Major"/>
      </w:pPr>
      <w:r>
        <w:t>R</w:t>
      </w:r>
      <w:r w:rsidR="00C14E37">
        <w:t xml:space="preserve">ecent market studies (including </w:t>
      </w:r>
      <w:hyperlink r:id="rId29" w:history="1">
        <w:r w:rsidR="00C14E37" w:rsidRPr="00232504">
          <w:rPr>
            <w:rStyle w:val="Hyperlink"/>
          </w:rPr>
          <w:t xml:space="preserve">Cold Hard Facts </w:t>
        </w:r>
        <w:r w:rsidR="00AA6E1F">
          <w:rPr>
            <w:rStyle w:val="Hyperlink"/>
          </w:rPr>
          <w:t>2019</w:t>
        </w:r>
      </w:hyperlink>
      <w:r w:rsidR="00C14E37">
        <w:t>)</w:t>
      </w:r>
    </w:p>
    <w:p w14:paraId="5FE71D03" w14:textId="58DA4217" w:rsidR="00C14E37" w:rsidRDefault="00232504" w:rsidP="003F3E0F">
      <w:pPr>
        <w:pStyle w:val="Bullets-Major"/>
      </w:pPr>
      <w:r>
        <w:t>M</w:t>
      </w:r>
      <w:r w:rsidR="00C14E37">
        <w:t xml:space="preserve">arket research (GfK, </w:t>
      </w:r>
      <w:r w:rsidR="00C14E37" w:rsidRPr="006A6966">
        <w:t xml:space="preserve">BIS </w:t>
      </w:r>
      <w:r w:rsidR="00C14E37">
        <w:t>Oxford Economics)</w:t>
      </w:r>
    </w:p>
    <w:p w14:paraId="4050EA3C" w14:textId="4C066045" w:rsidR="00C14E37" w:rsidRDefault="00C14E37" w:rsidP="003F3E0F">
      <w:pPr>
        <w:pStyle w:val="Bullets-Major"/>
      </w:pPr>
      <w:r>
        <w:t>EECA</w:t>
      </w:r>
      <w:r w:rsidR="00232504">
        <w:t xml:space="preserve"> NZ</w:t>
      </w:r>
      <w:r>
        <w:t>/Department programs and data</w:t>
      </w:r>
    </w:p>
    <w:p w14:paraId="65299BE3" w14:textId="046E5851" w:rsidR="00775B05" w:rsidRDefault="00775B05" w:rsidP="003F3E0F">
      <w:pPr>
        <w:pStyle w:val="Bullets-Major"/>
      </w:pPr>
      <w:r>
        <w:t xml:space="preserve">CSIRO </w:t>
      </w:r>
      <w:hyperlink r:id="rId30" w:history="1">
        <w:r w:rsidRPr="00232504">
          <w:rPr>
            <w:rStyle w:val="Hyperlink"/>
          </w:rPr>
          <w:t>National Energy Analytics Research</w:t>
        </w:r>
      </w:hyperlink>
      <w:r w:rsidRPr="00775B05">
        <w:t xml:space="preserve"> </w:t>
      </w:r>
      <w:r>
        <w:t xml:space="preserve">(NEAR) </w:t>
      </w:r>
      <w:r w:rsidRPr="00775B05">
        <w:t xml:space="preserve">Program </w:t>
      </w:r>
    </w:p>
    <w:p w14:paraId="7B36DA15" w14:textId="272F85B8" w:rsidR="00C14E37" w:rsidRDefault="00C14E37" w:rsidP="003F3E0F">
      <w:pPr>
        <w:pStyle w:val="Bullets-Major"/>
      </w:pPr>
      <w:r>
        <w:t>Department/E3 and NSW DPIE purchased commercial data</w:t>
      </w:r>
    </w:p>
    <w:p w14:paraId="0259531D" w14:textId="766B760F" w:rsidR="00C14E37" w:rsidRDefault="00232504" w:rsidP="003F3E0F">
      <w:pPr>
        <w:pStyle w:val="Bullets-Major"/>
      </w:pPr>
      <w:r>
        <w:t>I</w:t>
      </w:r>
      <w:r w:rsidR="00C14E37">
        <w:t xml:space="preserve">ndustry stakeholders </w:t>
      </w:r>
    </w:p>
    <w:p w14:paraId="37D64033" w14:textId="470D283A" w:rsidR="00C14E37" w:rsidRDefault="00232504" w:rsidP="003F3E0F">
      <w:pPr>
        <w:pStyle w:val="Bullets-Major"/>
      </w:pPr>
      <w:r>
        <w:t>I</w:t>
      </w:r>
      <w:r w:rsidR="00C14E37">
        <w:t>ndustry stakeholder publications</w:t>
      </w:r>
    </w:p>
    <w:p w14:paraId="3169B501" w14:textId="1DD0EA0E" w:rsidR="00BC5C53" w:rsidRDefault="007B6195" w:rsidP="00BE2637">
      <w:r>
        <w:fldChar w:fldCharType="begin"/>
      </w:r>
      <w:r>
        <w:instrText xml:space="preserve"> REF _Ref47696770 \h </w:instrText>
      </w:r>
      <w:r>
        <w:fldChar w:fldCharType="separate"/>
      </w:r>
      <w:r w:rsidR="00FF581E">
        <w:t xml:space="preserve">Table </w:t>
      </w:r>
      <w:r w:rsidR="00FF581E">
        <w:rPr>
          <w:noProof/>
        </w:rPr>
        <w:t>1</w:t>
      </w:r>
      <w:r>
        <w:fldChar w:fldCharType="end"/>
      </w:r>
      <w:r>
        <w:t xml:space="preserve"> </w:t>
      </w:r>
      <w:r w:rsidR="00C14E37">
        <w:t>provides an initial assessment of some of the data available for updating the RBS. This table will continue to be updated as further information is obtained on data sources</w:t>
      </w:r>
      <w:r w:rsidR="00BE2637">
        <w:t xml:space="preserve"> and the update of the RBS core data proceeds</w:t>
      </w:r>
      <w:r w:rsidR="00C14E37">
        <w:t>.</w:t>
      </w:r>
    </w:p>
    <w:p w14:paraId="05FC7117" w14:textId="77777777" w:rsidR="00BC5C53" w:rsidRDefault="00BC5C53">
      <w:pPr>
        <w:spacing w:before="0" w:after="200"/>
        <w:ind w:left="0" w:right="0"/>
      </w:pPr>
      <w:r>
        <w:br w:type="page"/>
      </w:r>
    </w:p>
    <w:p w14:paraId="197F52F5" w14:textId="77777777" w:rsidR="00C14E37" w:rsidRDefault="00C14E37" w:rsidP="00BE2637"/>
    <w:p w14:paraId="771A36AB" w14:textId="53FE8AAB" w:rsidR="007B6195" w:rsidRDefault="007B6195" w:rsidP="007B6195">
      <w:pPr>
        <w:pStyle w:val="Caption"/>
      </w:pPr>
      <w:bookmarkStart w:id="12" w:name="_Ref47696770"/>
      <w:r>
        <w:t xml:space="preserve">Table </w:t>
      </w:r>
      <w:r>
        <w:fldChar w:fldCharType="begin"/>
      </w:r>
      <w:r>
        <w:instrText xml:space="preserve"> SEQ Table \* ARABIC </w:instrText>
      </w:r>
      <w:r>
        <w:fldChar w:fldCharType="separate"/>
      </w:r>
      <w:r w:rsidR="00FF581E">
        <w:rPr>
          <w:noProof/>
        </w:rPr>
        <w:t>1</w:t>
      </w:r>
      <w:r>
        <w:fldChar w:fldCharType="end"/>
      </w:r>
      <w:bookmarkEnd w:id="12"/>
      <w:r>
        <w:t>: RBS Core update data sources and considerations</w:t>
      </w:r>
    </w:p>
    <w:tbl>
      <w:tblPr>
        <w:tblStyle w:val="TableGrid"/>
        <w:tblW w:w="0" w:type="auto"/>
        <w:tblLook w:val="04A0" w:firstRow="1" w:lastRow="0" w:firstColumn="1" w:lastColumn="0" w:noHBand="0" w:noVBand="1"/>
      </w:tblPr>
      <w:tblGrid>
        <w:gridCol w:w="1314"/>
        <w:gridCol w:w="1340"/>
        <w:gridCol w:w="1651"/>
        <w:gridCol w:w="1127"/>
        <w:gridCol w:w="2085"/>
        <w:gridCol w:w="1715"/>
      </w:tblGrid>
      <w:tr w:rsidR="00C14E37" w:rsidRPr="00AB3575" w14:paraId="3996CD26" w14:textId="77777777" w:rsidTr="007B6195">
        <w:tc>
          <w:tcPr>
            <w:tcW w:w="1314" w:type="dxa"/>
          </w:tcPr>
          <w:p w14:paraId="3F51B4FD" w14:textId="77777777" w:rsidR="00C14E37" w:rsidRPr="00AB3575" w:rsidRDefault="00C14E37" w:rsidP="005C6B7E">
            <w:pPr>
              <w:pStyle w:val="BodyText3"/>
              <w:jc w:val="left"/>
              <w:rPr>
                <w:b/>
                <w:bCs/>
              </w:rPr>
            </w:pPr>
            <w:r w:rsidRPr="00AB3575">
              <w:rPr>
                <w:b/>
                <w:bCs/>
              </w:rPr>
              <w:t>Appliance Category</w:t>
            </w:r>
            <w:r>
              <w:rPr>
                <w:b/>
                <w:bCs/>
              </w:rPr>
              <w:t>/ RBS Module</w:t>
            </w:r>
          </w:p>
        </w:tc>
        <w:tc>
          <w:tcPr>
            <w:tcW w:w="1340" w:type="dxa"/>
          </w:tcPr>
          <w:p w14:paraId="3C992EA5" w14:textId="77777777" w:rsidR="00C14E37" w:rsidRPr="00AB3575" w:rsidRDefault="00C14E37" w:rsidP="005C6B7E">
            <w:pPr>
              <w:pStyle w:val="BodyText3"/>
              <w:jc w:val="left"/>
              <w:rPr>
                <w:b/>
                <w:bCs/>
              </w:rPr>
            </w:pPr>
            <w:r w:rsidRPr="00AB3575">
              <w:rPr>
                <w:b/>
                <w:bCs/>
              </w:rPr>
              <w:t>Sales Data</w:t>
            </w:r>
          </w:p>
        </w:tc>
        <w:tc>
          <w:tcPr>
            <w:tcW w:w="1651" w:type="dxa"/>
          </w:tcPr>
          <w:p w14:paraId="5B9F3686" w14:textId="77777777" w:rsidR="00C14E37" w:rsidRPr="00AB3575" w:rsidRDefault="00C14E37" w:rsidP="005C6B7E">
            <w:pPr>
              <w:pStyle w:val="BodyText3"/>
              <w:jc w:val="left"/>
              <w:rPr>
                <w:b/>
                <w:bCs/>
              </w:rPr>
            </w:pPr>
            <w:r w:rsidRPr="00AB3575">
              <w:rPr>
                <w:b/>
                <w:bCs/>
              </w:rPr>
              <w:t>Efficiency/Size data</w:t>
            </w:r>
          </w:p>
        </w:tc>
        <w:tc>
          <w:tcPr>
            <w:tcW w:w="1127" w:type="dxa"/>
          </w:tcPr>
          <w:p w14:paraId="05FB9092" w14:textId="77777777" w:rsidR="00C14E37" w:rsidRPr="00AB3575" w:rsidRDefault="00C14E37" w:rsidP="005C6B7E">
            <w:pPr>
              <w:pStyle w:val="BodyText3"/>
              <w:jc w:val="left"/>
              <w:rPr>
                <w:b/>
                <w:bCs/>
              </w:rPr>
            </w:pPr>
            <w:r w:rsidRPr="00AB3575">
              <w:rPr>
                <w:b/>
                <w:bCs/>
              </w:rPr>
              <w:t>Usage data</w:t>
            </w:r>
          </w:p>
        </w:tc>
        <w:tc>
          <w:tcPr>
            <w:tcW w:w="2085" w:type="dxa"/>
          </w:tcPr>
          <w:p w14:paraId="1EE5D502" w14:textId="77777777" w:rsidR="00C14E37" w:rsidRPr="00AB3575" w:rsidRDefault="00C14E37" w:rsidP="005C6B7E">
            <w:pPr>
              <w:pStyle w:val="BodyText3"/>
              <w:jc w:val="left"/>
              <w:rPr>
                <w:b/>
                <w:bCs/>
              </w:rPr>
            </w:pPr>
            <w:r w:rsidRPr="00AB3575">
              <w:rPr>
                <w:b/>
                <w:bCs/>
              </w:rPr>
              <w:t>New Products/ Classifications</w:t>
            </w:r>
          </w:p>
        </w:tc>
        <w:tc>
          <w:tcPr>
            <w:tcW w:w="1715" w:type="dxa"/>
          </w:tcPr>
          <w:p w14:paraId="72296865" w14:textId="77777777" w:rsidR="00C14E37" w:rsidRPr="00AB3575" w:rsidRDefault="00C14E37" w:rsidP="005C6B7E">
            <w:pPr>
              <w:pStyle w:val="BodyText3"/>
              <w:jc w:val="left"/>
              <w:rPr>
                <w:b/>
                <w:bCs/>
              </w:rPr>
            </w:pPr>
            <w:r>
              <w:rPr>
                <w:b/>
                <w:bCs/>
              </w:rPr>
              <w:t>Other considerations</w:t>
            </w:r>
          </w:p>
        </w:tc>
      </w:tr>
      <w:tr w:rsidR="00C14E37" w14:paraId="54287307" w14:textId="77777777" w:rsidTr="007B6195">
        <w:tc>
          <w:tcPr>
            <w:tcW w:w="1314" w:type="dxa"/>
          </w:tcPr>
          <w:p w14:paraId="6948F85A" w14:textId="77777777" w:rsidR="00C14E37" w:rsidRDefault="00C14E37" w:rsidP="005C6B7E">
            <w:pPr>
              <w:pStyle w:val="BodyText3"/>
              <w:jc w:val="left"/>
            </w:pPr>
            <w:r>
              <w:t>Whitegoods</w:t>
            </w:r>
          </w:p>
        </w:tc>
        <w:tc>
          <w:tcPr>
            <w:tcW w:w="1340" w:type="dxa"/>
          </w:tcPr>
          <w:p w14:paraId="2F6C94D3" w14:textId="77777777" w:rsidR="00C14E37" w:rsidRDefault="00C14E37" w:rsidP="005C6B7E">
            <w:pPr>
              <w:pStyle w:val="BodyText3"/>
              <w:jc w:val="left"/>
            </w:pPr>
            <w:r w:rsidRPr="00AB3575">
              <w:t>GfK 2016</w:t>
            </w:r>
            <w:r>
              <w:t xml:space="preserve">, 2017, </w:t>
            </w:r>
            <w:r w:rsidRPr="00AB3575">
              <w:t>2018</w:t>
            </w:r>
          </w:p>
        </w:tc>
        <w:tc>
          <w:tcPr>
            <w:tcW w:w="1651" w:type="dxa"/>
          </w:tcPr>
          <w:p w14:paraId="73962D5A" w14:textId="77777777" w:rsidR="00C14E37" w:rsidRDefault="00C14E37" w:rsidP="005C6B7E">
            <w:pPr>
              <w:pStyle w:val="BodyText3"/>
              <w:jc w:val="left"/>
            </w:pPr>
            <w:r>
              <w:t>GEMS Registration matched with GFK</w:t>
            </w:r>
          </w:p>
        </w:tc>
        <w:tc>
          <w:tcPr>
            <w:tcW w:w="1127" w:type="dxa"/>
          </w:tcPr>
          <w:p w14:paraId="6356D991" w14:textId="77777777" w:rsidR="00C14E37" w:rsidRDefault="00C14E37" w:rsidP="005C6B7E">
            <w:pPr>
              <w:pStyle w:val="BodyText3"/>
              <w:jc w:val="left"/>
            </w:pPr>
            <w:r>
              <w:t>Review</w:t>
            </w:r>
          </w:p>
        </w:tc>
        <w:tc>
          <w:tcPr>
            <w:tcW w:w="2085" w:type="dxa"/>
          </w:tcPr>
          <w:p w14:paraId="15E583E4" w14:textId="713EFD5D" w:rsidR="00C14E37" w:rsidRDefault="00C14E37" w:rsidP="005C6B7E">
            <w:pPr>
              <w:pStyle w:val="BodyText3"/>
              <w:jc w:val="left"/>
            </w:pPr>
            <w:r>
              <w:t xml:space="preserve">Classify motors vs VSD power electronics </w:t>
            </w:r>
            <w:r w:rsidR="00A33BD4" w:rsidRPr="009B2D43">
              <w:t>(if supported</w:t>
            </w:r>
            <w:r w:rsidR="00BE2637" w:rsidRPr="009B2D43">
              <w:t xml:space="preserve"> by data</w:t>
            </w:r>
            <w:r w:rsidR="00A33BD4" w:rsidRPr="009B2D43">
              <w:t>)</w:t>
            </w:r>
          </w:p>
        </w:tc>
        <w:tc>
          <w:tcPr>
            <w:tcW w:w="1715" w:type="dxa"/>
          </w:tcPr>
          <w:p w14:paraId="2101911B" w14:textId="77777777" w:rsidR="00C14E37" w:rsidRDefault="00C14E37" w:rsidP="005C6B7E">
            <w:pPr>
              <w:pStyle w:val="BodyText3"/>
              <w:jc w:val="left"/>
            </w:pPr>
            <w:r>
              <w:t>GfK updated to 2015, Align with Refrigerator RIS</w:t>
            </w:r>
          </w:p>
        </w:tc>
      </w:tr>
      <w:tr w:rsidR="00C14E37" w14:paraId="73AE6178" w14:textId="77777777" w:rsidTr="007B6195">
        <w:tc>
          <w:tcPr>
            <w:tcW w:w="1314" w:type="dxa"/>
          </w:tcPr>
          <w:p w14:paraId="2ED1B28E" w14:textId="77777777" w:rsidR="00C14E37" w:rsidRDefault="00C14E37" w:rsidP="005C6B7E">
            <w:pPr>
              <w:pStyle w:val="BodyText3"/>
              <w:jc w:val="left"/>
            </w:pPr>
            <w:r w:rsidRPr="00AB3575">
              <w:t>Space Conditioning</w:t>
            </w:r>
          </w:p>
        </w:tc>
        <w:tc>
          <w:tcPr>
            <w:tcW w:w="1340" w:type="dxa"/>
          </w:tcPr>
          <w:p w14:paraId="3DBBB15A" w14:textId="77777777" w:rsidR="00C14E37" w:rsidRDefault="00C14E37" w:rsidP="005C6B7E">
            <w:pPr>
              <w:pStyle w:val="BodyText3"/>
              <w:jc w:val="left"/>
            </w:pPr>
            <w:r w:rsidRPr="00AB3575">
              <w:t>GfK 2016</w:t>
            </w:r>
            <w:r>
              <w:t xml:space="preserve">, 2017, </w:t>
            </w:r>
            <w:r w:rsidRPr="00AB3575">
              <w:t>2018</w:t>
            </w:r>
          </w:p>
        </w:tc>
        <w:tc>
          <w:tcPr>
            <w:tcW w:w="1651" w:type="dxa"/>
          </w:tcPr>
          <w:p w14:paraId="648F9346" w14:textId="77777777" w:rsidR="00C14E37" w:rsidRDefault="00C14E37" w:rsidP="005C6B7E">
            <w:pPr>
              <w:pStyle w:val="BodyText3"/>
              <w:jc w:val="left"/>
            </w:pPr>
            <w:r>
              <w:t>GEMS Registration matched with GFK</w:t>
            </w:r>
          </w:p>
        </w:tc>
        <w:tc>
          <w:tcPr>
            <w:tcW w:w="1127" w:type="dxa"/>
          </w:tcPr>
          <w:p w14:paraId="7311CC81" w14:textId="77777777" w:rsidR="00C14E37" w:rsidRDefault="00C14E37" w:rsidP="005C6B7E">
            <w:pPr>
              <w:pStyle w:val="BodyText3"/>
              <w:jc w:val="left"/>
            </w:pPr>
            <w:r>
              <w:t>Review</w:t>
            </w:r>
          </w:p>
        </w:tc>
        <w:tc>
          <w:tcPr>
            <w:tcW w:w="2085" w:type="dxa"/>
          </w:tcPr>
          <w:p w14:paraId="0CDF562B" w14:textId="77777777" w:rsidR="00C14E37" w:rsidRDefault="00C14E37" w:rsidP="005C6B7E">
            <w:pPr>
              <w:pStyle w:val="BodyText3"/>
              <w:jc w:val="left"/>
            </w:pPr>
            <w:r>
              <w:t xml:space="preserve">Classify motors vs VSD power electronics </w:t>
            </w:r>
          </w:p>
        </w:tc>
        <w:tc>
          <w:tcPr>
            <w:tcW w:w="1715" w:type="dxa"/>
          </w:tcPr>
          <w:p w14:paraId="6EF97946" w14:textId="0538ACF2" w:rsidR="00C14E37" w:rsidRDefault="00C14E37" w:rsidP="005C6B7E">
            <w:pPr>
              <w:pStyle w:val="BodyText3"/>
              <w:jc w:val="left"/>
            </w:pPr>
            <w:r>
              <w:t>GfK updated to 2015, Align with AC RIS</w:t>
            </w:r>
          </w:p>
        </w:tc>
      </w:tr>
      <w:tr w:rsidR="00C14E37" w14:paraId="3DF9119A" w14:textId="77777777" w:rsidTr="007B6195">
        <w:tc>
          <w:tcPr>
            <w:tcW w:w="1314" w:type="dxa"/>
          </w:tcPr>
          <w:p w14:paraId="03DE404B" w14:textId="77777777" w:rsidR="00C14E37" w:rsidRDefault="00C14E37" w:rsidP="005C6B7E">
            <w:pPr>
              <w:pStyle w:val="BodyText3"/>
              <w:jc w:val="left"/>
            </w:pPr>
            <w:r w:rsidRPr="002E460F">
              <w:t>Home Entertainment and ICT</w:t>
            </w:r>
          </w:p>
        </w:tc>
        <w:tc>
          <w:tcPr>
            <w:tcW w:w="1340" w:type="dxa"/>
          </w:tcPr>
          <w:p w14:paraId="00552EEE" w14:textId="77777777" w:rsidR="00C14E37" w:rsidRDefault="00C14E37" w:rsidP="005C6B7E">
            <w:pPr>
              <w:pStyle w:val="BodyText3"/>
              <w:jc w:val="left"/>
            </w:pPr>
            <w:r w:rsidRPr="00AB3575">
              <w:t>GfK 201</w:t>
            </w:r>
            <w:r>
              <w:t xml:space="preserve">4,2016 2017, </w:t>
            </w:r>
            <w:r w:rsidRPr="00AB3575">
              <w:t>2018</w:t>
            </w:r>
          </w:p>
        </w:tc>
        <w:tc>
          <w:tcPr>
            <w:tcW w:w="1651" w:type="dxa"/>
          </w:tcPr>
          <w:p w14:paraId="5EF5FDFB" w14:textId="77777777" w:rsidR="00C14E37" w:rsidRDefault="00C14E37" w:rsidP="005C6B7E">
            <w:pPr>
              <w:pStyle w:val="BodyText3"/>
              <w:jc w:val="left"/>
            </w:pPr>
            <w:r>
              <w:t>GEMS Registration matched with GFK</w:t>
            </w:r>
          </w:p>
        </w:tc>
        <w:tc>
          <w:tcPr>
            <w:tcW w:w="1127" w:type="dxa"/>
          </w:tcPr>
          <w:p w14:paraId="1E1D75C1" w14:textId="77777777" w:rsidR="00C14E37" w:rsidRDefault="00C14E37" w:rsidP="005C6B7E">
            <w:pPr>
              <w:pStyle w:val="BodyText3"/>
              <w:jc w:val="left"/>
            </w:pPr>
            <w:r>
              <w:t xml:space="preserve">Review, possible new data from Nielsen </w:t>
            </w:r>
          </w:p>
        </w:tc>
        <w:tc>
          <w:tcPr>
            <w:tcW w:w="2085" w:type="dxa"/>
          </w:tcPr>
          <w:p w14:paraId="6B3B40BB" w14:textId="5244A6DB" w:rsidR="00C14E37" w:rsidRDefault="00C14E37" w:rsidP="005C6B7E">
            <w:pPr>
              <w:pStyle w:val="BodyText3"/>
              <w:jc w:val="left"/>
            </w:pPr>
            <w:r>
              <w:t>New products – voice assistants, TVs</w:t>
            </w:r>
            <w:r w:rsidR="00A13D4F">
              <w:t xml:space="preserve"> screen technology (</w:t>
            </w:r>
            <w:r>
              <w:t>OLED</w:t>
            </w:r>
            <w:r w:rsidR="00A13D4F">
              <w:t>, etc)</w:t>
            </w:r>
            <w:r>
              <w:t>, , casting devices, connected IoT (from IEA work)</w:t>
            </w:r>
          </w:p>
        </w:tc>
        <w:tc>
          <w:tcPr>
            <w:tcW w:w="1715" w:type="dxa"/>
          </w:tcPr>
          <w:p w14:paraId="5B2F3B0C" w14:textId="77777777" w:rsidR="00C14E37" w:rsidRDefault="00C14E37" w:rsidP="005C6B7E">
            <w:pPr>
              <w:pStyle w:val="BodyText3"/>
              <w:jc w:val="left"/>
            </w:pPr>
            <w:r>
              <w:t>Check with E3 TV RIS work, need GfK from 2015 onwards</w:t>
            </w:r>
          </w:p>
        </w:tc>
      </w:tr>
      <w:tr w:rsidR="00C14E37" w14:paraId="7E793B5A" w14:textId="77777777" w:rsidTr="007B6195">
        <w:tc>
          <w:tcPr>
            <w:tcW w:w="1314" w:type="dxa"/>
          </w:tcPr>
          <w:p w14:paraId="17251D69" w14:textId="77777777" w:rsidR="00C14E37" w:rsidRPr="002E460F" w:rsidRDefault="00C14E37" w:rsidP="005C6B7E">
            <w:pPr>
              <w:pStyle w:val="BodyText3"/>
              <w:jc w:val="left"/>
            </w:pPr>
            <w:r w:rsidRPr="002E460F">
              <w:t>Lighting</w:t>
            </w:r>
          </w:p>
        </w:tc>
        <w:tc>
          <w:tcPr>
            <w:tcW w:w="1340" w:type="dxa"/>
          </w:tcPr>
          <w:p w14:paraId="05E5FE2B" w14:textId="77777777" w:rsidR="00C14E37" w:rsidRPr="00AB3575" w:rsidRDefault="00C14E37" w:rsidP="005C6B7E">
            <w:pPr>
              <w:pStyle w:val="BodyText3"/>
              <w:jc w:val="left"/>
            </w:pPr>
            <w:r>
              <w:t>Lighting RIS, State programs</w:t>
            </w:r>
          </w:p>
        </w:tc>
        <w:tc>
          <w:tcPr>
            <w:tcW w:w="1651" w:type="dxa"/>
          </w:tcPr>
          <w:p w14:paraId="635473DD" w14:textId="77777777" w:rsidR="00C14E37" w:rsidRDefault="00C14E37" w:rsidP="005C6B7E">
            <w:pPr>
              <w:pStyle w:val="BodyText3"/>
              <w:jc w:val="left"/>
            </w:pPr>
            <w:r>
              <w:t>Lighting RIS</w:t>
            </w:r>
          </w:p>
        </w:tc>
        <w:tc>
          <w:tcPr>
            <w:tcW w:w="1127" w:type="dxa"/>
          </w:tcPr>
          <w:p w14:paraId="39EDC0A0" w14:textId="77777777" w:rsidR="00C14E37" w:rsidRDefault="00C14E37" w:rsidP="005C6B7E">
            <w:pPr>
              <w:pStyle w:val="BodyText3"/>
              <w:jc w:val="left"/>
            </w:pPr>
            <w:r>
              <w:t>E3 lighting Survey in 2016</w:t>
            </w:r>
          </w:p>
        </w:tc>
        <w:tc>
          <w:tcPr>
            <w:tcW w:w="2085" w:type="dxa"/>
          </w:tcPr>
          <w:p w14:paraId="71037DB5" w14:textId="77777777" w:rsidR="00C14E37" w:rsidRDefault="00C14E37" w:rsidP="005C6B7E">
            <w:pPr>
              <w:pStyle w:val="BodyText3"/>
              <w:jc w:val="left"/>
            </w:pPr>
            <w:r>
              <w:t>Connected lights, possible new product</w:t>
            </w:r>
          </w:p>
        </w:tc>
        <w:tc>
          <w:tcPr>
            <w:tcW w:w="1715" w:type="dxa"/>
          </w:tcPr>
          <w:p w14:paraId="2DFA82D0" w14:textId="77777777" w:rsidR="00C14E37" w:rsidRDefault="00C14E37" w:rsidP="005C6B7E">
            <w:pPr>
              <w:pStyle w:val="BodyText3"/>
              <w:jc w:val="left"/>
            </w:pPr>
            <w:r>
              <w:t>Align with Lighting RIS</w:t>
            </w:r>
          </w:p>
        </w:tc>
      </w:tr>
      <w:tr w:rsidR="00C14E37" w14:paraId="6FEB19E5" w14:textId="77777777" w:rsidTr="007B6195">
        <w:tc>
          <w:tcPr>
            <w:tcW w:w="1314" w:type="dxa"/>
          </w:tcPr>
          <w:p w14:paraId="0BE6EB14" w14:textId="77777777" w:rsidR="00C14E37" w:rsidRPr="002E460F" w:rsidRDefault="00C14E37" w:rsidP="005C6B7E">
            <w:pPr>
              <w:pStyle w:val="BodyText3"/>
              <w:jc w:val="left"/>
            </w:pPr>
            <w:r w:rsidRPr="002E460F">
              <w:t>Other Equipment</w:t>
            </w:r>
          </w:p>
        </w:tc>
        <w:tc>
          <w:tcPr>
            <w:tcW w:w="1340" w:type="dxa"/>
          </w:tcPr>
          <w:p w14:paraId="34D509A6" w14:textId="683A022E" w:rsidR="00C14E37" w:rsidRDefault="00C14E37" w:rsidP="005C6B7E">
            <w:pPr>
              <w:pStyle w:val="BodyText3"/>
              <w:jc w:val="left"/>
            </w:pPr>
            <w:r w:rsidRPr="002E460F">
              <w:t>GfK 2014,</w:t>
            </w:r>
            <w:r w:rsidR="00FE745D">
              <w:t xml:space="preserve"> </w:t>
            </w:r>
            <w:r w:rsidRPr="002E460F">
              <w:t>2016 2017, 2018</w:t>
            </w:r>
            <w:r>
              <w:t>.  Pool Pump RIS</w:t>
            </w:r>
            <w:r w:rsidR="00FE745D">
              <w:t>.</w:t>
            </w:r>
            <w:r>
              <w:t xml:space="preserve"> CER</w:t>
            </w:r>
          </w:p>
        </w:tc>
        <w:tc>
          <w:tcPr>
            <w:tcW w:w="1651" w:type="dxa"/>
          </w:tcPr>
          <w:p w14:paraId="6BE005A9" w14:textId="77777777" w:rsidR="00C14E37" w:rsidRDefault="00C14E37" w:rsidP="005C6B7E">
            <w:pPr>
              <w:pStyle w:val="BodyText3"/>
              <w:jc w:val="left"/>
            </w:pPr>
            <w:r>
              <w:t>Pool Pump RIS</w:t>
            </w:r>
          </w:p>
        </w:tc>
        <w:tc>
          <w:tcPr>
            <w:tcW w:w="1127" w:type="dxa"/>
          </w:tcPr>
          <w:p w14:paraId="0C4614DE" w14:textId="77777777" w:rsidR="00C14E37" w:rsidRDefault="00C14E37" w:rsidP="005C6B7E">
            <w:pPr>
              <w:pStyle w:val="BodyText3"/>
              <w:jc w:val="left"/>
            </w:pPr>
            <w:r>
              <w:t>Review</w:t>
            </w:r>
          </w:p>
        </w:tc>
        <w:tc>
          <w:tcPr>
            <w:tcW w:w="2085" w:type="dxa"/>
          </w:tcPr>
          <w:p w14:paraId="779B2E7C" w14:textId="16F736D6" w:rsidR="00C14E37" w:rsidRDefault="00C14E37" w:rsidP="005C6B7E">
            <w:pPr>
              <w:pStyle w:val="BodyText3"/>
              <w:jc w:val="left"/>
            </w:pPr>
            <w:r>
              <w:t>Battery Storage Systems, CER</w:t>
            </w:r>
            <w:r w:rsidR="00A925F2">
              <w:t>/AEMO</w:t>
            </w:r>
            <w:r>
              <w:t xml:space="preserve"> now has registry</w:t>
            </w:r>
            <w:r w:rsidR="00A925F2">
              <w:t>.  Consider electric vehicles</w:t>
            </w:r>
            <w:r>
              <w:t xml:space="preserve"> </w:t>
            </w:r>
          </w:p>
        </w:tc>
        <w:tc>
          <w:tcPr>
            <w:tcW w:w="1715" w:type="dxa"/>
          </w:tcPr>
          <w:p w14:paraId="175340D6" w14:textId="77777777" w:rsidR="00C14E37" w:rsidRDefault="00C14E37" w:rsidP="005C6B7E">
            <w:pPr>
              <w:pStyle w:val="BodyText3"/>
              <w:jc w:val="left"/>
            </w:pPr>
            <w:r>
              <w:t>Align with AEMO forecasts</w:t>
            </w:r>
          </w:p>
        </w:tc>
      </w:tr>
      <w:tr w:rsidR="00C14E37" w14:paraId="2086D797" w14:textId="77777777" w:rsidTr="007B6195">
        <w:tc>
          <w:tcPr>
            <w:tcW w:w="1314" w:type="dxa"/>
          </w:tcPr>
          <w:p w14:paraId="294D6353" w14:textId="77777777" w:rsidR="00C14E37" w:rsidRPr="002E460F" w:rsidRDefault="00C14E37" w:rsidP="005C6B7E">
            <w:pPr>
              <w:pStyle w:val="BodyText3"/>
              <w:jc w:val="left"/>
            </w:pPr>
            <w:r w:rsidRPr="009D73BF">
              <w:t>Cooking</w:t>
            </w:r>
          </w:p>
        </w:tc>
        <w:tc>
          <w:tcPr>
            <w:tcW w:w="1340" w:type="dxa"/>
          </w:tcPr>
          <w:p w14:paraId="18E827D1" w14:textId="77777777" w:rsidR="00C14E37" w:rsidRPr="002E460F" w:rsidRDefault="00C14E37" w:rsidP="005C6B7E">
            <w:pPr>
              <w:pStyle w:val="BodyText3"/>
              <w:jc w:val="left"/>
            </w:pPr>
            <w:r>
              <w:t>Some GfK data coverage</w:t>
            </w:r>
          </w:p>
        </w:tc>
        <w:tc>
          <w:tcPr>
            <w:tcW w:w="1651" w:type="dxa"/>
          </w:tcPr>
          <w:p w14:paraId="1D4C4D67" w14:textId="77777777" w:rsidR="00C14E37" w:rsidRDefault="00C14E37" w:rsidP="005C6B7E">
            <w:pPr>
              <w:pStyle w:val="BodyText3"/>
              <w:jc w:val="left"/>
            </w:pPr>
            <w:r>
              <w:t>Limited data, some GfK, BIS Oxford reports</w:t>
            </w:r>
          </w:p>
        </w:tc>
        <w:tc>
          <w:tcPr>
            <w:tcW w:w="1127" w:type="dxa"/>
          </w:tcPr>
          <w:p w14:paraId="13421F0B" w14:textId="77777777" w:rsidR="00C14E37" w:rsidRDefault="00C14E37" w:rsidP="005C6B7E">
            <w:pPr>
              <w:pStyle w:val="BodyText3"/>
              <w:jc w:val="left"/>
            </w:pPr>
            <w:r>
              <w:t xml:space="preserve">Review </w:t>
            </w:r>
          </w:p>
        </w:tc>
        <w:tc>
          <w:tcPr>
            <w:tcW w:w="2085" w:type="dxa"/>
          </w:tcPr>
          <w:p w14:paraId="6AADAC6E" w14:textId="5B3EDACE" w:rsidR="00C14E37" w:rsidRDefault="00C14E37" w:rsidP="005C6B7E">
            <w:pPr>
              <w:pStyle w:val="BodyText3"/>
              <w:jc w:val="left"/>
            </w:pPr>
            <w:r>
              <w:t xml:space="preserve">Examine </w:t>
            </w:r>
            <w:r w:rsidR="00B45A76">
              <w:t>induction</w:t>
            </w:r>
            <w:r>
              <w:t xml:space="preserve"> cookers</w:t>
            </w:r>
          </w:p>
        </w:tc>
        <w:tc>
          <w:tcPr>
            <w:tcW w:w="1715" w:type="dxa"/>
          </w:tcPr>
          <w:p w14:paraId="23BCE416" w14:textId="77777777" w:rsidR="00C14E37" w:rsidRDefault="00C14E37" w:rsidP="005C6B7E">
            <w:pPr>
              <w:pStyle w:val="BodyText3"/>
              <w:jc w:val="left"/>
            </w:pPr>
            <w:r>
              <w:t>Fuel by product is already classified</w:t>
            </w:r>
          </w:p>
        </w:tc>
      </w:tr>
      <w:tr w:rsidR="00C14E37" w14:paraId="112C88CE" w14:textId="77777777" w:rsidTr="007B6195">
        <w:tc>
          <w:tcPr>
            <w:tcW w:w="1314" w:type="dxa"/>
          </w:tcPr>
          <w:p w14:paraId="70098D26" w14:textId="77777777" w:rsidR="00C14E37" w:rsidRPr="009D73BF" w:rsidRDefault="00C14E37" w:rsidP="005C6B7E">
            <w:pPr>
              <w:pStyle w:val="BodyText3"/>
              <w:jc w:val="left"/>
            </w:pPr>
            <w:r w:rsidRPr="00D531E7">
              <w:t>Photovoltaics Generation</w:t>
            </w:r>
          </w:p>
        </w:tc>
        <w:tc>
          <w:tcPr>
            <w:tcW w:w="1340" w:type="dxa"/>
          </w:tcPr>
          <w:p w14:paraId="3978EE14" w14:textId="0DD01CC7" w:rsidR="00C14E37" w:rsidRDefault="00C14E37" w:rsidP="005C6B7E">
            <w:pPr>
              <w:pStyle w:val="BodyText3"/>
              <w:jc w:val="left"/>
            </w:pPr>
            <w:r>
              <w:t>CER, by state and zone</w:t>
            </w:r>
            <w:r w:rsidR="00B5723A">
              <w:t xml:space="preserve"> to 2020</w:t>
            </w:r>
          </w:p>
        </w:tc>
        <w:tc>
          <w:tcPr>
            <w:tcW w:w="1651" w:type="dxa"/>
          </w:tcPr>
          <w:p w14:paraId="6F525818" w14:textId="77777777" w:rsidR="00C14E37" w:rsidRDefault="00C14E37" w:rsidP="005C6B7E">
            <w:pPr>
              <w:pStyle w:val="BodyText3"/>
              <w:jc w:val="left"/>
            </w:pPr>
            <w:r>
              <w:t>CER</w:t>
            </w:r>
          </w:p>
        </w:tc>
        <w:tc>
          <w:tcPr>
            <w:tcW w:w="1127" w:type="dxa"/>
          </w:tcPr>
          <w:p w14:paraId="450A80F6" w14:textId="77777777" w:rsidR="00C14E37" w:rsidRDefault="00C14E37" w:rsidP="005C6B7E">
            <w:pPr>
              <w:pStyle w:val="BodyText3"/>
              <w:jc w:val="left"/>
            </w:pPr>
            <w:r>
              <w:t>Solar Analytics, PVOutput.org</w:t>
            </w:r>
          </w:p>
        </w:tc>
        <w:tc>
          <w:tcPr>
            <w:tcW w:w="2085" w:type="dxa"/>
          </w:tcPr>
          <w:p w14:paraId="3F023B1A" w14:textId="4F2AA940" w:rsidR="00C14E37" w:rsidRDefault="00C14E37" w:rsidP="005C6B7E">
            <w:pPr>
              <w:pStyle w:val="BodyText3"/>
              <w:jc w:val="left"/>
            </w:pPr>
            <w:r>
              <w:t xml:space="preserve">Battery storage might fit here, </w:t>
            </w:r>
            <w:r w:rsidR="001E410F">
              <w:t>or</w:t>
            </w:r>
            <w:r>
              <w:t xml:space="preserve"> placed in the other equipment</w:t>
            </w:r>
          </w:p>
        </w:tc>
        <w:tc>
          <w:tcPr>
            <w:tcW w:w="1715" w:type="dxa"/>
          </w:tcPr>
          <w:p w14:paraId="53A23733" w14:textId="77777777" w:rsidR="00C14E37" w:rsidRDefault="00C14E37" w:rsidP="005C6B7E">
            <w:pPr>
              <w:pStyle w:val="BodyText3"/>
              <w:jc w:val="left"/>
            </w:pPr>
            <w:r>
              <w:t xml:space="preserve">Need to update model structure to account for NET generation. </w:t>
            </w:r>
          </w:p>
        </w:tc>
      </w:tr>
      <w:tr w:rsidR="00C14E37" w14:paraId="29BA3E02" w14:textId="77777777" w:rsidTr="007B6195">
        <w:tc>
          <w:tcPr>
            <w:tcW w:w="1314" w:type="dxa"/>
          </w:tcPr>
          <w:p w14:paraId="7489022D" w14:textId="77777777" w:rsidR="00C14E37" w:rsidRPr="00D531E7" w:rsidRDefault="00C14E37" w:rsidP="005C6B7E">
            <w:pPr>
              <w:pStyle w:val="BodyText3"/>
              <w:jc w:val="left"/>
            </w:pPr>
            <w:r w:rsidRPr="00D531E7">
              <w:t>Building data</w:t>
            </w:r>
          </w:p>
        </w:tc>
        <w:tc>
          <w:tcPr>
            <w:tcW w:w="1340" w:type="dxa"/>
          </w:tcPr>
          <w:p w14:paraId="47257328" w14:textId="59FACF3F" w:rsidR="00C14E37" w:rsidRPr="00753CC8" w:rsidRDefault="00C14E37" w:rsidP="005C6B7E">
            <w:pPr>
              <w:pStyle w:val="BodyText3"/>
              <w:jc w:val="left"/>
            </w:pPr>
            <w:r w:rsidRPr="00753CC8">
              <w:t xml:space="preserve">Update </w:t>
            </w:r>
            <w:r w:rsidR="001E410F">
              <w:t>f</w:t>
            </w:r>
            <w:r w:rsidRPr="001149EA">
              <w:t>rom ABS Census, ABS projections (3236. 2016)</w:t>
            </w:r>
            <w:r w:rsidRPr="00B16FEF">
              <w:t>, and from Stats NZ, BRANZ</w:t>
            </w:r>
            <w:r>
              <w:t xml:space="preserve"> and </w:t>
            </w:r>
            <w:r w:rsidRPr="00B16FEF">
              <w:t>MBIE for NZ.</w:t>
            </w:r>
          </w:p>
        </w:tc>
        <w:tc>
          <w:tcPr>
            <w:tcW w:w="1651" w:type="dxa"/>
          </w:tcPr>
          <w:p w14:paraId="02BF9449" w14:textId="77777777" w:rsidR="00C14E37" w:rsidRDefault="00C14E37" w:rsidP="005C6B7E">
            <w:pPr>
              <w:pStyle w:val="BodyText3"/>
              <w:jc w:val="left"/>
            </w:pPr>
            <w:r w:rsidRPr="00D531E7">
              <w:t>Building Code RIS, Trajectory work</w:t>
            </w:r>
          </w:p>
        </w:tc>
        <w:tc>
          <w:tcPr>
            <w:tcW w:w="1127" w:type="dxa"/>
          </w:tcPr>
          <w:p w14:paraId="0AA86454" w14:textId="78E574E5" w:rsidR="00C14E37" w:rsidRDefault="00EB5AF0" w:rsidP="005C6B7E">
            <w:pPr>
              <w:pStyle w:val="BodyText3"/>
              <w:jc w:val="left"/>
            </w:pPr>
            <w:r>
              <w:t>Not applicable</w:t>
            </w:r>
          </w:p>
        </w:tc>
        <w:tc>
          <w:tcPr>
            <w:tcW w:w="2085" w:type="dxa"/>
          </w:tcPr>
          <w:p w14:paraId="791D99A5" w14:textId="06B7BAE2" w:rsidR="00C14E37" w:rsidRDefault="00EB5AF0" w:rsidP="005C6B7E">
            <w:pPr>
              <w:pStyle w:val="BodyText3"/>
              <w:jc w:val="left"/>
            </w:pPr>
            <w:r>
              <w:t xml:space="preserve">Align with Enhancement 3 and chosen disaggregation by </w:t>
            </w:r>
            <w:r w:rsidR="007B6195">
              <w:t>climate</w:t>
            </w:r>
            <w:r>
              <w:t xml:space="preserve"> zones</w:t>
            </w:r>
          </w:p>
        </w:tc>
        <w:tc>
          <w:tcPr>
            <w:tcW w:w="1715" w:type="dxa"/>
          </w:tcPr>
          <w:p w14:paraId="7F9C4970" w14:textId="13E02D7B" w:rsidR="00C14E37" w:rsidRDefault="00C14E37" w:rsidP="005C6B7E">
            <w:pPr>
              <w:pStyle w:val="BodyText3"/>
              <w:jc w:val="left"/>
            </w:pPr>
            <w:r>
              <w:t>Review impacts of building code changes, COAG decisions</w:t>
            </w:r>
            <w:r w:rsidR="00EB5AF0">
              <w:t xml:space="preserve">, </w:t>
            </w:r>
            <w:r w:rsidR="00D141A9">
              <w:t>a</w:t>
            </w:r>
            <w:r w:rsidR="00C1581C">
              <w:t xml:space="preserve">lign and check household projections with Dept buildings team </w:t>
            </w:r>
            <w:r w:rsidR="00EB5AF0">
              <w:t xml:space="preserve"> </w:t>
            </w:r>
          </w:p>
        </w:tc>
      </w:tr>
    </w:tbl>
    <w:p w14:paraId="284111FD" w14:textId="46BEB9A9" w:rsidR="00CE220E" w:rsidRDefault="00CE220E" w:rsidP="00CE220E">
      <w:r>
        <w:t>The</w:t>
      </w:r>
      <w:r w:rsidR="00612912">
        <w:t xml:space="preserve"> update of the core </w:t>
      </w:r>
      <w:r w:rsidR="00C1581C">
        <w:t xml:space="preserve">RBS modules requires significant sourcing, processing and analysis of multiple data sources.  </w:t>
      </w:r>
    </w:p>
    <w:p w14:paraId="3912031F" w14:textId="3862D90A" w:rsidR="00BA4506" w:rsidRDefault="00C14E37" w:rsidP="003F3E0F">
      <w:r>
        <w:t>All recent product and housing data identified will be analysed and compared to other data sources to check the validity of the data. Conflicting or inconsistent data will be reviewed and modified to be consistent with macro trends and alternative data sources when required.</w:t>
      </w:r>
      <w:r w:rsidR="003F3E0F">
        <w:t xml:space="preserve"> </w:t>
      </w:r>
      <w:r w:rsidR="00BA4506">
        <w:t>Research will also be conducted on the impact of new variables affecting product usage, e.g. impacts of movie streaming on television use etc.  At this stage, the long to medium-term impacts of the COVID-19 pandemic will not be incorporated, as research will need to establish if behaviours, working locations and other household attributes are changed into the future.</w:t>
      </w:r>
    </w:p>
    <w:p w14:paraId="741A2E15" w14:textId="7D994C0B" w:rsidR="0041752A" w:rsidRDefault="00883F2F" w:rsidP="0041752A">
      <w:r>
        <w:lastRenderedPageBreak/>
        <w:t>A r</w:t>
      </w:r>
      <w:r w:rsidR="00C14E37">
        <w:t>eview of any new research concerning the impacts of building shell efficiency on space conditioning usage will be undertaken</w:t>
      </w:r>
      <w:r>
        <w:t>,</w:t>
      </w:r>
      <w:r w:rsidR="00C14E37">
        <w:t xml:space="preserve"> and the R</w:t>
      </w:r>
      <w:r w:rsidR="003F3E0F">
        <w:t>B</w:t>
      </w:r>
      <w:r w:rsidR="00C14E37">
        <w:t>S modelling of building shell impacts</w:t>
      </w:r>
      <w:r w:rsidR="00BA4506">
        <w:t xml:space="preserve"> will be</w:t>
      </w:r>
      <w:r w:rsidR="00C14E37">
        <w:t xml:space="preserve"> reviewed if required.</w:t>
      </w:r>
      <w:r w:rsidR="003F3E0F">
        <w:t xml:space="preserve">  The more recent work completed</w:t>
      </w:r>
      <w:r w:rsidR="00B45A76">
        <w:t xml:space="preserve"> by the Department and the </w:t>
      </w:r>
      <w:r w:rsidR="003A4DCE">
        <w:t>Australian Building Codes Board (</w:t>
      </w:r>
      <w:r w:rsidR="00B45A76">
        <w:t>ABCB</w:t>
      </w:r>
      <w:r w:rsidR="003A4DCE">
        <w:t>)</w:t>
      </w:r>
      <w:r w:rsidR="003F3E0F">
        <w:t xml:space="preserve"> for the </w:t>
      </w:r>
      <w:r w:rsidR="009B2D43">
        <w:t xml:space="preserve">residential </w:t>
      </w:r>
      <w:r w:rsidR="000324C9">
        <w:t xml:space="preserve">National Construction Code (NCC) </w:t>
      </w:r>
      <w:r w:rsidR="003F3E0F">
        <w:t>202</w:t>
      </w:r>
      <w:r w:rsidR="00BA4506">
        <w:t>2</w:t>
      </w:r>
      <w:r w:rsidR="003F3E0F">
        <w:t xml:space="preserve"> update</w:t>
      </w:r>
      <w:r w:rsidR="00BA4506">
        <w:t xml:space="preserve"> may provide additional information in this area.</w:t>
      </w:r>
      <w:r w:rsidR="003F3E0F">
        <w:t xml:space="preserve"> </w:t>
      </w:r>
      <w:r w:rsidR="0041752A">
        <w:t xml:space="preserve"> </w:t>
      </w:r>
    </w:p>
    <w:p w14:paraId="6CAB1203" w14:textId="2B66BE59" w:rsidR="003F3E0F" w:rsidRDefault="003F3E0F" w:rsidP="0041752A">
      <w:r>
        <w:t>After processing and analysis, data will be formatted in preparation to be input into the RBS.</w:t>
      </w:r>
    </w:p>
    <w:p w14:paraId="1FC346E4" w14:textId="09763F3B" w:rsidR="008B1E45" w:rsidRDefault="008B1E45" w:rsidP="008B1E45">
      <w:pPr>
        <w:pStyle w:val="Heading3"/>
      </w:pPr>
      <w:r>
        <w:t xml:space="preserve">Data Gaps </w:t>
      </w:r>
    </w:p>
    <w:p w14:paraId="44D1F8E4" w14:textId="2EC1F74D" w:rsidR="00B5723A" w:rsidRDefault="00B5723A" w:rsidP="00BA4506">
      <w:r>
        <w:t>During the review of data sources, g</w:t>
      </w:r>
      <w:r w:rsidR="003F3E0F">
        <w:t xml:space="preserve">aps in recent data availability will be </w:t>
      </w:r>
      <w:r w:rsidR="00BA4506">
        <w:t>considered</w:t>
      </w:r>
      <w:r w:rsidR="003F3E0F">
        <w:t>, and methods of developing estimates undertaken when required</w:t>
      </w:r>
      <w:r>
        <w:t xml:space="preserve"> or impacts on the validity of the RBS noted</w:t>
      </w:r>
      <w:r w:rsidR="003F3E0F">
        <w:t xml:space="preserve">. </w:t>
      </w:r>
      <w:r>
        <w:t>Preliminary data gaps are noted below.</w:t>
      </w:r>
    </w:p>
    <w:p w14:paraId="51B89CEC" w14:textId="054D3053" w:rsidR="003F3E0F" w:rsidRDefault="00B5723A" w:rsidP="00BA4506">
      <w:r>
        <w:t>Firstly, there is data</w:t>
      </w:r>
      <w:r w:rsidR="00883F2F">
        <w:t xml:space="preserve"> used in the </w:t>
      </w:r>
      <w:r w:rsidR="00C13D87">
        <w:t xml:space="preserve">original </w:t>
      </w:r>
      <w:r w:rsidR="00883F2F">
        <w:t>RBS</w:t>
      </w:r>
      <w:r>
        <w:t xml:space="preserve"> that is no longer available.   Reliable </w:t>
      </w:r>
      <w:r w:rsidR="00BA4506">
        <w:t>longitudinal product ownership data is important for the validati</w:t>
      </w:r>
      <w:r w:rsidR="00883F2F">
        <w:t>on of RBS stock estimates.  The</w:t>
      </w:r>
      <w:r w:rsidR="003F3E0F">
        <w:t xml:space="preserve"> ABS 4602 product ownership survey ceased</w:t>
      </w:r>
      <w:r w:rsidR="00BA4506">
        <w:t xml:space="preserve"> in 2014 and </w:t>
      </w:r>
      <w:r w:rsidR="003F3E0F">
        <w:t>alternative estimates of product penetration may need to be used.</w:t>
      </w:r>
      <w:r w:rsidR="002044B4">
        <w:t xml:space="preserve">  These surveys were conducted by the ABS since the 1990s</w:t>
      </w:r>
      <w:r w:rsidR="00A863A1">
        <w:t xml:space="preserve"> (approximately every 3 years)</w:t>
      </w:r>
      <w:r w:rsidR="002044B4">
        <w:t xml:space="preserve"> and have tracked trends in the ownership and fuel types of space heaters, water heaters and many appliance types by state/territory, and in some surveys they provided usage information.  </w:t>
      </w:r>
    </w:p>
    <w:p w14:paraId="69BF0F03" w14:textId="7D4388AF" w:rsidR="007F5FC6" w:rsidRDefault="00B5723A" w:rsidP="00BA4506">
      <w:r>
        <w:t xml:space="preserve">Secondly, a </w:t>
      </w:r>
      <w:r w:rsidR="007F5FC6">
        <w:t>significant data gap has also been identified</w:t>
      </w:r>
      <w:r w:rsidR="00A863A1">
        <w:t xml:space="preserve"> that impacts how the changes in average product efficiency </w:t>
      </w:r>
      <w:r w:rsidR="00C13D87">
        <w:t xml:space="preserve">are </w:t>
      </w:r>
      <w:r w:rsidR="00A863A1">
        <w:t>estimated</w:t>
      </w:r>
      <w:r w:rsidR="007F5FC6">
        <w:t xml:space="preserve">.  Product sales data (by model) has been purchased by the Department from GfK over the last two decades, however GfK </w:t>
      </w:r>
      <w:r w:rsidR="009A190E">
        <w:t>stopped collecting</w:t>
      </w:r>
      <w:r w:rsidR="007F5FC6">
        <w:t xml:space="preserve"> this data </w:t>
      </w:r>
      <w:r>
        <w:t xml:space="preserve">from the start of </w:t>
      </w:r>
      <w:r w:rsidR="007F5FC6">
        <w:t xml:space="preserve">2019.  This GfK model </w:t>
      </w:r>
      <w:r>
        <w:t xml:space="preserve">specific </w:t>
      </w:r>
      <w:r w:rsidR="007F5FC6">
        <w:t xml:space="preserve">sales data is matched to the GEMS </w:t>
      </w:r>
      <w:r>
        <w:t xml:space="preserve">model </w:t>
      </w:r>
      <w:r w:rsidR="007F5FC6">
        <w:t>registration database</w:t>
      </w:r>
      <w:r w:rsidR="009A190E">
        <w:t>,</w:t>
      </w:r>
      <w:r w:rsidR="007F5FC6">
        <w:t xml:space="preserve"> and sales weighted technical characteristics (efficiency, capacity and product sub-type) </w:t>
      </w:r>
      <w:r w:rsidR="009A190E">
        <w:t xml:space="preserve">are </w:t>
      </w:r>
      <w:r w:rsidR="007F5FC6">
        <w:t xml:space="preserve">developed for many of the key residential products, such as refrigerators, air conditioners, washing machines, TVs etc.  </w:t>
      </w:r>
      <w:r w:rsidR="00A13D4F">
        <w:t>For the current update of the RBS, the impact of this data gap will be small, as only the 2019 year is missing, however</w:t>
      </w:r>
      <w:r w:rsidR="007F5FC6">
        <w:t>, for the next RBS update, this will create a critical gap in the available data and reduce the accuracy of the RBS</w:t>
      </w:r>
      <w:r w:rsidR="007C4013">
        <w:t xml:space="preserve"> using the same methodology</w:t>
      </w:r>
      <w:r w:rsidR="007F5FC6">
        <w:t>.</w:t>
      </w:r>
      <w:r w:rsidR="00A13D4F">
        <w:t xml:space="preserve">  Alternative mechanisms may </w:t>
      </w:r>
      <w:r w:rsidR="00EA584E">
        <w:t xml:space="preserve">need to </w:t>
      </w:r>
      <w:r w:rsidR="00A13D4F">
        <w:t>be considered</w:t>
      </w:r>
      <w:r w:rsidR="00EA584E">
        <w:t xml:space="preserve"> in the future</w:t>
      </w:r>
      <w:r w:rsidR="00A13D4F">
        <w:t>, such as requiring manufacturers/suppliers to submit the sales of models annually as is done in New Zealand under their energy efficiency regulations</w:t>
      </w:r>
      <w:r w:rsidR="00EA584E">
        <w:rPr>
          <w:rStyle w:val="FootnoteReference"/>
        </w:rPr>
        <w:footnoteReference w:id="2"/>
      </w:r>
      <w:r w:rsidR="00A13D4F">
        <w:t xml:space="preserve">. </w:t>
      </w:r>
    </w:p>
    <w:p w14:paraId="0C5B7992" w14:textId="77777777" w:rsidR="00C14E37" w:rsidRPr="00BA0815" w:rsidRDefault="00C14E37" w:rsidP="00C14E37">
      <w:pPr>
        <w:pStyle w:val="Heading2"/>
      </w:pPr>
      <w:bookmarkStart w:id="13" w:name="_Toc99115762"/>
      <w:r w:rsidRPr="00BA0815">
        <w:t>Input of New Data</w:t>
      </w:r>
      <w:r>
        <w:t>, Revision</w:t>
      </w:r>
      <w:r w:rsidRPr="00BA0815">
        <w:t xml:space="preserve"> and Review of Trends</w:t>
      </w:r>
      <w:bookmarkEnd w:id="13"/>
    </w:p>
    <w:p w14:paraId="1A794E04" w14:textId="0A58168F" w:rsidR="00C14E37" w:rsidRDefault="00C14E37" w:rsidP="002044B4">
      <w:r>
        <w:t>The new data will be progressively input into the RBS modules</w:t>
      </w:r>
      <w:r w:rsidR="002044B4">
        <w:t xml:space="preserve"> as the work proceeds</w:t>
      </w:r>
      <w:r>
        <w:t>.</w:t>
      </w:r>
      <w:r w:rsidR="002044B4">
        <w:t xml:space="preserve">  </w:t>
      </w:r>
      <w:r>
        <w:t xml:space="preserve">Once the data </w:t>
      </w:r>
      <w:r w:rsidR="000324C9">
        <w:t>has been inputted,</w:t>
      </w:r>
      <w:r>
        <w:t xml:space="preserve"> it is examined to identify sales and stock trends. </w:t>
      </w:r>
      <w:r>
        <w:lastRenderedPageBreak/>
        <w:t>Trends for the 2014 to 2019 period will be ‘sanity checked’ to ensure the trends are realistic, in terms of market and physical boundaries. Such checks include ensuring:</w:t>
      </w:r>
    </w:p>
    <w:p w14:paraId="3AB2C087" w14:textId="22DFAC0B" w:rsidR="00C14E37" w:rsidRDefault="00C14E37" w:rsidP="002044B4">
      <w:pPr>
        <w:pStyle w:val="Bullets-Minor"/>
      </w:pPr>
      <w:r>
        <w:t xml:space="preserve">Stock levels meet but do not exceed physical requirements. </w:t>
      </w:r>
      <w:r w:rsidR="00C13D87">
        <w:t>For example,</w:t>
      </w:r>
      <w:r>
        <w:t xml:space="preserve"> water heater stock numbers should not be </w:t>
      </w:r>
      <w:r w:rsidR="009A190E">
        <w:t xml:space="preserve">substantially </w:t>
      </w:r>
      <w:r>
        <w:t xml:space="preserve">less or more than residential building numbers (Note: stock numbers may not equal housing numbers as shared water heating in apartments could reduce stock numbers, </w:t>
      </w:r>
      <w:r w:rsidR="002044B4">
        <w:t xml:space="preserve">and </w:t>
      </w:r>
      <w:r>
        <w:t>more than one water heater may be used in very large houses)</w:t>
      </w:r>
    </w:p>
    <w:p w14:paraId="7690C30C" w14:textId="6C022823" w:rsidR="00C14E37" w:rsidRDefault="00C14E37" w:rsidP="002044B4">
      <w:pPr>
        <w:pStyle w:val="Bullets-Minor"/>
      </w:pPr>
      <w:r>
        <w:t xml:space="preserve">Stock levels are consistent with market or penetration surveys. </w:t>
      </w:r>
      <w:r w:rsidR="00C13D87">
        <w:t>For example,</w:t>
      </w:r>
      <w:r>
        <w:t xml:space="preserve"> the trends in the ABS 4602</w:t>
      </w:r>
      <w:r w:rsidR="002044B4">
        <w:t xml:space="preserve">, </w:t>
      </w:r>
      <w:r w:rsidR="00C13D87">
        <w:t xml:space="preserve">BIS </w:t>
      </w:r>
      <w:r w:rsidR="002044B4">
        <w:t>Oxford</w:t>
      </w:r>
      <w:r>
        <w:t xml:space="preserve"> and the Queensland Household Energy Survey. </w:t>
      </w:r>
    </w:p>
    <w:p w14:paraId="2A97928E" w14:textId="29CAC86B" w:rsidR="00C14E37" w:rsidRDefault="00C14E37" w:rsidP="002044B4">
      <w:pPr>
        <w:pStyle w:val="Bullets-Minor"/>
      </w:pPr>
      <w:r>
        <w:t>Trends in product characteristics are realistic and consistent with policy changes and previous market trends (</w:t>
      </w:r>
      <w:r w:rsidR="00C13D87">
        <w:t>e</w:t>
      </w:r>
      <w:r>
        <w:t>.g. rapid changes in average physical characteristic not induced by a policy change would be investigated).</w:t>
      </w:r>
    </w:p>
    <w:p w14:paraId="13DE1A58" w14:textId="7F5AE3AF" w:rsidR="00C14E37" w:rsidRDefault="00C14E37" w:rsidP="002044B4">
      <w:r>
        <w:t>Sales and stock forecast trends post 2019 will be developed based on the trends in re</w:t>
      </w:r>
      <w:r w:rsidR="0041752A">
        <w:t>cent years derived from input</w:t>
      </w:r>
      <w:r>
        <w:t xml:space="preserve"> data. Such forecast trends are largely projections of rece</w:t>
      </w:r>
      <w:r w:rsidR="0041752A">
        <w:t>nt sales, and resulting stock. T</w:t>
      </w:r>
      <w:r w:rsidR="00561A9A">
        <w:t>he</w:t>
      </w:r>
      <w:r>
        <w:t xml:space="preserve"> trends will be ‘sanity checked’ to ensure the</w:t>
      </w:r>
      <w:r w:rsidR="007C1036">
        <w:t>y</w:t>
      </w:r>
      <w:r>
        <w:t xml:space="preserve"> are realistic</w:t>
      </w:r>
      <w:r w:rsidR="0041752A">
        <w:t>, and</w:t>
      </w:r>
      <w:r>
        <w:t xml:space="preserve"> compared against industry forecasts and commentary where available. </w:t>
      </w:r>
    </w:p>
    <w:p w14:paraId="4AA563C1" w14:textId="097FC90C" w:rsidR="00C14E37" w:rsidRDefault="00C14E37" w:rsidP="002044B4">
      <w:r>
        <w:t xml:space="preserve">Forecast trends for product </w:t>
      </w:r>
      <w:r w:rsidR="002044B4">
        <w:t>technical</w:t>
      </w:r>
      <w:r>
        <w:t xml:space="preserve"> characteristics will be based on the trends in recent years, modified for any GEMS regulated changes or changes which have been formally announced</w:t>
      </w:r>
      <w:r w:rsidR="002044B4">
        <w:t>,</w:t>
      </w:r>
      <w:r>
        <w:t xml:space="preserve"> </w:t>
      </w:r>
      <w:r w:rsidR="002044B4">
        <w:t>e</w:t>
      </w:r>
      <w:r>
        <w:t xml:space="preserve">.g. changes to air conditioning, lighting, refrigerators and pool pumps. Assumptions concerning </w:t>
      </w:r>
      <w:r w:rsidR="002044B4">
        <w:t xml:space="preserve">these GEMS policy </w:t>
      </w:r>
      <w:r>
        <w:t>changes</w:t>
      </w:r>
      <w:r w:rsidR="002044B4">
        <w:t>, th</w:t>
      </w:r>
      <w:r>
        <w:t xml:space="preserve">e timing and impact </w:t>
      </w:r>
      <w:r w:rsidR="002044B4">
        <w:t xml:space="preserve">on the market </w:t>
      </w:r>
      <w:r>
        <w:t>will be</w:t>
      </w:r>
      <w:r w:rsidR="002044B4">
        <w:t xml:space="preserve"> sourced from the published RIS, consultant C</w:t>
      </w:r>
      <w:r w:rsidR="009A190E">
        <w:t xml:space="preserve">ost </w:t>
      </w:r>
      <w:r w:rsidR="002044B4">
        <w:t>B</w:t>
      </w:r>
      <w:r w:rsidR="009A190E">
        <w:t xml:space="preserve">enefit </w:t>
      </w:r>
      <w:r w:rsidR="002044B4">
        <w:t>A</w:t>
      </w:r>
      <w:r w:rsidR="009A190E">
        <w:t>nalysis</w:t>
      </w:r>
      <w:r w:rsidR="002044B4">
        <w:t xml:space="preserve">/stock models and </w:t>
      </w:r>
      <w:r>
        <w:t>discussed with the Department.</w:t>
      </w:r>
    </w:p>
    <w:p w14:paraId="45F0CF62" w14:textId="78BE6011" w:rsidR="00C14E37" w:rsidRDefault="007F5FC6" w:rsidP="007F5FC6">
      <w:r>
        <w:t xml:space="preserve">The </w:t>
      </w:r>
      <w:r w:rsidR="002044B4">
        <w:t>i</w:t>
      </w:r>
      <w:r w:rsidR="00C14E37">
        <w:t xml:space="preserve">mpacts </w:t>
      </w:r>
      <w:r w:rsidR="002044B4">
        <w:t xml:space="preserve">from </w:t>
      </w:r>
      <w:r w:rsidR="00C14E37">
        <w:t>energy efficiency programs on recent and projected sales</w:t>
      </w:r>
      <w:r w:rsidR="0041752A">
        <w:t>, the</w:t>
      </w:r>
      <w:r w:rsidR="0041752A" w:rsidRPr="0041752A">
        <w:t xml:space="preserve"> </w:t>
      </w:r>
      <w:r w:rsidR="0041752A">
        <w:t>forecasting of product trends</w:t>
      </w:r>
      <w:r w:rsidR="00C14E37">
        <w:t xml:space="preserve">, </w:t>
      </w:r>
      <w:r>
        <w:t xml:space="preserve">as well as the technical </w:t>
      </w:r>
      <w:r w:rsidR="00C14E37">
        <w:t>characteristics of relevant product</w:t>
      </w:r>
      <w:r>
        <w:t>s will be considered</w:t>
      </w:r>
      <w:r w:rsidR="00AD75FB">
        <w:t>.  For example</w:t>
      </w:r>
      <w:r w:rsidR="00C14E37">
        <w:t xml:space="preserve">, </w:t>
      </w:r>
      <w:r>
        <w:t>in Victoria</w:t>
      </w:r>
      <w:r w:rsidR="00A13D4F">
        <w:t xml:space="preserve">, the Victorian Energy Upgrades program has </w:t>
      </w:r>
      <w:r w:rsidR="00AD75FB">
        <w:t xml:space="preserve">rapidly </w:t>
      </w:r>
      <w:r w:rsidR="00A13D4F">
        <w:t>increased the o</w:t>
      </w:r>
      <w:r w:rsidR="0041752A">
        <w:t>wnership of LED lighting</w:t>
      </w:r>
      <w:r w:rsidR="00C14E37">
        <w:t>.</w:t>
      </w:r>
      <w:r w:rsidR="0041752A">
        <w:t xml:space="preserve"> </w:t>
      </w:r>
      <w:r>
        <w:t>The i</w:t>
      </w:r>
      <w:r w:rsidR="00C14E37">
        <w:t>mpact of other State programs will also be considered</w:t>
      </w:r>
      <w:r>
        <w:t xml:space="preserve"> if legislated</w:t>
      </w:r>
      <w:r w:rsidR="00C14E37">
        <w:t>, e.g. Victorian</w:t>
      </w:r>
      <w:r>
        <w:t xml:space="preserve"> plans to </w:t>
      </w:r>
      <w:r w:rsidR="00C14E37">
        <w:t>phase out open</w:t>
      </w:r>
      <w:r w:rsidR="00D00F65">
        <w:t>-</w:t>
      </w:r>
      <w:r w:rsidR="00C14E37">
        <w:t xml:space="preserve">flue gas space heaters. </w:t>
      </w:r>
      <w:r>
        <w:t xml:space="preserve"> </w:t>
      </w:r>
    </w:p>
    <w:p w14:paraId="07A841C1" w14:textId="1284C711" w:rsidR="003B2C25" w:rsidRDefault="003B2C25" w:rsidP="007F5FC6">
      <w:r>
        <w:t>New data may be available for Class 2 buildings.  Information provided by the Department suggest</w:t>
      </w:r>
      <w:r w:rsidR="009A190E">
        <w:t>s</w:t>
      </w:r>
      <w:r>
        <w:t xml:space="preserve"> that improved energy use information of </w:t>
      </w:r>
      <w:r w:rsidR="00775B05">
        <w:t xml:space="preserve">Class </w:t>
      </w:r>
      <w:r>
        <w:t xml:space="preserve">2 buildings disaggregated by common services, hot water and space conditioning may be used to improve the estimates used in RBS1.0. </w:t>
      </w:r>
      <w:r w:rsidR="009A190E">
        <w:t>D</w:t>
      </w:r>
      <w:r>
        <w:t>iscussions are continuing with the Department to assess h</w:t>
      </w:r>
      <w:r w:rsidR="009A190E">
        <w:t>ow this information can be u</w:t>
      </w:r>
      <w:r>
        <w:t>sed.  However</w:t>
      </w:r>
      <w:r w:rsidR="00D00F65">
        <w:t>,</w:t>
      </w:r>
      <w:r>
        <w:t xml:space="preserve"> it is not </w:t>
      </w:r>
      <w:r w:rsidR="00775B05">
        <w:t xml:space="preserve">possible to segment all Class 2 energy consumption without replicating the RBS and separately modelling Class 1 and Class 2 buildings. </w:t>
      </w:r>
    </w:p>
    <w:p w14:paraId="4250CE80" w14:textId="3D97A4C7" w:rsidR="00C14E37" w:rsidRDefault="00C14E37" w:rsidP="007F5FC6">
      <w:r>
        <w:t>Top-down checking of RBS energy consumption outputs against national and state data on energy consumption by fuel will be undertaken to confirm the consistency of</w:t>
      </w:r>
      <w:r w:rsidR="00561A9A">
        <w:t xml:space="preserve"> </w:t>
      </w:r>
      <w:r>
        <w:t xml:space="preserve">the model with network level data. </w:t>
      </w:r>
      <w:r w:rsidR="007F5FC6">
        <w:t xml:space="preserve"> The Department has agreed to assist with the sourcing of this distributor level data for each of the state</w:t>
      </w:r>
      <w:r w:rsidR="003C3167">
        <w:t xml:space="preserve">s and </w:t>
      </w:r>
      <w:r w:rsidR="007F5FC6">
        <w:t xml:space="preserve">territories. </w:t>
      </w:r>
    </w:p>
    <w:p w14:paraId="3929B4E4" w14:textId="1957C782" w:rsidR="00A57967" w:rsidRDefault="00C14E37" w:rsidP="00C14E37">
      <w:pPr>
        <w:pStyle w:val="Heading1"/>
      </w:pPr>
      <w:bookmarkStart w:id="14" w:name="_Ref49166162"/>
      <w:bookmarkStart w:id="15" w:name="_Ref49166167"/>
      <w:bookmarkStart w:id="16" w:name="_Toc99115763"/>
      <w:r>
        <w:lastRenderedPageBreak/>
        <w:t>Enhancement</w:t>
      </w:r>
      <w:r w:rsidR="00A57967">
        <w:t>s</w:t>
      </w:r>
      <w:r>
        <w:t xml:space="preserve">: </w:t>
      </w:r>
      <w:r w:rsidR="00A57967">
        <w:t>Stakeholder Feedback and Proposed Approaches</w:t>
      </w:r>
      <w:bookmarkEnd w:id="14"/>
      <w:bookmarkEnd w:id="15"/>
      <w:bookmarkEnd w:id="16"/>
    </w:p>
    <w:p w14:paraId="33186876" w14:textId="633F6F4B" w:rsidR="00A57967" w:rsidRDefault="00A57967" w:rsidP="00A57967">
      <w:pPr>
        <w:pStyle w:val="Heading2"/>
      </w:pPr>
      <w:bookmarkStart w:id="17" w:name="_Toc99115764"/>
      <w:r>
        <w:t xml:space="preserve">Introduction and </w:t>
      </w:r>
      <w:r w:rsidR="0043792D">
        <w:t xml:space="preserve">process to develop </w:t>
      </w:r>
      <w:r w:rsidR="008C6E2A">
        <w:t>enhancement options</w:t>
      </w:r>
      <w:bookmarkEnd w:id="17"/>
    </w:p>
    <w:p w14:paraId="4A6C4744" w14:textId="3A786423" w:rsidR="00A57967" w:rsidRDefault="00A57967" w:rsidP="00A57967">
      <w:r>
        <w:t>RBS</w:t>
      </w:r>
      <w:r w:rsidR="00516048">
        <w:t>2.0</w:t>
      </w:r>
      <w:r>
        <w:t xml:space="preserve"> </w:t>
      </w:r>
      <w:r w:rsidR="00EA1970">
        <w:t xml:space="preserve">is to </w:t>
      </w:r>
      <w:r>
        <w:t>include a number of enhancements designed to improve the ability of the RBS to meet potential users</w:t>
      </w:r>
      <w:r w:rsidR="00AD75FB">
        <w:t>’</w:t>
      </w:r>
      <w:r>
        <w:t xml:space="preserve"> needs. The proposed enhancements include:</w:t>
      </w:r>
    </w:p>
    <w:p w14:paraId="36F6D1B9" w14:textId="4654AA57" w:rsidR="00A57967" w:rsidRDefault="00A57967" w:rsidP="00A57967">
      <w:pPr>
        <w:pStyle w:val="ListParagraph"/>
        <w:numPr>
          <w:ilvl w:val="0"/>
          <w:numId w:val="23"/>
        </w:numPr>
      </w:pPr>
      <w:r>
        <w:t>inclusion of power demand/time of use data with associated outputs/reports</w:t>
      </w:r>
    </w:p>
    <w:p w14:paraId="35D86DC4" w14:textId="11DC8035" w:rsidR="00A57967" w:rsidRDefault="00396A80" w:rsidP="00A57967">
      <w:pPr>
        <w:pStyle w:val="ListParagraph"/>
        <w:numPr>
          <w:ilvl w:val="0"/>
          <w:numId w:val="23"/>
        </w:numPr>
      </w:pPr>
      <w:r>
        <w:t xml:space="preserve">incorporation of annual weather data, linked to energy use, with </w:t>
      </w:r>
      <w:r w:rsidR="00A57967">
        <w:t>presentation of data at the Local Government Area (LGA) level of detail (subject to data availability</w:t>
      </w:r>
      <w:r w:rsidR="003C3167">
        <w:t>, to be discussed with the Department if data is not available</w:t>
      </w:r>
      <w:r w:rsidR="00A57967">
        <w:t xml:space="preserve">) </w:t>
      </w:r>
    </w:p>
    <w:p w14:paraId="4AF7BD96" w14:textId="60305CE4" w:rsidR="00A57967" w:rsidRDefault="00A57967" w:rsidP="00A57967">
      <w:pPr>
        <w:pStyle w:val="ListParagraph"/>
        <w:numPr>
          <w:ilvl w:val="0"/>
          <w:numId w:val="23"/>
        </w:numPr>
      </w:pPr>
      <w:r>
        <w:t>inclusion of functionality for users to test different policy scenarios</w:t>
      </w:r>
    </w:p>
    <w:p w14:paraId="1D3104FA" w14:textId="2EDAF523" w:rsidR="00A57967" w:rsidRDefault="00A57967" w:rsidP="00A57967">
      <w:pPr>
        <w:pStyle w:val="ListParagraph"/>
        <w:numPr>
          <w:ilvl w:val="0"/>
          <w:numId w:val="23"/>
        </w:numPr>
      </w:pPr>
      <w:r>
        <w:t>inclusion of greater data/product categorisation and data output features.</w:t>
      </w:r>
    </w:p>
    <w:p w14:paraId="5487FDEE" w14:textId="37A66536" w:rsidR="00310251" w:rsidRDefault="00A57967" w:rsidP="00A57967">
      <w:r>
        <w:t>In order to ensure that these enhancements best satisf</w:t>
      </w:r>
      <w:r w:rsidR="00AD75FB">
        <w:t>y</w:t>
      </w:r>
      <w:r>
        <w:t xml:space="preserve"> the needs of RBS stakeholders and future users, </w:t>
      </w:r>
      <w:r w:rsidR="00310251">
        <w:t xml:space="preserve">consultation with the stakeholders and the Department formed part of the process of developing this Draft Methodology Report. </w:t>
      </w:r>
    </w:p>
    <w:p w14:paraId="05501FBE" w14:textId="2928EA81" w:rsidR="00443FBF" w:rsidRDefault="0043792D" w:rsidP="0043792D">
      <w:r>
        <w:t xml:space="preserve">Following this consultation, the needs of users were examined by EnergyConsult and options for enhancing the RBS to address these needs were developed. These options were then reviewed </w:t>
      </w:r>
      <w:r w:rsidR="009B2D43">
        <w:t>considering</w:t>
      </w:r>
      <w:r>
        <w:t xml:space="preserve"> the data they required and what was available, and whether i</w:t>
      </w:r>
      <w:r w:rsidR="00516048">
        <w:t>t</w:t>
      </w:r>
      <w:r>
        <w:t xml:space="preserve"> was feasible to modify the RBS to provide the enhancement options.  </w:t>
      </w:r>
      <w:r w:rsidR="00396A80">
        <w:t>T</w:t>
      </w:r>
      <w:r>
        <w:t xml:space="preserve">his process </w:t>
      </w:r>
      <w:r w:rsidR="00396A80">
        <w:t xml:space="preserve">enabled </w:t>
      </w:r>
      <w:r>
        <w:t xml:space="preserve">proposed enhancements </w:t>
      </w:r>
      <w:r w:rsidR="00396A80">
        <w:t xml:space="preserve">to be refined </w:t>
      </w:r>
      <w:r>
        <w:t>and the</w:t>
      </w:r>
      <w:r w:rsidR="00396A80">
        <w:t xml:space="preserve"> resulting enhancements </w:t>
      </w:r>
      <w:r>
        <w:t>are presented below</w:t>
      </w:r>
      <w:r w:rsidR="00396A80">
        <w:t>,</w:t>
      </w:r>
      <w:r>
        <w:t xml:space="preserve"> together </w:t>
      </w:r>
      <w:r w:rsidR="00396A80">
        <w:t xml:space="preserve">with </w:t>
      </w:r>
      <w:r>
        <w:t>the key findings of the consultation process.</w:t>
      </w:r>
    </w:p>
    <w:p w14:paraId="04F30B59" w14:textId="77777777" w:rsidR="00443FBF" w:rsidRDefault="00443FBF">
      <w:pPr>
        <w:spacing w:before="0" w:after="200"/>
        <w:ind w:left="0" w:right="0"/>
      </w:pPr>
      <w:r>
        <w:br w:type="page"/>
      </w:r>
    </w:p>
    <w:p w14:paraId="08578961" w14:textId="6D72FC13" w:rsidR="0043792D" w:rsidRDefault="0043792D" w:rsidP="00B45A76">
      <w:pPr>
        <w:pStyle w:val="Heading2"/>
      </w:pPr>
      <w:bookmarkStart w:id="18" w:name="_Toc99115765"/>
      <w:r>
        <w:lastRenderedPageBreak/>
        <w:t xml:space="preserve">Consultation </w:t>
      </w:r>
      <w:r w:rsidR="008C6E2A">
        <w:t>process</w:t>
      </w:r>
      <w:bookmarkEnd w:id="18"/>
    </w:p>
    <w:p w14:paraId="7C98AA5B" w14:textId="0585A1F0" w:rsidR="00A57967" w:rsidRDefault="00310251">
      <w:r>
        <w:t xml:space="preserve">The consultation process involved the development of </w:t>
      </w:r>
      <w:r w:rsidR="00A57967">
        <w:t>a survey which ask</w:t>
      </w:r>
      <w:r w:rsidR="0007306B">
        <w:t>ed</w:t>
      </w:r>
      <w:r w:rsidR="00A57967">
        <w:t xml:space="preserve"> stakeholders to provide feedback on their</w:t>
      </w:r>
      <w:r w:rsidR="00366C0A">
        <w:t xml:space="preserve"> previous</w:t>
      </w:r>
      <w:r w:rsidR="00A57967">
        <w:t xml:space="preserve"> use</w:t>
      </w:r>
      <w:r w:rsidR="00366C0A">
        <w:t>,</w:t>
      </w:r>
      <w:r w:rsidR="00A57967">
        <w:t xml:space="preserve"> and intended</w:t>
      </w:r>
      <w:r w:rsidR="00366C0A">
        <w:t xml:space="preserve"> future</w:t>
      </w:r>
      <w:r w:rsidR="00A57967">
        <w:t xml:space="preserve"> use of the RBS and </w:t>
      </w:r>
      <w:r w:rsidR="00BA5587">
        <w:t xml:space="preserve">of </w:t>
      </w:r>
      <w:r w:rsidR="00A57967">
        <w:t xml:space="preserve">the enhancements. The survey included questions on their extent of interest in each enhancement, in how they use/would use the RBS with regard to the enhancement, what features they required regarding the enhancement and on whether they were aware of or had access to data which would support the enhancements. </w:t>
      </w:r>
      <w:r>
        <w:t>The Department identified and contacted relevant stakeholders</w:t>
      </w:r>
      <w:r w:rsidR="00441D69">
        <w:t xml:space="preserve">. </w:t>
      </w:r>
      <w:r>
        <w:t xml:space="preserve"> </w:t>
      </w:r>
      <w:r w:rsidR="00441D69">
        <w:t>A</w:t>
      </w:r>
      <w:r>
        <w:t xml:space="preserve"> </w:t>
      </w:r>
      <w:r w:rsidR="00A57967">
        <w:t xml:space="preserve">copy of the questionnaire is </w:t>
      </w:r>
      <w:r w:rsidR="006D0A06">
        <w:t>available from the Department</w:t>
      </w:r>
      <w:r w:rsidR="00A57967">
        <w:t xml:space="preserve"> </w:t>
      </w:r>
    </w:p>
    <w:p w14:paraId="6963235C" w14:textId="4492318D" w:rsidR="0043792D" w:rsidRDefault="00A57967" w:rsidP="00A57967">
      <w:r>
        <w:t>Stakeholders, including the Department, EECA, AEMO, and the relevant energy areas in the States were sent copies of the survey and asked to provide written responses to it. Responses were received from the Department,</w:t>
      </w:r>
      <w:r w:rsidR="00B05737">
        <w:t xml:space="preserve"> </w:t>
      </w:r>
      <w:r w:rsidR="00B45A76">
        <w:t>EECA,</w:t>
      </w:r>
      <w:r>
        <w:t xml:space="preserve"> AEMO, NSW, </w:t>
      </w:r>
      <w:r w:rsidR="00B45A76">
        <w:t xml:space="preserve">Victoria, </w:t>
      </w:r>
      <w:r>
        <w:t xml:space="preserve">Queensland, South Australia and Western Australia. Teleconferences were then conducted </w:t>
      </w:r>
      <w:r w:rsidR="0043792D">
        <w:t>with the Department,</w:t>
      </w:r>
      <w:r>
        <w:t xml:space="preserve"> AEMO</w:t>
      </w:r>
      <w:r w:rsidR="0043792D">
        <w:t xml:space="preserve">, and EECA </w:t>
      </w:r>
      <w:r>
        <w:t>to obtain further data regarding their responses</w:t>
      </w:r>
      <w:r w:rsidR="0043792D">
        <w:t xml:space="preserve"> and needs</w:t>
      </w:r>
      <w:r>
        <w:t xml:space="preserve">. </w:t>
      </w:r>
      <w:r w:rsidR="0043792D">
        <w:t xml:space="preserve"> </w:t>
      </w:r>
      <w:r w:rsidR="00B45A76">
        <w:t>Further discussions with the States will be conducted as the RBS is updated.</w:t>
      </w:r>
    </w:p>
    <w:p w14:paraId="07CC6677" w14:textId="596B3A66" w:rsidR="00A57967" w:rsidRDefault="0043792D" w:rsidP="00A57967">
      <w:r>
        <w:t>The feedback from the survey and the teleconferences was combined and summarised. These summaries are presented for each enhancement in the sections below</w:t>
      </w:r>
      <w:r w:rsidR="00516048">
        <w:t xml:space="preserve">, along with the proposed scope of the </w:t>
      </w:r>
      <w:r w:rsidR="009E7C95">
        <w:t>enhancement</w:t>
      </w:r>
      <w:r>
        <w:t xml:space="preserve">.  </w:t>
      </w:r>
    </w:p>
    <w:p w14:paraId="47838B04" w14:textId="736AC62D" w:rsidR="00A57967" w:rsidRDefault="00A57967" w:rsidP="00A57967">
      <w:pPr>
        <w:pStyle w:val="Heading2"/>
      </w:pPr>
      <w:bookmarkStart w:id="19" w:name="_Toc99115766"/>
      <w:r>
        <w:t xml:space="preserve">Enhancement One: </w:t>
      </w:r>
      <w:bookmarkStart w:id="20" w:name="_Hlk49338736"/>
      <w:r>
        <w:t>Power Demand by Time of Use Data</w:t>
      </w:r>
      <w:bookmarkEnd w:id="19"/>
      <w:bookmarkEnd w:id="20"/>
    </w:p>
    <w:p w14:paraId="74FF650A" w14:textId="77777777" w:rsidR="0043792D" w:rsidRDefault="0043792D" w:rsidP="0043792D">
      <w:pPr>
        <w:pStyle w:val="Heading3"/>
      </w:pPr>
      <w:r>
        <w:t>Feedback</w:t>
      </w:r>
    </w:p>
    <w:p w14:paraId="1C79039A" w14:textId="3E704B23" w:rsidR="00A57967" w:rsidRDefault="00A57967" w:rsidP="00A57967">
      <w:r>
        <w:t>The inclusion of</w:t>
      </w:r>
      <w:r w:rsidR="003448F6">
        <w:t xml:space="preserve"> power demand by</w:t>
      </w:r>
      <w:r>
        <w:t xml:space="preserve"> time of use (ToU</w:t>
      </w:r>
      <w:r w:rsidR="003448F6">
        <w:t>)</w:t>
      </w:r>
      <w:r>
        <w:t xml:space="preserve"> data and outputs in the RBS was supported by the majority of stakeholders, though only a few stakeholders appeared to have a strong understanding of how </w:t>
      </w:r>
      <w:r w:rsidR="003448F6">
        <w:t xml:space="preserve">this feature in </w:t>
      </w:r>
      <w:r>
        <w:t xml:space="preserve">the RBS might be useful to them. The key demand for the </w:t>
      </w:r>
      <w:r w:rsidR="003448F6">
        <w:t>power demand /</w:t>
      </w:r>
      <w:r>
        <w:t xml:space="preserve">ToU enhancement was as an input to other analysis/forecasting models or for policy analysis of other changes, e.g. increased energy efficiency or </w:t>
      </w:r>
      <w:r w:rsidR="003448F6">
        <w:t xml:space="preserve">introduction of </w:t>
      </w:r>
      <w:r>
        <w:t xml:space="preserve">demand responses. </w:t>
      </w:r>
    </w:p>
    <w:p w14:paraId="698BFB0B" w14:textId="04E88E28" w:rsidR="00A57967" w:rsidRDefault="00A57967" w:rsidP="00A57967">
      <w:r>
        <w:t xml:space="preserve">The strongest preference for </w:t>
      </w:r>
      <w:r w:rsidR="003448F6">
        <w:t>power demand /</w:t>
      </w:r>
      <w:r>
        <w:t>ToU outputs was expressed in obtaining RBS outputs of average or typical demand on an hourly basis for weekdays and weekend, and for summer, winter and shoulder</w:t>
      </w:r>
      <w:r w:rsidR="00B45A76">
        <w:rPr>
          <w:rStyle w:val="FootnoteReference"/>
        </w:rPr>
        <w:footnoteReference w:id="3"/>
      </w:r>
      <w:r w:rsidR="00B45A76">
        <w:t xml:space="preserve"> </w:t>
      </w:r>
      <w:r>
        <w:t xml:space="preserve">seasons. There was also interest in obtaining summer and winter peak demand outputs. </w:t>
      </w:r>
    </w:p>
    <w:p w14:paraId="3A2AB581" w14:textId="01380576" w:rsidR="00A57967" w:rsidRDefault="00A57967" w:rsidP="00A57967">
      <w:r>
        <w:t>The geographic focus of stakeholders</w:t>
      </w:r>
      <w:r w:rsidR="003448F6">
        <w:t xml:space="preserve">’ interest in RBS analysis </w:t>
      </w:r>
      <w:r>
        <w:t xml:space="preserve">varied but the strongest interest was in national and/or State based analysis, followed by a regional or network regions focus. </w:t>
      </w:r>
    </w:p>
    <w:p w14:paraId="1381EDE8" w14:textId="77777777" w:rsidR="00A57967" w:rsidRDefault="00A57967" w:rsidP="00A92715">
      <w:pPr>
        <w:pStyle w:val="Heading3"/>
      </w:pPr>
      <w:r>
        <w:lastRenderedPageBreak/>
        <w:t>Proposed Enhancement One</w:t>
      </w:r>
    </w:p>
    <w:p w14:paraId="7A90A12A" w14:textId="00BCFD6E" w:rsidR="00A57967" w:rsidRDefault="00A57967" w:rsidP="00A57967">
      <w:r>
        <w:t xml:space="preserve">EnergyConsult propose to provide an enhancement that provide RBS outputs of </w:t>
      </w:r>
      <w:r w:rsidRPr="00516048">
        <w:rPr>
          <w:u w:val="single"/>
        </w:rPr>
        <w:t>average or typical demand</w:t>
      </w:r>
      <w:r>
        <w:t xml:space="preserve"> on an hourly</w:t>
      </w:r>
      <w:r w:rsidR="00CD3C03">
        <w:rPr>
          <w:rStyle w:val="FootnoteReference"/>
        </w:rPr>
        <w:footnoteReference w:id="4"/>
      </w:r>
      <w:r>
        <w:t xml:space="preserve"> basis for weekdays and weekend, and for summer, winter and shoulder season. This functionality is most consistent with stakeholder preferences, the functionality of the RBS</w:t>
      </w:r>
      <w:r w:rsidR="00746853">
        <w:t>,</w:t>
      </w:r>
      <w:r>
        <w:t xml:space="preserve"> and data known to be available. </w:t>
      </w:r>
    </w:p>
    <w:p w14:paraId="1983B7D4" w14:textId="2EB6786E" w:rsidR="00A57967" w:rsidRDefault="00A57967" w:rsidP="00A57967">
      <w:r>
        <w:t xml:space="preserve">The proposed enhancement should also enable the impact of policy interventions, such as energy efficiency improvements or </w:t>
      </w:r>
      <w:r w:rsidR="00516048">
        <w:t xml:space="preserve">changes to the </w:t>
      </w:r>
      <w:r w:rsidR="00037673">
        <w:t>uptake</w:t>
      </w:r>
      <w:r w:rsidR="00516048">
        <w:t xml:space="preserve"> of appliances </w:t>
      </w:r>
      <w:r>
        <w:t>on demand profile, to be explored as policy scenarios.</w:t>
      </w:r>
    </w:p>
    <w:p w14:paraId="175D3DD5" w14:textId="66E99B1D" w:rsidR="00CD3C03" w:rsidRDefault="00A57967" w:rsidP="00746853">
      <w:r>
        <w:t>Fo</w:t>
      </w:r>
      <w:r w:rsidR="00746853">
        <w:t xml:space="preserve">recasts of maximum peak demand </w:t>
      </w:r>
      <w:r>
        <w:t>will c</w:t>
      </w:r>
      <w:r w:rsidR="00746853">
        <w:t xml:space="preserve">ontinue in their current form. </w:t>
      </w:r>
    </w:p>
    <w:p w14:paraId="66491BAA" w14:textId="251FCBB8" w:rsidR="00A57967" w:rsidRDefault="00A57967" w:rsidP="00A92715">
      <w:pPr>
        <w:pStyle w:val="Heading2"/>
      </w:pPr>
      <w:bookmarkStart w:id="21" w:name="_Toc99115767"/>
      <w:r>
        <w:t xml:space="preserve">Enhancement Two: </w:t>
      </w:r>
      <w:r w:rsidR="003A6430">
        <w:t xml:space="preserve">Linkage </w:t>
      </w:r>
      <w:r>
        <w:t>with Weather Data</w:t>
      </w:r>
      <w:bookmarkEnd w:id="21"/>
    </w:p>
    <w:p w14:paraId="31091382" w14:textId="77777777" w:rsidR="0043792D" w:rsidRDefault="0043792D" w:rsidP="0043792D">
      <w:pPr>
        <w:pStyle w:val="Heading3"/>
      </w:pPr>
      <w:r>
        <w:t>Feedback</w:t>
      </w:r>
    </w:p>
    <w:p w14:paraId="1DB732C9" w14:textId="623F0517" w:rsidR="00A57967" w:rsidRDefault="00A57967" w:rsidP="00A57967">
      <w:r>
        <w:t>There was minimal interest by stakeholders in the RB</w:t>
      </w:r>
      <w:r w:rsidR="00A831DC">
        <w:t>S</w:t>
      </w:r>
      <w:r>
        <w:t xml:space="preserve"> undertaking analysis or producing outputs at the LGA level. The only significant support for this level of analysis was to provide outputs which could be then used for regional, network area or climate zone analysis. The majority of stakeholders were interested in the national and/or State based analysis. Analysis at the network regional level or regional level (not defined) has some support and there was some interest in analysis of differences between climate regions (zones). </w:t>
      </w:r>
    </w:p>
    <w:p w14:paraId="1823FD52" w14:textId="367BE676" w:rsidR="00A57967" w:rsidDel="00D93AF6" w:rsidRDefault="00A57967" w:rsidP="00A57967">
      <w:r w:rsidDel="00D93AF6">
        <w:t xml:space="preserve">There was strong interest in including weather data and analysis in the RBS, but no consistency about the nature of weather effect/analysis to be included. Interest ranged from analysis of the impacts on energy use/demand of day to day (24 hour) weather variation, of annual variations in heating/cooling degree days, and of annual variations in extreme event days. A minority were interested in long term changes in climate but there was greater interest in weather variation impacts. </w:t>
      </w:r>
    </w:p>
    <w:p w14:paraId="37BA0463" w14:textId="77777777" w:rsidR="00A57967" w:rsidRDefault="00A57967" w:rsidP="00A92715">
      <w:pPr>
        <w:pStyle w:val="Heading3"/>
      </w:pPr>
      <w:r>
        <w:t>Proposed Enhancement Two</w:t>
      </w:r>
    </w:p>
    <w:p w14:paraId="76471C62" w14:textId="77777777" w:rsidR="00A57967" w:rsidRDefault="00A57967" w:rsidP="00A57967">
      <w:r>
        <w:t xml:space="preserve">Given the minimal interest in providing RBS analysis at the LGA level, and the lack of product sales and ownership data at this level, an LGA analysis is not expected to be useful or accurate. EnergyConsult recommend that an LGA level of analysis not be provided as an enhancement but instead propose analysis, within States, at the climate zone level. </w:t>
      </w:r>
    </w:p>
    <w:p w14:paraId="2118D450" w14:textId="4829011D" w:rsidR="00A57967" w:rsidRDefault="00A57967" w:rsidP="00A57967">
      <w:r>
        <w:t xml:space="preserve">The proposed climate zone approach will make use of data on population or dwelling distributions by climate zone within States (or New Zealand) and differences in space </w:t>
      </w:r>
      <w:r>
        <w:lastRenderedPageBreak/>
        <w:t>conditioning use between climate zones to reallocate RBS energy</w:t>
      </w:r>
      <w:r w:rsidR="00CA3440">
        <w:t xml:space="preserve"> outputs</w:t>
      </w:r>
      <w:r>
        <w:t xml:space="preserve"> </w:t>
      </w:r>
      <w:r w:rsidR="00516048">
        <w:t>(</w:t>
      </w:r>
      <w:r>
        <w:t xml:space="preserve">and </w:t>
      </w:r>
      <w:r w:rsidR="00516048">
        <w:t xml:space="preserve">potentially </w:t>
      </w:r>
      <w:r w:rsidR="00E84E83">
        <w:t xml:space="preserve">average </w:t>
      </w:r>
      <w:r w:rsidRPr="009B2D43">
        <w:t>demand</w:t>
      </w:r>
      <w:r w:rsidR="00516048">
        <w:t>)</w:t>
      </w:r>
      <w:r>
        <w:t xml:space="preserve"> outputs for a State across their climate zones. This will enable an understanding of how the differences in climate across the State affect energy use, which may also help in long term climate change forecasting. </w:t>
      </w:r>
    </w:p>
    <w:p w14:paraId="5095CC84" w14:textId="485A5DDA" w:rsidR="00A57967" w:rsidRDefault="00A57967" w:rsidP="00A57967">
      <w:r>
        <w:t>The strong interest in weather impacts being incorporated into</w:t>
      </w:r>
      <w:r w:rsidR="00300273">
        <w:t xml:space="preserve"> the</w:t>
      </w:r>
      <w:r>
        <w:t xml:space="preserve"> RBS unfortunately is not matched by the availability of data on weather’s relationship with energy demand or consumption. Without such data on the relationships the RBS cannot at this stage forecast energy consumption or demand impacts associated with changes in weather. However, the RBS can be modified to anticipate that data on the weather’s relationship with energy will become available, or that some users may have data for their localities. </w:t>
      </w:r>
    </w:p>
    <w:p w14:paraId="1DD3BA6C" w14:textId="77777777" w:rsidR="00A57967" w:rsidRDefault="00A57967" w:rsidP="00A57967">
      <w:r>
        <w:t>EnergyConsult propose that functionality to support weather impacts on energy use be included in the RBS, but that it will be up to the RBS user to define the relationship between weather and energy use that they will use in their analysis. The proposed weather enhancement would enable the input of weather data, e.g. annual Cooling Degree Days (CDD) and Heating Degree Days (HDD), to modify annual energy consumption by space conditioning in the State, with the user specifying the relationship between the weather variables and hours of use of space conditioning products. As further data on these relationships becomes known, the accuracy of weather impact analyses will improve and can be refined by the RBS user.</w:t>
      </w:r>
    </w:p>
    <w:p w14:paraId="5EA38C3C" w14:textId="77777777" w:rsidR="00A57967" w:rsidRDefault="00A57967" w:rsidP="00A92715">
      <w:pPr>
        <w:pStyle w:val="Heading2"/>
      </w:pPr>
      <w:bookmarkStart w:id="22" w:name="_Toc99115768"/>
      <w:r>
        <w:t xml:space="preserve">Enhancement Three: </w:t>
      </w:r>
      <w:bookmarkStart w:id="23" w:name="_Hlk49338092"/>
      <w:r>
        <w:t>Policy Scenario Testing</w:t>
      </w:r>
      <w:bookmarkEnd w:id="22"/>
      <w:bookmarkEnd w:id="23"/>
    </w:p>
    <w:p w14:paraId="0BE5EE70" w14:textId="77777777" w:rsidR="0043792D" w:rsidRDefault="0043792D" w:rsidP="0043792D">
      <w:pPr>
        <w:pStyle w:val="Heading3"/>
      </w:pPr>
      <w:r>
        <w:t>Feedback</w:t>
      </w:r>
    </w:p>
    <w:p w14:paraId="4347D32E" w14:textId="33CBF45F" w:rsidR="00A57967" w:rsidRDefault="00A57967" w:rsidP="00A57967">
      <w:r>
        <w:t>All stakeholders expressed an interest in using the RBS for policy scenario testing and they wanted it for testing a broad range of policy scenarios. The scenarios to be explored include changes to the sale/uptake of high efficiency appliances, impact of MEPS changes, changes to water heater charging times, impacts of demand management/response initiatives, building shell changes, efficiency program impacts, building code changes, and various fuel switching alternatives. There was also interest in including start and finish dates to a scenario being tested and interest in the RBS producing outputs of the BAU case and the scenario.</w:t>
      </w:r>
    </w:p>
    <w:p w14:paraId="357D6F71" w14:textId="77777777" w:rsidR="00A57967" w:rsidRDefault="00A57967" w:rsidP="00A57967">
      <w:r>
        <w:t>In discussions with stakeholders, they were asked whether enhancements to the RBS that made it easier to use the RBS as part of their policy analysis would be useful to them, if the RBS on its own could not do all of the analysis. Stakeholders agreed that enhancements making it easier to use the RBS for policy analysis would be useful.</w:t>
      </w:r>
    </w:p>
    <w:p w14:paraId="282912D3" w14:textId="3D72968B" w:rsidR="00A57967" w:rsidRDefault="00A57967" w:rsidP="00A57967">
      <w:r>
        <w:t xml:space="preserve">Fuel switching scenarios were of interest to most stakeholders, with the main interest </w:t>
      </w:r>
      <w:r w:rsidR="00155E6A">
        <w:t xml:space="preserve">being </w:t>
      </w:r>
      <w:r>
        <w:t xml:space="preserve">in gas to electric scenarios. There was also some interest in various other fuel switching scenarios, e.g. electric to gas, wood to electric, LPG to natural gas etc. </w:t>
      </w:r>
    </w:p>
    <w:p w14:paraId="5B86BA1E" w14:textId="0808C9FC" w:rsidR="00A57967" w:rsidRDefault="00A57967" w:rsidP="00D02ED7">
      <w:r>
        <w:t xml:space="preserve">Despite the interest in scenario testing, the majority of respondents did not appear to have had exposure to </w:t>
      </w:r>
      <w:r w:rsidRPr="00516048">
        <w:t xml:space="preserve">using the RBS for </w:t>
      </w:r>
      <w:r w:rsidR="00516048" w:rsidRPr="00516048">
        <w:t xml:space="preserve">policy </w:t>
      </w:r>
      <w:r w:rsidRPr="00516048">
        <w:t xml:space="preserve">scenario testing or to have a detailed </w:t>
      </w:r>
      <w:r w:rsidRPr="00516048">
        <w:lastRenderedPageBreak/>
        <w:t>appreciation of what that could involve</w:t>
      </w:r>
      <w:r w:rsidR="00A92715">
        <w:t>, partially because many did not have access to the full RBS model</w:t>
      </w:r>
      <w:r>
        <w:t>. Most stakeholders wanted to use the RBS for very specific scenarios, but to forecast the impact of the</w:t>
      </w:r>
      <w:r w:rsidR="00516048">
        <w:t>se</w:t>
      </w:r>
      <w:r>
        <w:t xml:space="preserve"> scenarios </w:t>
      </w:r>
      <w:r w:rsidR="00904313">
        <w:t xml:space="preserve">would </w:t>
      </w:r>
      <w:r>
        <w:t xml:space="preserve">involve detailed analyses which </w:t>
      </w:r>
      <w:r w:rsidR="00904313">
        <w:t>are</w:t>
      </w:r>
      <w:r>
        <w:t xml:space="preserve"> impossible to anticipate and therefore include in the RBS.</w:t>
      </w:r>
    </w:p>
    <w:p w14:paraId="20970431" w14:textId="0DAB9A0B" w:rsidR="00A57967" w:rsidRDefault="00A57967" w:rsidP="00D02ED7">
      <w:pPr>
        <w:pStyle w:val="Heading3"/>
      </w:pPr>
      <w:r>
        <w:t>Proposed Enhancement Three</w:t>
      </w:r>
    </w:p>
    <w:p w14:paraId="366263E5" w14:textId="77777777" w:rsidR="00FF5666" w:rsidRDefault="00FF5666" w:rsidP="00FF5666">
      <w:r>
        <w:t xml:space="preserve">The RBS enhancement would provide a scenario control module which the user could operate to input the starting and finishing years of a scenario change, the RBS variable/s that would be affected by the scenario, and the scenario RBS inputs derived from the scenario specific analyses. The scenario RBS input variables that could be input by the user would include a percentage change of the product’s average energy efficiency values, sales change for alternative products (for fuel switching or incentives) and usage impacts from building shell efficiency measures. The scenario control module would also produce a BAU base-case RBS output, which the scenario output could be compared to. </w:t>
      </w:r>
    </w:p>
    <w:p w14:paraId="5C889767" w14:textId="72A21514" w:rsidR="00A57967" w:rsidRDefault="00FF5666" w:rsidP="00A57967">
      <w:r>
        <w:t xml:space="preserve">These proposed </w:t>
      </w:r>
      <w:r w:rsidR="00A57967">
        <w:t>enhancements to the RBS will make it easier to input or alter RBS variables developed from anticipated scenario specific analyses, so the RBS can be used to model and forecast the energy use and demand impacts of the scenarios. Anticipated scenarios impacting on specific products which the RBS could support include MEPS level changes, energy efficiency program impacts (e.g. labelling), and to a limited extent fuel switching</w:t>
      </w:r>
      <w:r w:rsidR="00D97325">
        <w:rPr>
          <w:rStyle w:val="FootnoteReference"/>
        </w:rPr>
        <w:footnoteReference w:id="5"/>
      </w:r>
      <w:r w:rsidR="00A57967">
        <w:t xml:space="preserve">. Building shell efficiency change scenarios could also be supported. </w:t>
      </w:r>
    </w:p>
    <w:p w14:paraId="6C38D03E" w14:textId="0AFE81E5" w:rsidR="00E37DF2" w:rsidRDefault="00D05857" w:rsidP="00A57967">
      <w:r>
        <w:t xml:space="preserve">The RBS enhancement will not, however, undertake the </w:t>
      </w:r>
      <w:r w:rsidR="00E37DF2">
        <w:t xml:space="preserve">external </w:t>
      </w:r>
      <w:r>
        <w:t>scenario specific analyses and research that each scenario will require</w:t>
      </w:r>
      <w:r w:rsidR="00E37DF2">
        <w:t xml:space="preserve">. Such research and analysis </w:t>
      </w:r>
      <w:r w:rsidR="006D0F80">
        <w:t>are</w:t>
      </w:r>
      <w:r w:rsidR="00E37DF2">
        <w:t xml:space="preserve"> unique to each specific scenario being explored and will need to be undertaken independently of the RBS. The results of this work will then form inputs into the RBS for the scenario modelling.  </w:t>
      </w:r>
    </w:p>
    <w:p w14:paraId="2A372369" w14:textId="4F0F9680" w:rsidR="00D05857" w:rsidRDefault="00E37DF2" w:rsidP="00A57967">
      <w:r>
        <w:t>For example, a typical scenario to be tested may be to analys</w:t>
      </w:r>
      <w:r w:rsidR="00974B1D">
        <w:t>e</w:t>
      </w:r>
      <w:r>
        <w:t xml:space="preserve"> the impact of a change in a MEPS level on a product</w:t>
      </w:r>
      <w:r w:rsidR="00974B1D">
        <w:t>’</w:t>
      </w:r>
      <w:r>
        <w:t xml:space="preserve">s energy use. The external research and analysis for such a scenario may involve developing an estimate of the sales-weighted average energy efficiency of the product for each year in the years following the introduction of the new MEPS level. This in turn could involve researching the product’s market, the current distribution of the energy efficiency of models in the market and forecasting their future distribution, and then forecasting the average energy efficiency of the product for each year in the relevant years. The forecast average energy efficiency values could then form an input for the RBS, which could model the resulting energy usage over </w:t>
      </w:r>
      <w:r w:rsidR="006D0F80">
        <w:t xml:space="preserve">relevant </w:t>
      </w:r>
      <w:r>
        <w:t>years.</w:t>
      </w:r>
    </w:p>
    <w:p w14:paraId="390ECE77" w14:textId="502A7A22" w:rsidR="00340491" w:rsidRDefault="008F5F8C" w:rsidP="001E2F54">
      <w:r>
        <w:lastRenderedPageBreak/>
        <w:t>EnergyConsult do not propose including an enhancement enabling the users to test demand changes, such as by input different time-of-use profiles for specific products, due to technical constraints of the RBS model</w:t>
      </w:r>
      <w:bookmarkStart w:id="24" w:name="_Hlk49338279"/>
      <w:r>
        <w:t xml:space="preserve">. It is appreciated that some users are very interested in demand-change scenarios, but the calculation </w:t>
      </w:r>
      <w:r w:rsidR="00B646CA">
        <w:t xml:space="preserve">and support </w:t>
      </w:r>
      <w:r>
        <w:t xml:space="preserve">requirements needed to support a user-inputted demand profile function will be too great to include in the RBS </w:t>
      </w:r>
      <w:bookmarkEnd w:id="24"/>
      <w:r>
        <w:t xml:space="preserve">model. </w:t>
      </w:r>
    </w:p>
    <w:p w14:paraId="70E15D94" w14:textId="78682EFF" w:rsidR="008F5F8C" w:rsidRDefault="008F5F8C" w:rsidP="008F5F8C">
      <w:r>
        <w:t xml:space="preserve">Every product in the RBS requires </w:t>
      </w:r>
      <w:r w:rsidR="001E2F54">
        <w:t xml:space="preserve">between 72 and 288 </w:t>
      </w:r>
      <w:r w:rsidR="00340491">
        <w:t xml:space="preserve">time-of-use </w:t>
      </w:r>
      <w:r w:rsidR="001E2F54">
        <w:t xml:space="preserve">profiles </w:t>
      </w:r>
      <w:r w:rsidR="00340491">
        <w:t xml:space="preserve">to be </w:t>
      </w:r>
      <w:r w:rsidR="001E2F54">
        <w:t>developed</w:t>
      </w:r>
      <w:r w:rsidR="00B646CA">
        <w:t xml:space="preserve">. For many products which operate in a variety of modes, the different types of profiles will interact and need to be reconciled. Profiles need to also be reconciled with total energy use and demand, to ensure profiles used are realistic.  </w:t>
      </w:r>
      <w:r w:rsidR="0098710F">
        <w:t>Some of this reconciliation and adjustment of profiles can be automated but other aspects will need a more detailed understanding of the product functioning and manual adjustment.  At present it is proposed that th</w:t>
      </w:r>
      <w:r w:rsidR="00D66F18">
        <w:t>ese profiles will be developed and tested external to the RBS model and then ‘hard-wired’ into the R</w:t>
      </w:r>
      <w:r w:rsidR="00F64BB6">
        <w:t>B</w:t>
      </w:r>
      <w:r w:rsidR="00D66F18">
        <w:t xml:space="preserve">S model once they are finalised. </w:t>
      </w:r>
    </w:p>
    <w:p w14:paraId="222B16F4" w14:textId="6E5783B4" w:rsidR="00A52AD8" w:rsidRDefault="0098710F" w:rsidP="008F5F8C">
      <w:r>
        <w:t>For</w:t>
      </w:r>
      <w:r w:rsidR="00D66F18">
        <w:t xml:space="preserve"> users to test demand changes would require </w:t>
      </w:r>
      <w:r>
        <w:t>the development of functions in the RBS which would support the</w:t>
      </w:r>
      <w:r w:rsidR="00D66F18">
        <w:t xml:space="preserve"> </w:t>
      </w:r>
      <w:r>
        <w:t xml:space="preserve">automatic reconciliation of </w:t>
      </w:r>
      <w:r w:rsidR="00A52AD8">
        <w:t xml:space="preserve">user input </w:t>
      </w:r>
      <w:r>
        <w:t xml:space="preserve">product profiles across </w:t>
      </w:r>
      <w:r w:rsidR="00A52AD8">
        <w:t xml:space="preserve">all </w:t>
      </w:r>
      <w:r>
        <w:t xml:space="preserve">product modes and </w:t>
      </w:r>
      <w:r w:rsidR="00A52AD8">
        <w:t xml:space="preserve">reconciliation </w:t>
      </w:r>
      <w:r>
        <w:t>with total energy results</w:t>
      </w:r>
      <w:r w:rsidR="00A52AD8">
        <w:t>. Without such automatic profile reconciliation functions, the RBS results are likely to be erroneous</w:t>
      </w:r>
      <w:r w:rsidR="00D66F18">
        <w:t xml:space="preserve">. </w:t>
      </w:r>
      <w:r>
        <w:t xml:space="preserve">At present it is considered unlikely that such </w:t>
      </w:r>
      <w:r w:rsidR="00A52AD8">
        <w:t xml:space="preserve">automatic </w:t>
      </w:r>
      <w:r>
        <w:t>profile development functions can be developed</w:t>
      </w:r>
      <w:r w:rsidR="00A52AD8">
        <w:t xml:space="preserve">, </w:t>
      </w:r>
      <w:r w:rsidR="00685DB7">
        <w:t>meaning</w:t>
      </w:r>
      <w:r w:rsidR="00A52AD8">
        <w:t xml:space="preserve"> the RBS 2.0 will not support users testing demand changes. </w:t>
      </w:r>
    </w:p>
    <w:p w14:paraId="10CFE417" w14:textId="4AEEC319" w:rsidR="008F5F8C" w:rsidRDefault="00A52AD8" w:rsidP="008F5F8C">
      <w:r>
        <w:t>It is possible that</w:t>
      </w:r>
      <w:r w:rsidR="008F5F8C">
        <w:t xml:space="preserve"> once the RBS 2.0 is completed and its power demand functions established</w:t>
      </w:r>
      <w:r w:rsidR="00F64BB6">
        <w:t>,</w:t>
      </w:r>
      <w:r>
        <w:t xml:space="preserve"> methods could be developed to input user developed, and separately reconciled, product time-of-use profiles into the RBS to test demand scenarios. However, it is not possible guarantee this at this time, or to estimate the work involved in developing functions to support user testing of product time-of-use profiles. </w:t>
      </w:r>
    </w:p>
    <w:p w14:paraId="5082176A" w14:textId="77777777" w:rsidR="00A57967" w:rsidRDefault="00A57967" w:rsidP="00D97325">
      <w:pPr>
        <w:pStyle w:val="Heading2"/>
      </w:pPr>
      <w:bookmarkStart w:id="25" w:name="_Toc99115769"/>
      <w:bookmarkStart w:id="26" w:name="_Hlk49338949"/>
      <w:r>
        <w:t>Enhancement Four: Increased Data Granularity and Increased Data Output Options</w:t>
      </w:r>
      <w:bookmarkEnd w:id="25"/>
    </w:p>
    <w:bookmarkEnd w:id="26"/>
    <w:p w14:paraId="4A47534B" w14:textId="77777777" w:rsidR="0043792D" w:rsidRDefault="0043792D" w:rsidP="0043792D">
      <w:pPr>
        <w:pStyle w:val="Heading3"/>
      </w:pPr>
      <w:r>
        <w:t>Feedback</w:t>
      </w:r>
    </w:p>
    <w:p w14:paraId="29C9115B" w14:textId="62BD0464" w:rsidR="00A57967" w:rsidRDefault="00A57967" w:rsidP="00A57967">
      <w:r>
        <w:t>Around half of respondents were interested in increasing the granularity of the RBS data, which effectively mean</w:t>
      </w:r>
      <w:r w:rsidR="003E75C4">
        <w:t>s</w:t>
      </w:r>
      <w:r>
        <w:t xml:space="preserve"> they wanted further sub-divisions of a few product categories, or wanted some products to include fuel type information. The main request for the further breakdown of products however appears to come from RBS users who did not </w:t>
      </w:r>
      <w:r w:rsidR="00685DB7">
        <w:t>have access to the complete RBS. T</w:t>
      </w:r>
      <w:r>
        <w:t xml:space="preserve">he request for breakdown of products by fuel type can be ignored as </w:t>
      </w:r>
      <w:r w:rsidR="00685DB7">
        <w:t xml:space="preserve">the RBS already contains </w:t>
      </w:r>
      <w:r>
        <w:t>this information.</w:t>
      </w:r>
    </w:p>
    <w:p w14:paraId="21AB8D5A" w14:textId="77777777" w:rsidR="00A57967" w:rsidRDefault="00A57967" w:rsidP="00A57967">
      <w:r>
        <w:t>This leaves the requests for further breakdown of products as follows:</w:t>
      </w:r>
    </w:p>
    <w:p w14:paraId="4D5A7F80" w14:textId="2486662E" w:rsidR="00A57967" w:rsidRDefault="00A57967" w:rsidP="00E84E83">
      <w:pPr>
        <w:pStyle w:val="Bullets-Minor"/>
      </w:pPr>
      <w:r>
        <w:t>Refrigerators</w:t>
      </w:r>
      <w:r w:rsidR="00163BA1">
        <w:t>,</w:t>
      </w:r>
      <w:r>
        <w:t xml:space="preserve"> by those with</w:t>
      </w:r>
      <w:r w:rsidR="006D0F80">
        <w:t xml:space="preserve"> and </w:t>
      </w:r>
      <w:r>
        <w:t>without inverters</w:t>
      </w:r>
    </w:p>
    <w:p w14:paraId="23DA281F" w14:textId="530AC2A9" w:rsidR="00A57967" w:rsidRDefault="00A57967" w:rsidP="00E84E83">
      <w:pPr>
        <w:pStyle w:val="Bullets-Minor"/>
      </w:pPr>
      <w:r>
        <w:t>Air conditioners</w:t>
      </w:r>
      <w:r w:rsidR="00163BA1">
        <w:t>,</w:t>
      </w:r>
      <w:r>
        <w:t xml:space="preserve"> by those with</w:t>
      </w:r>
      <w:r w:rsidR="006D0F80">
        <w:t xml:space="preserve"> and </w:t>
      </w:r>
      <w:r>
        <w:t>without inverters</w:t>
      </w:r>
    </w:p>
    <w:p w14:paraId="0341DFD8" w14:textId="240D9E9E" w:rsidR="00A57967" w:rsidRDefault="00A57967" w:rsidP="00E84E83">
      <w:pPr>
        <w:pStyle w:val="Bullets-Minor"/>
      </w:pPr>
      <w:r>
        <w:t xml:space="preserve">Air conditioner </w:t>
      </w:r>
      <w:r w:rsidR="00F64BB6">
        <w:t xml:space="preserve">energy outputs </w:t>
      </w:r>
      <w:r w:rsidR="006B329F">
        <w:t xml:space="preserve">results can be </w:t>
      </w:r>
      <w:r w:rsidR="00F64BB6">
        <w:t xml:space="preserve">identified for </w:t>
      </w:r>
      <w:r>
        <w:t xml:space="preserve">cooling versus </w:t>
      </w:r>
      <w:r w:rsidR="006B329F">
        <w:t>heating</w:t>
      </w:r>
    </w:p>
    <w:p w14:paraId="113505E3" w14:textId="36771B85" w:rsidR="00A57967" w:rsidRDefault="00A57967" w:rsidP="00E84E83">
      <w:pPr>
        <w:pStyle w:val="Bullets-Minor"/>
      </w:pPr>
      <w:r>
        <w:lastRenderedPageBreak/>
        <w:t xml:space="preserve">Electric water heaters by power source (e.g. PV, PV &amp; battery, grid </w:t>
      </w:r>
      <w:r w:rsidR="00685DB7">
        <w:t xml:space="preserve">&amp; </w:t>
      </w:r>
      <w:r>
        <w:t>battery, grid).</w:t>
      </w:r>
    </w:p>
    <w:p w14:paraId="3A2F9395" w14:textId="398ADF60" w:rsidR="00A57967" w:rsidRDefault="00A57967" w:rsidP="00A57967">
      <w:r>
        <w:t xml:space="preserve">There was </w:t>
      </w:r>
      <w:r w:rsidR="00010AF0">
        <w:t xml:space="preserve">a </w:t>
      </w:r>
      <w:r>
        <w:t>request for breakdown of new products including batteries by technology, EV chargers by type</w:t>
      </w:r>
      <w:r w:rsidR="00010AF0">
        <w:t xml:space="preserve"> and</w:t>
      </w:r>
      <w:r>
        <w:t xml:space="preserve"> home energy management systems. </w:t>
      </w:r>
    </w:p>
    <w:p w14:paraId="4E3D9BDC" w14:textId="374E1BB9" w:rsidR="00A57967" w:rsidRDefault="00A57967" w:rsidP="00A57967">
      <w:r>
        <w:t>The lack of access to the full RBS has also been a factor influencing users</w:t>
      </w:r>
      <w:r w:rsidR="006F5622">
        <w:t>’</w:t>
      </w:r>
      <w:r>
        <w:t xml:space="preserve"> request</w:t>
      </w:r>
      <w:r w:rsidR="006F5622">
        <w:t>s</w:t>
      </w:r>
      <w:r>
        <w:t xml:space="preserve"> for increases in data output and report options. The RBS can already output an enormous variety of data formations and reports, and in discussions with stakeholders it became apparent they either did not have access to this facility in their version of the RBS or did not know about it. The feedback therefore did not justify a need to greatly change the RBS output facilities, but there were a few enhancements that stakeholders sought which would be additions to the RBS, these being:</w:t>
      </w:r>
    </w:p>
    <w:p w14:paraId="2C9133DE" w14:textId="6B7B2BD5" w:rsidR="00A57967" w:rsidRDefault="00A57967" w:rsidP="00E84E83">
      <w:pPr>
        <w:pStyle w:val="Bullets-Minor"/>
      </w:pPr>
      <w:r>
        <w:t xml:space="preserve">Providing </w:t>
      </w:r>
      <w:r w:rsidR="00685DB7">
        <w:t>some</w:t>
      </w:r>
      <w:r>
        <w:t xml:space="preserve"> commonly used report types to assist users in producing reports</w:t>
      </w:r>
    </w:p>
    <w:p w14:paraId="597FA988" w14:textId="49D70301" w:rsidR="00A57967" w:rsidRDefault="00A57967" w:rsidP="00E84E83">
      <w:pPr>
        <w:pStyle w:val="Bullets-Minor"/>
      </w:pPr>
      <w:r>
        <w:t>Providing scenario testing reports that present the BAU forecast as well as the scenario being tested</w:t>
      </w:r>
    </w:p>
    <w:p w14:paraId="1197B71A" w14:textId="77777777" w:rsidR="00A57967" w:rsidRDefault="00A57967" w:rsidP="00D97325">
      <w:pPr>
        <w:pStyle w:val="Heading3"/>
      </w:pPr>
      <w:r>
        <w:t>Proposed Enhancement Four</w:t>
      </w:r>
    </w:p>
    <w:p w14:paraId="04581B1E" w14:textId="77777777" w:rsidR="00A57967" w:rsidRDefault="00A57967" w:rsidP="00A57967">
      <w:r>
        <w:t>The main enhancements involve additional product categories being added to the RBS, or sub-dividing existing categories.  After reviewing the data available EnergyConsult propose adding the following product categories, or making outputs available for the following categories:</w:t>
      </w:r>
    </w:p>
    <w:p w14:paraId="431509FE" w14:textId="3FE4F35D" w:rsidR="00A57967" w:rsidRDefault="00A57967" w:rsidP="00E84E83">
      <w:pPr>
        <w:pStyle w:val="Bullets-Minor"/>
      </w:pPr>
      <w:r>
        <w:t>Refrigerators by those with, without inverters (</w:t>
      </w:r>
      <w:r w:rsidR="00685DB7">
        <w:t xml:space="preserve">only </w:t>
      </w:r>
      <w:r>
        <w:t>now being recorded by GEMS)</w:t>
      </w:r>
    </w:p>
    <w:p w14:paraId="192D22AD" w14:textId="35ECB985" w:rsidR="00A57967" w:rsidRPr="00E84E83" w:rsidRDefault="00A57967" w:rsidP="00E84E83">
      <w:pPr>
        <w:pStyle w:val="Bullets-Minor"/>
      </w:pPr>
      <w:r w:rsidRPr="00E84E83">
        <w:t>Air conditioners</w:t>
      </w:r>
      <w:r w:rsidR="006B329F">
        <w:t xml:space="preserve">, providing outputs for </w:t>
      </w:r>
      <w:r w:rsidRPr="00E84E83">
        <w:t>those with, without inverters</w:t>
      </w:r>
    </w:p>
    <w:p w14:paraId="41A116B2" w14:textId="6238453D" w:rsidR="0055210C" w:rsidRDefault="006B329F" w:rsidP="00A57967">
      <w:r>
        <w:t xml:space="preserve">The inclusion of refrigerators with/without inverters is possible as the underlying data is now available and refrigerators with inverters is a reasonably new market change, so including these will not </w:t>
      </w:r>
      <w:r w:rsidR="00B74044">
        <w:t>al</w:t>
      </w:r>
      <w:r>
        <w:t xml:space="preserve">ter historic (pre-2015) RBS data. </w:t>
      </w:r>
      <w:r w:rsidR="0055210C">
        <w:t xml:space="preserve">This is not the case for air conditioners though, as inverter air conditioners have been around for years and the majority of models </w:t>
      </w:r>
      <w:r w:rsidR="00080946">
        <w:t xml:space="preserve">now </w:t>
      </w:r>
      <w:r w:rsidR="0055210C">
        <w:t>sold have inverters.</w:t>
      </w:r>
    </w:p>
    <w:p w14:paraId="618C5F2B" w14:textId="29384CC7" w:rsidR="006B329F" w:rsidRDefault="0055210C" w:rsidP="00A57967">
      <w:r>
        <w:t>Dividing air conditioners by those with/without inverters as products in the RBS would mean re-researching and analysing all the historic information on air conditioners, plus altering all the existing air conditioner product data. It is unclear if the data is available that would support such an anal</w:t>
      </w:r>
      <w:r w:rsidR="00685DB7">
        <w:t>ysis and the result would be that</w:t>
      </w:r>
      <w:r>
        <w:t xml:space="preserve"> </w:t>
      </w:r>
      <w:r w:rsidR="0095003D">
        <w:t xml:space="preserve">pre 2015 </w:t>
      </w:r>
      <w:r>
        <w:t>outputs of RBS 1.0 and 2.0 could not be accurately compared.</w:t>
      </w:r>
    </w:p>
    <w:p w14:paraId="14C3DF12" w14:textId="70AC2F0C" w:rsidR="0055210C" w:rsidRDefault="0055210C" w:rsidP="00A57967">
      <w:r>
        <w:t xml:space="preserve">In comparison, </w:t>
      </w:r>
      <w:r w:rsidR="00080946">
        <w:t>making additional RBS outputs available for air conditioners with/without inverters is possib</w:t>
      </w:r>
      <w:r w:rsidR="0095003D">
        <w:t>le</w:t>
      </w:r>
      <w:r w:rsidR="00080946">
        <w:t xml:space="preserve"> without adding additional product categories. This will involve the air conditioner RBS output be</w:t>
      </w:r>
      <w:r w:rsidR="0095003D">
        <w:t>ing</w:t>
      </w:r>
      <w:r w:rsidR="00080946">
        <w:t xml:space="preserve"> reanalysed and additional attributes of categories created, then </w:t>
      </w:r>
      <w:r w:rsidR="0095003D">
        <w:t xml:space="preserve">specially </w:t>
      </w:r>
      <w:r w:rsidR="00080946">
        <w:t>outputting the RBS results with the additional information included, e.g. with the output for inverter</w:t>
      </w:r>
      <w:r w:rsidR="0095003D">
        <w:t>/non-inverter</w:t>
      </w:r>
      <w:r w:rsidR="00080946">
        <w:t xml:space="preserve"> separately shown.</w:t>
      </w:r>
    </w:p>
    <w:p w14:paraId="3A03A8FE" w14:textId="5D8EBD2A" w:rsidR="00A57967" w:rsidRDefault="00A57967" w:rsidP="00A57967">
      <w:r>
        <w:t xml:space="preserve">EnergyConsult will also provide </w:t>
      </w:r>
      <w:r w:rsidR="00685DB7">
        <w:t>the</w:t>
      </w:r>
      <w:r>
        <w:t xml:space="preserve"> output enhancements that stakeholders sought</w:t>
      </w:r>
      <w:r w:rsidR="00685DB7">
        <w:t>:</w:t>
      </w:r>
    </w:p>
    <w:p w14:paraId="3976E646" w14:textId="09E83F1B" w:rsidR="00A57967" w:rsidRDefault="00A57967" w:rsidP="00E84E83">
      <w:pPr>
        <w:pStyle w:val="Bullets-Minor"/>
      </w:pPr>
      <w:r>
        <w:t xml:space="preserve">Providing </w:t>
      </w:r>
      <w:r w:rsidR="00685DB7">
        <w:t xml:space="preserve">some </w:t>
      </w:r>
      <w:r>
        <w:t>commonly used report types to assist users in producing reports</w:t>
      </w:r>
    </w:p>
    <w:p w14:paraId="216CE8A5" w14:textId="0E88A094" w:rsidR="00A57967" w:rsidRDefault="00A57967" w:rsidP="00E84E83">
      <w:pPr>
        <w:pStyle w:val="Bullets-Minor"/>
      </w:pPr>
      <w:r>
        <w:t xml:space="preserve">Providing scenario testing reports that present the BAU forecast as well as the scenario being tested. </w:t>
      </w:r>
    </w:p>
    <w:p w14:paraId="43A6A19A" w14:textId="76DD0411" w:rsidR="000D00B8" w:rsidRPr="00B72688" w:rsidRDefault="000D00B8" w:rsidP="00470E3E">
      <w:pPr>
        <w:pStyle w:val="Heading1"/>
      </w:pPr>
      <w:bookmarkStart w:id="27" w:name="_Ref47977484"/>
      <w:bookmarkStart w:id="28" w:name="_Ref47977492"/>
      <w:bookmarkStart w:id="29" w:name="_Ref47978091"/>
      <w:bookmarkStart w:id="30" w:name="_Ref47978099"/>
      <w:bookmarkStart w:id="31" w:name="_Ref47978106"/>
      <w:bookmarkStart w:id="32" w:name="_Toc99115770"/>
      <w:bookmarkStart w:id="33" w:name="_Ref46325843"/>
      <w:bookmarkStart w:id="34" w:name="_Ref6237740"/>
      <w:r>
        <w:lastRenderedPageBreak/>
        <w:t>Detailed Enhancement Methodology and Approach</w:t>
      </w:r>
      <w:bookmarkEnd w:id="27"/>
      <w:bookmarkEnd w:id="28"/>
      <w:bookmarkEnd w:id="29"/>
      <w:bookmarkEnd w:id="30"/>
      <w:bookmarkEnd w:id="31"/>
      <w:bookmarkEnd w:id="32"/>
      <w:r>
        <w:t xml:space="preserve"> </w:t>
      </w:r>
    </w:p>
    <w:p w14:paraId="45DA2BCE" w14:textId="77777777" w:rsidR="00EB5785" w:rsidRDefault="00EB5785" w:rsidP="00EB5785">
      <w:pPr>
        <w:pStyle w:val="Heading2"/>
      </w:pPr>
      <w:bookmarkStart w:id="35" w:name="_Ref49273137"/>
      <w:bookmarkStart w:id="36" w:name="_Toc99115771"/>
      <w:r>
        <w:t xml:space="preserve">Enhancement 1: </w:t>
      </w:r>
      <w:r w:rsidRPr="00EB5785">
        <w:t>Power demand by time</w:t>
      </w:r>
      <w:bookmarkEnd w:id="35"/>
      <w:bookmarkEnd w:id="36"/>
    </w:p>
    <w:p w14:paraId="55B4CC2E" w14:textId="2DB95E89" w:rsidR="00CF2B25" w:rsidRDefault="00EB5785" w:rsidP="00171804">
      <w:r>
        <w:t>The requirement is to provide typical (average) electrical power demand on an hourly basis for weekdays and weekend, and for summer, winter and shoulder season</w:t>
      </w:r>
      <w:r w:rsidR="00517A11">
        <w:t>.</w:t>
      </w:r>
    </w:p>
    <w:p w14:paraId="6A927725" w14:textId="6C405FD0" w:rsidR="000D00B8" w:rsidRDefault="00EB5785" w:rsidP="000D00B8">
      <w:r>
        <w:t xml:space="preserve">The following disaggregation </w:t>
      </w:r>
      <w:r w:rsidR="000B6002">
        <w:t xml:space="preserve">of power demand outputs from the RBS are </w:t>
      </w:r>
      <w:r>
        <w:t>proposed</w:t>
      </w:r>
      <w:r w:rsidR="00CD3C03">
        <w:t xml:space="preserve"> to be provided</w:t>
      </w:r>
      <w:r>
        <w:t>:</w:t>
      </w:r>
    </w:p>
    <w:p w14:paraId="1B2A8972" w14:textId="77777777" w:rsidR="00CD3C03" w:rsidRDefault="00CD3C03" w:rsidP="00CD3C03">
      <w:pPr>
        <w:pStyle w:val="Bullets-Minor"/>
      </w:pPr>
      <w:r>
        <w:t>By type of day and season</w:t>
      </w:r>
    </w:p>
    <w:p w14:paraId="26F904CF" w14:textId="69A4EBED" w:rsidR="00EB5785" w:rsidRDefault="00EB5785" w:rsidP="00EB5785">
      <w:pPr>
        <w:pStyle w:val="Bullets-Minor"/>
      </w:pPr>
      <w:r>
        <w:t xml:space="preserve">By state/territory </w:t>
      </w:r>
    </w:p>
    <w:p w14:paraId="01165E79" w14:textId="2CA957A3" w:rsidR="00EB5785" w:rsidRDefault="00EB5785" w:rsidP="00EB5785">
      <w:pPr>
        <w:pStyle w:val="Bullets-Minor"/>
      </w:pPr>
      <w:r>
        <w:t xml:space="preserve">By </w:t>
      </w:r>
      <w:r w:rsidR="0035191F">
        <w:t>end use, category</w:t>
      </w:r>
      <w:r w:rsidR="00CF2B25">
        <w:t>,</w:t>
      </w:r>
      <w:r w:rsidR="0035191F">
        <w:t xml:space="preserve"> group </w:t>
      </w:r>
      <w:r w:rsidR="00CF2B25">
        <w:t>and product</w:t>
      </w:r>
    </w:p>
    <w:p w14:paraId="6DA8DD76" w14:textId="2CBCB019" w:rsidR="00171804" w:rsidRDefault="00171804" w:rsidP="00171804">
      <w:r>
        <w:t>This level of disaggregation will enable the reporting of almost any level or be aggregated to a higher level (average by state)</w:t>
      </w:r>
      <w:r w:rsidR="00517A11">
        <w:t>.</w:t>
      </w:r>
      <w:r>
        <w:t xml:space="preserve"> </w:t>
      </w:r>
    </w:p>
    <w:p w14:paraId="6504B764" w14:textId="5F0D9CFA" w:rsidR="00171804" w:rsidRDefault="00171804" w:rsidP="00171804">
      <w:r>
        <w:t xml:space="preserve">To enable the calculation of these outputs, the shoulder season will be split into sub seasons; those with/without day light savings, for States where that is applicable.  </w:t>
      </w:r>
    </w:p>
    <w:p w14:paraId="00FC5E5C" w14:textId="77777777" w:rsidR="00171804" w:rsidRDefault="00171804" w:rsidP="00171804">
      <w:r>
        <w:t>The time-of-use profiles (i.e. the proportion of annual energy consumed by the product used in a given period) which will drive the RBS model will be developed for the following breakdowns:</w:t>
      </w:r>
    </w:p>
    <w:p w14:paraId="6CBC9987" w14:textId="77777777" w:rsidR="00171804" w:rsidRDefault="00171804" w:rsidP="00171804">
      <w:pPr>
        <w:pStyle w:val="Bullets-Minor"/>
      </w:pPr>
      <w:r>
        <w:t>By type of day and season</w:t>
      </w:r>
    </w:p>
    <w:p w14:paraId="1A5AD365" w14:textId="77777777" w:rsidR="00171804" w:rsidRDefault="00171804" w:rsidP="00171804">
      <w:pPr>
        <w:pStyle w:val="Bullets-Minor"/>
      </w:pPr>
      <w:r>
        <w:t xml:space="preserve">By state/territory </w:t>
      </w:r>
    </w:p>
    <w:p w14:paraId="296C98BE" w14:textId="55AE66ED" w:rsidR="00171804" w:rsidRDefault="00171804" w:rsidP="00171804">
      <w:pPr>
        <w:pStyle w:val="Bullets-Minor"/>
      </w:pPr>
      <w:r>
        <w:t xml:space="preserve">By end use, category, group (although </w:t>
      </w:r>
      <w:r w:rsidR="001D34DF">
        <w:t xml:space="preserve">it </w:t>
      </w:r>
      <w:r>
        <w:t>will be possible to input the proportion of time by demand data at the product level, the group will be the lowest resolution in the majority of cases)</w:t>
      </w:r>
    </w:p>
    <w:p w14:paraId="497D0D82" w14:textId="769B0733" w:rsidR="00171804" w:rsidRDefault="00171804" w:rsidP="00171804">
      <w:pPr>
        <w:pStyle w:val="Bullets-Minor"/>
      </w:pPr>
      <w:r>
        <w:t>By mode (Operation 1, Operation 2, Aux</w:t>
      </w:r>
      <w:r w:rsidR="00C60295">
        <w:t>iliary</w:t>
      </w:r>
      <w:r>
        <w:t xml:space="preserve"> and Standby)</w:t>
      </w:r>
    </w:p>
    <w:p w14:paraId="7D852F9E" w14:textId="7600AD7A" w:rsidR="00CF2B25" w:rsidRDefault="00171804" w:rsidP="003B53AA">
      <w:r>
        <w:t>The time-of-use profiles will not change by year as it is unlikely that data is available to support variations to the profiles by year.</w:t>
      </w:r>
    </w:p>
    <w:p w14:paraId="694425D2" w14:textId="33F96C9D" w:rsidR="0035191F" w:rsidRDefault="0035191F" w:rsidP="0035191F">
      <w:pPr>
        <w:pStyle w:val="Heading3"/>
      </w:pPr>
      <w:r>
        <w:t>Data sources and research</w:t>
      </w:r>
    </w:p>
    <w:p w14:paraId="02C8A2F3" w14:textId="6FCCF9DF" w:rsidR="0035191F" w:rsidRDefault="0035191F" w:rsidP="0035191F">
      <w:r>
        <w:t>The</w:t>
      </w:r>
      <w:r w:rsidR="009E7C95">
        <w:t xml:space="preserve"> key</w:t>
      </w:r>
      <w:r>
        <w:t xml:space="preserve"> data source</w:t>
      </w:r>
      <w:r w:rsidR="00517A11">
        <w:t>s</w:t>
      </w:r>
      <w:r>
        <w:t xml:space="preserve"> to support th</w:t>
      </w:r>
      <w:r w:rsidR="009E7C95">
        <w:t>e development of load profiles</w:t>
      </w:r>
      <w:r>
        <w:t xml:space="preserve"> are as follows:</w:t>
      </w:r>
    </w:p>
    <w:p w14:paraId="333F0594" w14:textId="24FAE5D5" w:rsidR="0035191F" w:rsidRDefault="0035191F" w:rsidP="0035191F">
      <w:pPr>
        <w:pStyle w:val="Bullets-Minor"/>
      </w:pPr>
      <w:r>
        <w:t>CSIRO household monitoring study (2012- 2017)</w:t>
      </w:r>
    </w:p>
    <w:p w14:paraId="484FE49C" w14:textId="327B1A95" w:rsidR="0035191F" w:rsidRDefault="0035191F" w:rsidP="0035191F">
      <w:pPr>
        <w:pStyle w:val="Bullets-Minor"/>
      </w:pPr>
      <w:r>
        <w:t>Solar Analytics data set (still to be determined if there is sufficient data and resources for the analysis)</w:t>
      </w:r>
    </w:p>
    <w:p w14:paraId="37B7A583" w14:textId="37AFE980" w:rsidR="003B53AA" w:rsidRDefault="003B53AA" w:rsidP="0035191F">
      <w:pPr>
        <w:pStyle w:val="Bullets-Minor"/>
      </w:pPr>
      <w:r>
        <w:t xml:space="preserve">Sustainability Victoria – Residential energy measurement </w:t>
      </w:r>
    </w:p>
    <w:p w14:paraId="010924F4" w14:textId="2C7F4C1E" w:rsidR="0035191F" w:rsidRDefault="003B53AA" w:rsidP="003B53AA">
      <w:r w:rsidRPr="003B53AA">
        <w:t>These data sources are being investigated to</w:t>
      </w:r>
      <w:r>
        <w:t xml:space="preserve"> determine if it will be possible to estimate </w:t>
      </w:r>
      <w:r w:rsidRPr="003B53AA">
        <w:t xml:space="preserve">proportions of energy demand by hour </w:t>
      </w:r>
      <w:r>
        <w:t xml:space="preserve">for a range of products.  The CSIRO has already </w:t>
      </w:r>
      <w:r>
        <w:lastRenderedPageBreak/>
        <w:t xml:space="preserve">estimated the daily energy consumption by house type and season for Melbourne, Adelaide and Brisbane.  </w:t>
      </w:r>
    </w:p>
    <w:p w14:paraId="7F2D39FC" w14:textId="2FB63B56" w:rsidR="00894510" w:rsidRDefault="00894510" w:rsidP="00894510">
      <w:pPr>
        <w:pStyle w:val="Heading3"/>
      </w:pPr>
      <w:bookmarkStart w:id="37" w:name="_Ref47969025"/>
      <w:r>
        <w:t>Methodology Approach</w:t>
      </w:r>
      <w:bookmarkEnd w:id="37"/>
    </w:p>
    <w:p w14:paraId="5AF66B10" w14:textId="546F74EF" w:rsidR="00584F83" w:rsidRDefault="00894510" w:rsidP="00584F83">
      <w:r>
        <w:t xml:space="preserve">The RBS </w:t>
      </w:r>
      <w:r w:rsidR="00584F83">
        <w:t>determines</w:t>
      </w:r>
      <w:r>
        <w:t xml:space="preserve"> energy consumption for </w:t>
      </w:r>
      <w:r w:rsidR="00584F83">
        <w:t xml:space="preserve">each product by mode on an annual basis.  This is effectively the same result </w:t>
      </w:r>
      <w:r w:rsidR="001A484C">
        <w:t xml:space="preserve">as </w:t>
      </w:r>
      <w:r w:rsidR="00584F83">
        <w:t xml:space="preserve">if </w:t>
      </w:r>
      <w:r w:rsidR="001A484C">
        <w:t xml:space="preserve">the </w:t>
      </w:r>
      <w:r w:rsidR="00584F83">
        <w:t xml:space="preserve">average </w:t>
      </w:r>
      <w:r w:rsidR="009E7C95">
        <w:t xml:space="preserve">hourly </w:t>
      </w:r>
      <w:r w:rsidR="00584F83">
        <w:t xml:space="preserve">energy use </w:t>
      </w:r>
      <w:r w:rsidR="001A484C">
        <w:t xml:space="preserve">was determined and </w:t>
      </w:r>
      <w:r w:rsidR="00584F83">
        <w:t xml:space="preserve">multiplied by the number of hours in the year.  </w:t>
      </w:r>
      <w:r w:rsidR="00D020E8">
        <w:t xml:space="preserve">So the average </w:t>
      </w:r>
      <w:r w:rsidR="00584F83">
        <w:t xml:space="preserve">electrical energy use (kWh) is </w:t>
      </w:r>
      <w:r w:rsidR="00D020E8">
        <w:t xml:space="preserve">equal to </w:t>
      </w:r>
      <w:r w:rsidR="00584F83">
        <w:t xml:space="preserve">the average power demand (kW) over an hour.  Therefore, the </w:t>
      </w:r>
      <w:r w:rsidR="00D020E8">
        <w:t xml:space="preserve">RBS as it currently functions can be used to estimate the </w:t>
      </w:r>
      <w:r w:rsidR="00584F83">
        <w:t xml:space="preserve">average power demand </w:t>
      </w:r>
      <w:r w:rsidR="00D020E8">
        <w:t>over</w:t>
      </w:r>
      <w:r w:rsidR="00584F83">
        <w:t xml:space="preserve"> the whole year</w:t>
      </w:r>
      <w:r w:rsidR="00D020E8">
        <w:t>. However, in practice power demand</w:t>
      </w:r>
      <w:r w:rsidR="00584F83">
        <w:t xml:space="preserve"> varies with time for many equipment</w:t>
      </w:r>
      <w:r w:rsidR="009E7C95">
        <w:t xml:space="preserve"> types</w:t>
      </w:r>
      <w:r w:rsidR="00584F83">
        <w:t xml:space="preserve"> due to usage or the characteristics of the equipment and relationship with seasonal (or monthly) climate conditions.  </w:t>
      </w:r>
      <w:r w:rsidR="00D020E8">
        <w:t xml:space="preserve">This is the variation that needs to be integrated into the RBS. </w:t>
      </w:r>
    </w:p>
    <w:p w14:paraId="113C2C18" w14:textId="567E88E7" w:rsidR="007455DE" w:rsidRDefault="00584F83" w:rsidP="00584F83">
      <w:r>
        <w:t>The proposed methodology to be utilised is to estimate the proportion of average power demand for each product (by group)</w:t>
      </w:r>
      <w:r w:rsidR="009E7C95">
        <w:t xml:space="preserve"> by each hour of a typical day</w:t>
      </w:r>
      <w:r w:rsidR="007455DE">
        <w:t xml:space="preserve">. </w:t>
      </w:r>
      <w:r w:rsidR="009E7C95">
        <w:t xml:space="preserve"> The </w:t>
      </w:r>
      <w:r w:rsidR="00D020E8">
        <w:t>Annual Energy Consumption (</w:t>
      </w:r>
      <w:r w:rsidR="009E7C95">
        <w:t>AEC</w:t>
      </w:r>
      <w:r w:rsidR="00D020E8">
        <w:t>)</w:t>
      </w:r>
      <w:r w:rsidR="009E7C95">
        <w:t xml:space="preserve"> is proportioned to each typical day type (by season and week/end day), and then proportioned over the 24 hour period.  The basic calculation is shown in the equation:</w:t>
      </w:r>
    </w:p>
    <w:p w14:paraId="2131A263" w14:textId="77E55644" w:rsidR="007455DE" w:rsidRPr="009E7C95" w:rsidRDefault="000C3710" w:rsidP="00584F83">
      <w:pPr>
        <w:rPr>
          <w:rFonts w:eastAsiaTheme="minorEastAsia"/>
        </w:rPr>
      </w:pPr>
      <m:oMathPara>
        <m:oMath>
          <m:sSub>
            <m:sSubPr>
              <m:ctrlPr>
                <w:rPr>
                  <w:rFonts w:ascii="Cambria Math" w:hAnsi="Cambria Math"/>
                  <w:i/>
                </w:rPr>
              </m:ctrlPr>
            </m:sSubPr>
            <m:e>
              <m:r>
                <w:rPr>
                  <w:rFonts w:ascii="Cambria Math" w:hAnsi="Cambria Math"/>
                </w:rPr>
                <m:t>AEC</m:t>
              </m:r>
            </m:e>
            <m:sub>
              <m:r>
                <w:rPr>
                  <w:rFonts w:ascii="Cambria Math" w:hAnsi="Cambria Math"/>
                </w:rPr>
                <m:t>R,G,M</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s=1, d=1,</m:t>
              </m:r>
              <m:r>
                <w:rPr>
                  <w:rFonts w:ascii="Cambria Math" w:hAnsi="Cambria Math"/>
                </w:rPr>
                <m:t>h=</m:t>
              </m:r>
              <m:r>
                <w:rPr>
                  <w:rFonts w:ascii="Cambria Math" w:hAnsi="Cambria Math"/>
                </w:rPr>
                <m:t>1</m:t>
              </m:r>
            </m:sub>
            <m:sup>
              <m:r>
                <w:rPr>
                  <w:rFonts w:ascii="Cambria Math" w:hAnsi="Cambria Math"/>
                </w:rPr>
                <m:t>s=x,d=y,h=</m:t>
              </m:r>
              <m:r>
                <w:rPr>
                  <w:rFonts w:ascii="Cambria Math" w:hAnsi="Cambria Math"/>
                </w:rPr>
                <m:t>24</m:t>
              </m:r>
            </m:sup>
            <m:e>
              <m:sSub>
                <m:sSubPr>
                  <m:ctrlPr>
                    <w:rPr>
                      <w:rFonts w:ascii="Cambria Math" w:hAnsi="Cambria Math"/>
                      <w:i/>
                    </w:rPr>
                  </m:ctrlPr>
                </m:sSubPr>
                <m:e>
                  <m:r>
                    <w:rPr>
                      <w:rFonts w:ascii="Cambria Math" w:hAnsi="Cambria Math"/>
                    </w:rPr>
                    <m:t>P</m:t>
                  </m:r>
                </m:e>
                <m:sub>
                  <m:r>
                    <w:rPr>
                      <w:rFonts w:ascii="Cambria Math" w:hAnsi="Cambria Math"/>
                    </w:rPr>
                    <m:t>s,d,h</m:t>
                  </m:r>
                </m:sub>
              </m:sSub>
              <m:r>
                <w:rPr>
                  <w:rFonts w:ascii="Cambria Math" w:hAnsi="Cambria Math"/>
                </w:rPr>
                <m:t xml:space="preserve"> ×Pwr</m:t>
              </m:r>
            </m:e>
          </m:nary>
        </m:oMath>
      </m:oMathPara>
    </w:p>
    <w:p w14:paraId="068EEBBC" w14:textId="2F7DC148" w:rsidR="009E7C95" w:rsidRDefault="009E7C95" w:rsidP="00584F83">
      <w:pPr>
        <w:rPr>
          <w:rFonts w:eastAsiaTheme="minorEastAsia"/>
        </w:rPr>
      </w:pPr>
      <w:r>
        <w:rPr>
          <w:rFonts w:eastAsiaTheme="minorEastAsia"/>
        </w:rPr>
        <w:t>Where:</w:t>
      </w:r>
    </w:p>
    <w:p w14:paraId="066CC01A" w14:textId="6D2F3559" w:rsidR="00183FAF" w:rsidRPr="00183FAF" w:rsidRDefault="00183FAF" w:rsidP="00183FAF">
      <w:pPr>
        <w:pStyle w:val="Table"/>
        <w:ind w:left="720"/>
      </w:pPr>
      <w:r>
        <w:t xml:space="preserve">AEC </w:t>
      </w:r>
      <w:r w:rsidRPr="00183FAF">
        <w:rPr>
          <w:vertAlign w:val="subscript"/>
        </w:rPr>
        <w:t>R,G,M</w:t>
      </w:r>
      <w:r>
        <w:rPr>
          <w:vertAlign w:val="subscript"/>
        </w:rPr>
        <w:t xml:space="preserve"> </w:t>
      </w:r>
      <w:r>
        <w:t>is the annual energy consumption for mode M, product G in region R</w:t>
      </w:r>
    </w:p>
    <w:p w14:paraId="05626577" w14:textId="34BE14D3" w:rsidR="009E7C95" w:rsidRDefault="00183FAF" w:rsidP="009E7C95">
      <w:pPr>
        <w:pStyle w:val="Table"/>
        <w:ind w:left="720"/>
      </w:pPr>
      <w:r w:rsidRPr="00183FAF">
        <w:rPr>
          <w:rFonts w:cs="Arial"/>
          <w:i/>
          <w:iCs/>
        </w:rPr>
        <w:t>P</w:t>
      </w:r>
      <w:r w:rsidR="009E7C95">
        <w:t xml:space="preserve"> is the proportion of energy consumption in: </w:t>
      </w:r>
    </w:p>
    <w:p w14:paraId="7BEE8806" w14:textId="6A7E227C" w:rsidR="00183FAF" w:rsidRDefault="00183FAF" w:rsidP="009E7C95">
      <w:pPr>
        <w:pStyle w:val="Table"/>
        <w:ind w:left="1440"/>
      </w:pPr>
      <w:r w:rsidRPr="00183FAF">
        <w:rPr>
          <w:i/>
          <w:iCs/>
        </w:rPr>
        <w:t>s</w:t>
      </w:r>
      <w:r>
        <w:t xml:space="preserve"> </w:t>
      </w:r>
      <w:r w:rsidR="009E7C95">
        <w:t>season</w:t>
      </w:r>
      <w:r w:rsidR="00926114">
        <w:rPr>
          <w:rStyle w:val="FootnoteReference"/>
        </w:rPr>
        <w:footnoteReference w:id="6"/>
      </w:r>
      <w:r>
        <w:t>,</w:t>
      </w:r>
      <w:r w:rsidR="009E7C95">
        <w:t xml:space="preserve"> </w:t>
      </w:r>
      <w:r>
        <w:t>from</w:t>
      </w:r>
      <w:r w:rsidR="009E7C95">
        <w:t xml:space="preserve"> 1 and </w:t>
      </w:r>
      <w:r w:rsidR="00D020E8">
        <w:t xml:space="preserve">4 </w:t>
      </w:r>
      <w:r w:rsidR="009E7C95">
        <w:t>(numbers represent summer, winter, shoulder</w:t>
      </w:r>
      <w:r w:rsidR="00D020E8">
        <w:t xml:space="preserve"> daylight saving, shoulder non-daylight savings</w:t>
      </w:r>
      <w:r w:rsidR="009E7C95">
        <w:t>)</w:t>
      </w:r>
    </w:p>
    <w:p w14:paraId="0AB3D8A7" w14:textId="390783A2" w:rsidR="009E7C95" w:rsidRDefault="00183FAF" w:rsidP="009E7C95">
      <w:pPr>
        <w:pStyle w:val="Table"/>
        <w:ind w:left="1440"/>
      </w:pPr>
      <w:r>
        <w:rPr>
          <w:i/>
          <w:iCs/>
        </w:rPr>
        <w:t xml:space="preserve">d </w:t>
      </w:r>
      <w:r w:rsidRPr="00183FAF">
        <w:t xml:space="preserve">day type, </w:t>
      </w:r>
      <w:r>
        <w:t xml:space="preserve">from </w:t>
      </w:r>
      <w:r w:rsidRPr="00183FAF">
        <w:t>1 and 2 (representing weekday and weekend day)</w:t>
      </w:r>
      <w:r w:rsidR="009E7C95" w:rsidRPr="00183FAF">
        <w:t xml:space="preserve"> </w:t>
      </w:r>
    </w:p>
    <w:p w14:paraId="11D1F582" w14:textId="27F1F6B8" w:rsidR="00183FAF" w:rsidRDefault="00183FAF" w:rsidP="009E7C95">
      <w:pPr>
        <w:pStyle w:val="Table"/>
        <w:ind w:left="1440"/>
      </w:pPr>
      <w:r>
        <w:rPr>
          <w:i/>
          <w:iCs/>
        </w:rPr>
        <w:t xml:space="preserve">h </w:t>
      </w:r>
      <w:r w:rsidRPr="00183FAF">
        <w:t>hour of the day, from 1 to 24, representing the hours of the day</w:t>
      </w:r>
    </w:p>
    <w:p w14:paraId="0892BE53" w14:textId="5877778B" w:rsidR="003B53AA" w:rsidRPr="003B53AA" w:rsidRDefault="003B53AA" w:rsidP="003B53AA">
      <w:pPr>
        <w:pStyle w:val="Table"/>
        <w:ind w:left="720"/>
      </w:pPr>
      <w:r>
        <w:rPr>
          <w:i/>
          <w:iCs/>
        </w:rPr>
        <w:t xml:space="preserve">Pwr </w:t>
      </w:r>
      <w:r>
        <w:t>is the average energy consumption over one hour, expressed as kWh/h or kW</w:t>
      </w:r>
    </w:p>
    <w:p w14:paraId="6D4FD043" w14:textId="162BB6EF" w:rsidR="00584F83" w:rsidRDefault="00183FAF" w:rsidP="00584F83">
      <w:r>
        <w:t>Default proportions to derive average daily energy consumption</w:t>
      </w:r>
      <w:r w:rsidR="00171804">
        <w:t xml:space="preserve"> are shown below:</w:t>
      </w:r>
      <w:r>
        <w:t xml:space="preserve"> </w:t>
      </w:r>
    </w:p>
    <w:tbl>
      <w:tblPr>
        <w:tblStyle w:val="TableGrid"/>
        <w:tblW w:w="0" w:type="auto"/>
        <w:tblInd w:w="720" w:type="dxa"/>
        <w:tblLook w:val="04A0" w:firstRow="1" w:lastRow="0" w:firstColumn="1" w:lastColumn="0" w:noHBand="0" w:noVBand="1"/>
      </w:tblPr>
      <w:tblGrid>
        <w:gridCol w:w="1402"/>
        <w:gridCol w:w="1134"/>
        <w:gridCol w:w="1275"/>
        <w:gridCol w:w="1276"/>
        <w:gridCol w:w="1134"/>
        <w:gridCol w:w="1134"/>
      </w:tblGrid>
      <w:tr w:rsidR="000316E3" w14:paraId="14B823A8" w14:textId="6D783791" w:rsidTr="003B53AA">
        <w:tc>
          <w:tcPr>
            <w:tcW w:w="1402" w:type="dxa"/>
          </w:tcPr>
          <w:p w14:paraId="34EB5EAB" w14:textId="038E29BF" w:rsidR="000316E3" w:rsidRDefault="000316E3" w:rsidP="00183FAF">
            <w:pPr>
              <w:pStyle w:val="Table"/>
            </w:pPr>
            <w:r>
              <w:t>Season</w:t>
            </w:r>
          </w:p>
        </w:tc>
        <w:tc>
          <w:tcPr>
            <w:tcW w:w="3685" w:type="dxa"/>
            <w:gridSpan w:val="3"/>
          </w:tcPr>
          <w:p w14:paraId="7D2E5CB5" w14:textId="7F57F9A7" w:rsidR="000316E3" w:rsidRDefault="000316E3" w:rsidP="000316E3">
            <w:pPr>
              <w:pStyle w:val="Table"/>
              <w:jc w:val="center"/>
            </w:pPr>
            <w:r>
              <w:t>Proportion</w:t>
            </w:r>
          </w:p>
        </w:tc>
        <w:tc>
          <w:tcPr>
            <w:tcW w:w="2268" w:type="dxa"/>
            <w:gridSpan w:val="2"/>
          </w:tcPr>
          <w:p w14:paraId="37F8AB8A" w14:textId="173FB043" w:rsidR="000316E3" w:rsidRDefault="000316E3" w:rsidP="000316E3">
            <w:pPr>
              <w:pStyle w:val="Table"/>
              <w:jc w:val="center"/>
            </w:pPr>
            <w:r>
              <w:t>Days</w:t>
            </w:r>
          </w:p>
        </w:tc>
      </w:tr>
      <w:tr w:rsidR="000316E3" w14:paraId="26D4A9BE" w14:textId="59D99C55" w:rsidTr="000316E3">
        <w:tc>
          <w:tcPr>
            <w:tcW w:w="1402" w:type="dxa"/>
          </w:tcPr>
          <w:p w14:paraId="3B9810C8" w14:textId="06C05CD7" w:rsidR="000316E3" w:rsidRDefault="000316E3" w:rsidP="000316E3">
            <w:pPr>
              <w:pStyle w:val="Table"/>
            </w:pPr>
            <w:r>
              <w:t>Day Type</w:t>
            </w:r>
          </w:p>
        </w:tc>
        <w:tc>
          <w:tcPr>
            <w:tcW w:w="1134" w:type="dxa"/>
          </w:tcPr>
          <w:p w14:paraId="53C88E6A" w14:textId="03C3485B" w:rsidR="000316E3" w:rsidRDefault="000316E3" w:rsidP="000316E3">
            <w:pPr>
              <w:pStyle w:val="Table"/>
            </w:pPr>
            <w:r>
              <w:t>Season</w:t>
            </w:r>
          </w:p>
        </w:tc>
        <w:tc>
          <w:tcPr>
            <w:tcW w:w="1275" w:type="dxa"/>
          </w:tcPr>
          <w:p w14:paraId="500C5678" w14:textId="41F33BDC" w:rsidR="000316E3" w:rsidRDefault="000316E3" w:rsidP="000316E3">
            <w:pPr>
              <w:pStyle w:val="Table"/>
            </w:pPr>
            <w:r>
              <w:t>Weekday</w:t>
            </w:r>
          </w:p>
        </w:tc>
        <w:tc>
          <w:tcPr>
            <w:tcW w:w="1276" w:type="dxa"/>
          </w:tcPr>
          <w:p w14:paraId="045E0AE5" w14:textId="2B4C50B9" w:rsidR="000316E3" w:rsidRDefault="000316E3" w:rsidP="000316E3">
            <w:pPr>
              <w:pStyle w:val="Table"/>
            </w:pPr>
            <w:r>
              <w:t xml:space="preserve">Weekend </w:t>
            </w:r>
          </w:p>
        </w:tc>
        <w:tc>
          <w:tcPr>
            <w:tcW w:w="1134" w:type="dxa"/>
          </w:tcPr>
          <w:p w14:paraId="3EFF365E" w14:textId="04E9C625" w:rsidR="000316E3" w:rsidRDefault="000316E3" w:rsidP="000316E3">
            <w:pPr>
              <w:pStyle w:val="Table"/>
            </w:pPr>
            <w:r>
              <w:t>Weekday</w:t>
            </w:r>
          </w:p>
        </w:tc>
        <w:tc>
          <w:tcPr>
            <w:tcW w:w="1134" w:type="dxa"/>
          </w:tcPr>
          <w:p w14:paraId="0C4F427F" w14:textId="17632C06" w:rsidR="000316E3" w:rsidRDefault="000316E3" w:rsidP="000316E3">
            <w:pPr>
              <w:pStyle w:val="Table"/>
            </w:pPr>
            <w:r>
              <w:t xml:space="preserve">Weekend </w:t>
            </w:r>
          </w:p>
        </w:tc>
      </w:tr>
      <w:tr w:rsidR="000316E3" w14:paraId="6E04275E" w14:textId="57B6BEE7" w:rsidTr="000316E3">
        <w:tc>
          <w:tcPr>
            <w:tcW w:w="1402" w:type="dxa"/>
          </w:tcPr>
          <w:p w14:paraId="773CB16E" w14:textId="58BE8723" w:rsidR="000316E3" w:rsidRDefault="000316E3" w:rsidP="000316E3">
            <w:pPr>
              <w:pStyle w:val="Table"/>
            </w:pPr>
            <w:r>
              <w:t>Summer</w:t>
            </w:r>
          </w:p>
        </w:tc>
        <w:tc>
          <w:tcPr>
            <w:tcW w:w="1134" w:type="dxa"/>
          </w:tcPr>
          <w:p w14:paraId="6E6FBB26" w14:textId="044BCFE5" w:rsidR="000316E3" w:rsidRDefault="000316E3" w:rsidP="000316E3">
            <w:pPr>
              <w:pStyle w:val="Table"/>
            </w:pPr>
            <w:r w:rsidRPr="000316E3">
              <w:t>0.247</w:t>
            </w:r>
          </w:p>
        </w:tc>
        <w:tc>
          <w:tcPr>
            <w:tcW w:w="1275" w:type="dxa"/>
          </w:tcPr>
          <w:p w14:paraId="4F6B9A1D" w14:textId="6AEDE914" w:rsidR="000316E3" w:rsidRDefault="000316E3" w:rsidP="000316E3">
            <w:pPr>
              <w:pStyle w:val="Table"/>
            </w:pPr>
            <w:r>
              <w:t>0.</w:t>
            </w:r>
            <w:r w:rsidRPr="003F7928">
              <w:t>7142</w:t>
            </w:r>
            <w:r>
              <w:t>9</w:t>
            </w:r>
          </w:p>
        </w:tc>
        <w:tc>
          <w:tcPr>
            <w:tcW w:w="1276" w:type="dxa"/>
          </w:tcPr>
          <w:p w14:paraId="11E26816" w14:textId="623F839D" w:rsidR="000316E3" w:rsidRDefault="000316E3" w:rsidP="000316E3">
            <w:pPr>
              <w:pStyle w:val="Table"/>
            </w:pPr>
            <w:r w:rsidRPr="009939FA">
              <w:t>0.2857</w:t>
            </w:r>
            <w:r>
              <w:t>1</w:t>
            </w:r>
          </w:p>
        </w:tc>
        <w:tc>
          <w:tcPr>
            <w:tcW w:w="1134" w:type="dxa"/>
          </w:tcPr>
          <w:p w14:paraId="1FAF0955" w14:textId="554A7C09" w:rsidR="000316E3" w:rsidRDefault="000316E3" w:rsidP="000316E3">
            <w:pPr>
              <w:pStyle w:val="Table"/>
            </w:pPr>
            <w:r w:rsidRPr="00260161">
              <w:t>64.3</w:t>
            </w:r>
          </w:p>
        </w:tc>
        <w:tc>
          <w:tcPr>
            <w:tcW w:w="1134" w:type="dxa"/>
          </w:tcPr>
          <w:p w14:paraId="18C689AC" w14:textId="2585428F" w:rsidR="000316E3" w:rsidRDefault="000316E3" w:rsidP="000316E3">
            <w:pPr>
              <w:pStyle w:val="Table"/>
            </w:pPr>
            <w:r w:rsidRPr="00260161">
              <w:t>25.7</w:t>
            </w:r>
          </w:p>
        </w:tc>
      </w:tr>
      <w:tr w:rsidR="000316E3" w14:paraId="3E071B9D" w14:textId="139C5897" w:rsidTr="000316E3">
        <w:tc>
          <w:tcPr>
            <w:tcW w:w="1402" w:type="dxa"/>
          </w:tcPr>
          <w:p w14:paraId="30674360" w14:textId="41362223" w:rsidR="000316E3" w:rsidRDefault="000316E3" w:rsidP="000316E3">
            <w:pPr>
              <w:pStyle w:val="Table"/>
            </w:pPr>
            <w:r>
              <w:t>Winter</w:t>
            </w:r>
          </w:p>
        </w:tc>
        <w:tc>
          <w:tcPr>
            <w:tcW w:w="1134" w:type="dxa"/>
          </w:tcPr>
          <w:p w14:paraId="04908807" w14:textId="66976125" w:rsidR="000316E3" w:rsidRDefault="000316E3" w:rsidP="000316E3">
            <w:pPr>
              <w:pStyle w:val="Table"/>
            </w:pPr>
            <w:r w:rsidRPr="000316E3">
              <w:t>0.252</w:t>
            </w:r>
          </w:p>
        </w:tc>
        <w:tc>
          <w:tcPr>
            <w:tcW w:w="1275" w:type="dxa"/>
          </w:tcPr>
          <w:p w14:paraId="37BF3954" w14:textId="57673427" w:rsidR="000316E3" w:rsidRDefault="000316E3" w:rsidP="000316E3">
            <w:pPr>
              <w:pStyle w:val="Table"/>
            </w:pPr>
            <w:r>
              <w:t>0.</w:t>
            </w:r>
            <w:r w:rsidRPr="003F7928">
              <w:t>7142</w:t>
            </w:r>
            <w:r>
              <w:t>9</w:t>
            </w:r>
          </w:p>
        </w:tc>
        <w:tc>
          <w:tcPr>
            <w:tcW w:w="1276" w:type="dxa"/>
          </w:tcPr>
          <w:p w14:paraId="197C5675" w14:textId="2D4891F6" w:rsidR="000316E3" w:rsidRDefault="000316E3" w:rsidP="000316E3">
            <w:pPr>
              <w:pStyle w:val="Table"/>
            </w:pPr>
            <w:r w:rsidRPr="009939FA">
              <w:t>0.2857</w:t>
            </w:r>
            <w:r>
              <w:t>1</w:t>
            </w:r>
          </w:p>
        </w:tc>
        <w:tc>
          <w:tcPr>
            <w:tcW w:w="1134" w:type="dxa"/>
          </w:tcPr>
          <w:p w14:paraId="0EBCEB30" w14:textId="6FC811FF" w:rsidR="000316E3" w:rsidRDefault="000316E3" w:rsidP="000316E3">
            <w:pPr>
              <w:pStyle w:val="Table"/>
            </w:pPr>
            <w:r w:rsidRPr="00E3725B">
              <w:t>65.7</w:t>
            </w:r>
          </w:p>
        </w:tc>
        <w:tc>
          <w:tcPr>
            <w:tcW w:w="1134" w:type="dxa"/>
          </w:tcPr>
          <w:p w14:paraId="6FFF48CF" w14:textId="696768EF" w:rsidR="000316E3" w:rsidRDefault="000316E3" w:rsidP="000316E3">
            <w:pPr>
              <w:pStyle w:val="Table"/>
            </w:pPr>
            <w:r w:rsidRPr="00E3725B">
              <w:t>26.3</w:t>
            </w:r>
          </w:p>
        </w:tc>
      </w:tr>
      <w:tr w:rsidR="000316E3" w14:paraId="27640D2C" w14:textId="2F9910A1" w:rsidTr="000316E3">
        <w:tc>
          <w:tcPr>
            <w:tcW w:w="1402" w:type="dxa"/>
          </w:tcPr>
          <w:p w14:paraId="31BB368B" w14:textId="452D896B" w:rsidR="000316E3" w:rsidRDefault="000316E3" w:rsidP="000316E3">
            <w:pPr>
              <w:pStyle w:val="Table"/>
            </w:pPr>
            <w:r>
              <w:t>Shoulder</w:t>
            </w:r>
            <w:r w:rsidR="00873CEB">
              <w:t>-Daylight Savings (DS)</w:t>
            </w:r>
          </w:p>
        </w:tc>
        <w:tc>
          <w:tcPr>
            <w:tcW w:w="1134" w:type="dxa"/>
          </w:tcPr>
          <w:p w14:paraId="76284A89" w14:textId="7854A188" w:rsidR="00873CEB" w:rsidRDefault="00873CEB" w:rsidP="000316E3">
            <w:pPr>
              <w:pStyle w:val="Table"/>
            </w:pPr>
            <w:r>
              <w:t>0.251</w:t>
            </w:r>
          </w:p>
        </w:tc>
        <w:tc>
          <w:tcPr>
            <w:tcW w:w="1275" w:type="dxa"/>
          </w:tcPr>
          <w:p w14:paraId="02C05406" w14:textId="416C3319" w:rsidR="000316E3" w:rsidRDefault="000316E3" w:rsidP="000316E3">
            <w:pPr>
              <w:pStyle w:val="Table"/>
            </w:pPr>
            <w:r>
              <w:t>0.</w:t>
            </w:r>
            <w:r w:rsidRPr="003F7928">
              <w:t>7142</w:t>
            </w:r>
            <w:r>
              <w:t>9</w:t>
            </w:r>
          </w:p>
        </w:tc>
        <w:tc>
          <w:tcPr>
            <w:tcW w:w="1276" w:type="dxa"/>
          </w:tcPr>
          <w:p w14:paraId="6CD643C8" w14:textId="6EF126A9" w:rsidR="000316E3" w:rsidRDefault="000316E3" w:rsidP="000316E3">
            <w:pPr>
              <w:pStyle w:val="Table"/>
            </w:pPr>
            <w:r w:rsidRPr="009939FA">
              <w:t>0.2857</w:t>
            </w:r>
            <w:r>
              <w:t>1</w:t>
            </w:r>
          </w:p>
        </w:tc>
        <w:tc>
          <w:tcPr>
            <w:tcW w:w="1134" w:type="dxa"/>
          </w:tcPr>
          <w:p w14:paraId="440CF116" w14:textId="638BDA1F" w:rsidR="00873CEB" w:rsidRDefault="00873CEB" w:rsidP="000316E3">
            <w:pPr>
              <w:pStyle w:val="Table"/>
            </w:pPr>
            <w:r>
              <w:t>65,4</w:t>
            </w:r>
          </w:p>
        </w:tc>
        <w:tc>
          <w:tcPr>
            <w:tcW w:w="1134" w:type="dxa"/>
          </w:tcPr>
          <w:p w14:paraId="1E1FCBD4" w14:textId="5E3BAC32" w:rsidR="00873CEB" w:rsidRDefault="00873CEB" w:rsidP="000316E3">
            <w:pPr>
              <w:pStyle w:val="Table"/>
            </w:pPr>
            <w:r>
              <w:t>26.2</w:t>
            </w:r>
          </w:p>
        </w:tc>
      </w:tr>
      <w:tr w:rsidR="00873CEB" w14:paraId="00BA2368" w14:textId="77777777" w:rsidTr="000316E3">
        <w:tc>
          <w:tcPr>
            <w:tcW w:w="1402" w:type="dxa"/>
          </w:tcPr>
          <w:p w14:paraId="65B57024" w14:textId="1FA846C2" w:rsidR="00873CEB" w:rsidRDefault="00873CEB" w:rsidP="00873CEB">
            <w:pPr>
              <w:pStyle w:val="Table"/>
            </w:pPr>
            <w:r>
              <w:t>Shoulder-No</w:t>
            </w:r>
            <w:r w:rsidR="001D34DF">
              <w:t xml:space="preserve">n </w:t>
            </w:r>
            <w:r>
              <w:t>Daylight Savings (NDS)</w:t>
            </w:r>
          </w:p>
        </w:tc>
        <w:tc>
          <w:tcPr>
            <w:tcW w:w="1134" w:type="dxa"/>
          </w:tcPr>
          <w:p w14:paraId="7C9C0997" w14:textId="59BB5DC1" w:rsidR="00873CEB" w:rsidRPr="000316E3" w:rsidRDefault="00873CEB" w:rsidP="00873CEB">
            <w:pPr>
              <w:pStyle w:val="Table"/>
            </w:pPr>
            <w:r>
              <w:t>0.250</w:t>
            </w:r>
          </w:p>
        </w:tc>
        <w:tc>
          <w:tcPr>
            <w:tcW w:w="1275" w:type="dxa"/>
          </w:tcPr>
          <w:p w14:paraId="0928D102" w14:textId="1573C486" w:rsidR="00873CEB" w:rsidRDefault="00873CEB" w:rsidP="00873CEB">
            <w:pPr>
              <w:pStyle w:val="Table"/>
            </w:pPr>
            <w:r>
              <w:t>0.</w:t>
            </w:r>
            <w:r w:rsidRPr="003F7928">
              <w:t>7142</w:t>
            </w:r>
            <w:r>
              <w:t>9</w:t>
            </w:r>
          </w:p>
        </w:tc>
        <w:tc>
          <w:tcPr>
            <w:tcW w:w="1276" w:type="dxa"/>
          </w:tcPr>
          <w:p w14:paraId="7DE6E39C" w14:textId="15470D2B" w:rsidR="00873CEB" w:rsidRPr="009939FA" w:rsidRDefault="00873CEB" w:rsidP="00873CEB">
            <w:pPr>
              <w:pStyle w:val="Table"/>
            </w:pPr>
            <w:r w:rsidRPr="009939FA">
              <w:t>0.2857</w:t>
            </w:r>
            <w:r>
              <w:t>1</w:t>
            </w:r>
          </w:p>
        </w:tc>
        <w:tc>
          <w:tcPr>
            <w:tcW w:w="1134" w:type="dxa"/>
          </w:tcPr>
          <w:p w14:paraId="1DB6C61E" w14:textId="2E151D4D" w:rsidR="00873CEB" w:rsidRPr="00E7078B" w:rsidRDefault="00873CEB" w:rsidP="00873CEB">
            <w:pPr>
              <w:pStyle w:val="Table"/>
            </w:pPr>
            <w:r>
              <w:t>65.3</w:t>
            </w:r>
          </w:p>
        </w:tc>
        <w:tc>
          <w:tcPr>
            <w:tcW w:w="1134" w:type="dxa"/>
          </w:tcPr>
          <w:p w14:paraId="07DB3CDA" w14:textId="0452D359" w:rsidR="00873CEB" w:rsidRPr="00E7078B" w:rsidRDefault="00873CEB" w:rsidP="00873CEB">
            <w:pPr>
              <w:pStyle w:val="Table"/>
            </w:pPr>
            <w:r>
              <w:t>26.1</w:t>
            </w:r>
          </w:p>
        </w:tc>
      </w:tr>
    </w:tbl>
    <w:p w14:paraId="13FA9F24" w14:textId="47F71B06" w:rsidR="004D5F43" w:rsidRDefault="004D5F43" w:rsidP="00584F83"/>
    <w:p w14:paraId="6DD4814E" w14:textId="29F12ED2" w:rsidR="000316E3" w:rsidRDefault="000316E3" w:rsidP="00584F83">
      <w:r>
        <w:lastRenderedPageBreak/>
        <w:t>For instance, the daily weekday summer average energy consumption for a particular product, in region (R) and mode (M) is:</w:t>
      </w:r>
    </w:p>
    <w:p w14:paraId="38B005DA" w14:textId="1C6380C4" w:rsidR="000316E3" w:rsidRDefault="000316E3" w:rsidP="003B53AA">
      <w:pPr>
        <w:pStyle w:val="Table"/>
        <w:ind w:left="1440"/>
      </w:pPr>
      <w:r>
        <w:t>AEC x 0.247 x 0.</w:t>
      </w:r>
      <w:r w:rsidRPr="003F7928">
        <w:t>7142</w:t>
      </w:r>
      <w:r>
        <w:t xml:space="preserve">9 / </w:t>
      </w:r>
      <w:r w:rsidR="00836B7B" w:rsidRPr="00260161">
        <w:t>64.3</w:t>
      </w:r>
    </w:p>
    <w:p w14:paraId="64EB3D63" w14:textId="77777777" w:rsidR="008D6D22" w:rsidRDefault="008D6D22" w:rsidP="009B132F"/>
    <w:p w14:paraId="18AAC798" w14:textId="28891993" w:rsidR="009B132F" w:rsidRDefault="009B132F" w:rsidP="009B132F">
      <w:r>
        <w:t xml:space="preserve">Proportions of energy use </w:t>
      </w:r>
      <w:r w:rsidR="008D6D22">
        <w:t>and the 24-hour</w:t>
      </w:r>
      <w:r>
        <w:t xml:space="preserve"> profile</w:t>
      </w:r>
      <w:r w:rsidR="008D6D22">
        <w:t>s will be developed by review and assessment of the analysis of the CSIRO data and the Solar Analytics data.  Where suitable profiles for products or groups cannot be determined, approximate profiles and seasonal/day type proportions will be developed based on assumptions about</w:t>
      </w:r>
      <w:r w:rsidR="00685DB7">
        <w:t xml:space="preserve"> product use</w:t>
      </w:r>
      <w:r w:rsidR="008D6D22">
        <w:t>.  The source information of the profile will be indicated in the module.</w:t>
      </w:r>
    </w:p>
    <w:p w14:paraId="3324D1E6" w14:textId="17674F9A" w:rsidR="00836B7B" w:rsidRDefault="00836B7B" w:rsidP="00584F83">
      <w:r>
        <w:t xml:space="preserve">The daily proportional load profile by hour (which sums to 1.0 over 24 hour periods) would then be multiplied by this daily consumption to provide the estimated average hourly demand (kW) by hour of the day. </w:t>
      </w:r>
    </w:p>
    <w:p w14:paraId="27D9B34E" w14:textId="21D61BDA" w:rsidR="004D5F43" w:rsidRDefault="00836B7B" w:rsidP="00584F83">
      <w:r>
        <w:t>The total number of p</w:t>
      </w:r>
      <w:r w:rsidR="003A6AAB">
        <w:t>rofiles of 24 hourly demand proportions</w:t>
      </w:r>
      <w:r>
        <w:t xml:space="preserve"> </w:t>
      </w:r>
      <w:r w:rsidR="003B53AA">
        <w:t xml:space="preserve">required is </w:t>
      </w:r>
      <w:r>
        <w:t>based on the following:</w:t>
      </w:r>
    </w:p>
    <w:p w14:paraId="595469EB" w14:textId="597D4365" w:rsidR="00323CD7" w:rsidRDefault="00323CD7" w:rsidP="00323CD7">
      <w:pPr>
        <w:pStyle w:val="Bullets-Major"/>
      </w:pPr>
      <w:r>
        <w:t xml:space="preserve">Seasons x 4 (summer, winter, shoulder </w:t>
      </w:r>
      <w:r w:rsidR="00873CEB">
        <w:t>DS</w:t>
      </w:r>
      <w:r w:rsidR="001E2F54">
        <w:t xml:space="preserve">, shoulder </w:t>
      </w:r>
      <w:r w:rsidR="00873CEB">
        <w:t xml:space="preserve">NDS - </w:t>
      </w:r>
      <w:r>
        <w:t xml:space="preserve">autumn and spring are assumed to be the same). </w:t>
      </w:r>
    </w:p>
    <w:p w14:paraId="16703610" w14:textId="77777777" w:rsidR="00323CD7" w:rsidRDefault="00323CD7" w:rsidP="00323CD7">
      <w:pPr>
        <w:pStyle w:val="Bullets-Major"/>
      </w:pPr>
      <w:r>
        <w:t xml:space="preserve">Weekdays + Weekend days </w:t>
      </w:r>
    </w:p>
    <w:p w14:paraId="69D6C78C" w14:textId="77777777" w:rsidR="00323CD7" w:rsidRDefault="00323CD7" w:rsidP="00323CD7">
      <w:pPr>
        <w:pStyle w:val="Bullets-Major"/>
      </w:pPr>
      <w:r>
        <w:t xml:space="preserve">Each mode with electricity energy consumption (depending on which modes are applicable; operation 1, operation 2, auxiliary and standby)  </w:t>
      </w:r>
    </w:p>
    <w:p w14:paraId="6FB2277D" w14:textId="77777777" w:rsidR="00323CD7" w:rsidRDefault="00323CD7" w:rsidP="00323CD7">
      <w:pPr>
        <w:pStyle w:val="Bullets-Major"/>
      </w:pPr>
      <w:r>
        <w:t xml:space="preserve">For each of the Regions (9 = 8 x AU + 1 x NZ) </w:t>
      </w:r>
    </w:p>
    <w:p w14:paraId="20A1DA40" w14:textId="15AF5500" w:rsidR="00323CD7" w:rsidRDefault="00873CEB" w:rsidP="00323CD7">
      <w:r>
        <w:t>T</w:t>
      </w:r>
      <w:r w:rsidR="00323CD7">
        <w:t xml:space="preserve">he number of profiles needed to allow for variations across day types, seasons etc, </w:t>
      </w:r>
      <w:r>
        <w:t xml:space="preserve">means </w:t>
      </w:r>
      <w:r w:rsidR="00323CD7">
        <w:t>the total number of time-of</w:t>
      </w:r>
      <w:r w:rsidR="00C60295">
        <w:t>-</w:t>
      </w:r>
      <w:r w:rsidR="00323CD7">
        <w:t xml:space="preserve">use profiles needed </w:t>
      </w:r>
      <w:r>
        <w:t>by</w:t>
      </w:r>
      <w:r w:rsidR="00323CD7">
        <w:t xml:space="preserve"> the RBS </w:t>
      </w:r>
      <w:r>
        <w:t>is substantial</w:t>
      </w:r>
      <w:r w:rsidR="00323CD7">
        <w:t xml:space="preserve">. There are 120 products in the RBS and in addition some require separate profiles for different operating modes, which means that 178 </w:t>
      </w:r>
      <w:r>
        <w:t xml:space="preserve">profiles are needed just to cover the </w:t>
      </w:r>
      <w:r w:rsidR="00323CD7">
        <w:t xml:space="preserve">average </w:t>
      </w:r>
      <w:r>
        <w:t xml:space="preserve">annual </w:t>
      </w:r>
      <w:r w:rsidR="00323CD7">
        <w:t>profile</w:t>
      </w:r>
      <w:r>
        <w:t>s</w:t>
      </w:r>
      <w:r w:rsidR="00323CD7">
        <w:t xml:space="preserve"> for these products. The number </w:t>
      </w:r>
      <w:r>
        <w:t>is multiplied by 4</w:t>
      </w:r>
      <w:r w:rsidR="00323CD7">
        <w:t xml:space="preserve"> </w:t>
      </w:r>
      <w:r w:rsidR="00104468">
        <w:t xml:space="preserve">for the </w:t>
      </w:r>
      <w:r w:rsidR="00323CD7">
        <w:t xml:space="preserve">seasons, then </w:t>
      </w:r>
      <w:r>
        <w:t xml:space="preserve">multiplied by 2 for the </w:t>
      </w:r>
      <w:r w:rsidR="00323CD7">
        <w:t>day</w:t>
      </w:r>
      <w:r w:rsidR="0048796B">
        <w:t>-</w:t>
      </w:r>
      <w:r w:rsidR="00323CD7">
        <w:t xml:space="preserve">types </w:t>
      </w:r>
      <w:r w:rsidR="001E2F54">
        <w:t xml:space="preserve">and then is multiplied by </w:t>
      </w:r>
      <w:r>
        <w:t>9</w:t>
      </w:r>
      <w:r w:rsidR="001E2F54">
        <w:t xml:space="preserve"> for the </w:t>
      </w:r>
      <w:r>
        <w:t>eight</w:t>
      </w:r>
      <w:r w:rsidR="001E2F54">
        <w:t xml:space="preserve"> states</w:t>
      </w:r>
      <w:r w:rsidR="00104468">
        <w:t>/territories</w:t>
      </w:r>
      <w:r w:rsidR="001E2F54">
        <w:t xml:space="preserve"> and New Zealand. </w:t>
      </w:r>
      <w:r w:rsidR="00323CD7">
        <w:t>(</w:t>
      </w:r>
      <w:r w:rsidR="001E2F54">
        <w:t xml:space="preserve">i.e. </w:t>
      </w:r>
      <w:r w:rsidR="00323CD7">
        <w:t xml:space="preserve">178 </w:t>
      </w:r>
      <w:r w:rsidR="001E2F54">
        <w:t>x 4</w:t>
      </w:r>
      <w:r w:rsidR="00323CD7">
        <w:t xml:space="preserve"> x 2</w:t>
      </w:r>
      <w:r w:rsidR="001E2F54">
        <w:t xml:space="preserve"> x 9</w:t>
      </w:r>
      <w:r w:rsidR="00323CD7">
        <w:t xml:space="preserve"> = </w:t>
      </w:r>
      <w:r w:rsidR="001E2F54">
        <w:t>12,816</w:t>
      </w:r>
      <w:r w:rsidR="00323CD7">
        <w:t xml:space="preserve"> profiles</w:t>
      </w:r>
      <w:r w:rsidR="00104468">
        <w:t>)</w:t>
      </w:r>
      <w:r w:rsidR="00323CD7">
        <w:t>.  Many of these would be the same (for instance the refrigeration products would use the same profile, potentially for each region)</w:t>
      </w:r>
      <w:r w:rsidR="001E2F54">
        <w:t>, but the result is a large number of profiles need to be researched, generated and reconciled with total energy demand data</w:t>
      </w:r>
      <w:r w:rsidR="00323CD7">
        <w:t xml:space="preserve">. </w:t>
      </w:r>
      <w:r w:rsidR="001E2F54">
        <w:t>Each</w:t>
      </w:r>
      <w:r w:rsidR="008573F4">
        <w:t xml:space="preserve"> separate</w:t>
      </w:r>
      <w:r w:rsidR="001E2F54">
        <w:t xml:space="preserve"> product will need to have between 72 and 288 profiles developed.</w:t>
      </w:r>
    </w:p>
    <w:p w14:paraId="05A71D32" w14:textId="3EC54435" w:rsidR="0007059C" w:rsidRDefault="0007059C" w:rsidP="00836B7B">
      <w:r>
        <w:t xml:space="preserve">The demand proportions and average demand profiles will be entered into a </w:t>
      </w:r>
      <w:r w:rsidR="008573F4">
        <w:t xml:space="preserve">new, </w:t>
      </w:r>
      <w:r>
        <w:t xml:space="preserve">separate module </w:t>
      </w:r>
      <w:r w:rsidR="008573F4">
        <w:t xml:space="preserve">in the RBS model </w:t>
      </w:r>
      <w:r>
        <w:t xml:space="preserve">to reduce the computational resources </w:t>
      </w:r>
      <w:r w:rsidR="0089492F">
        <w:t>required of PCs</w:t>
      </w:r>
      <w:r w:rsidR="008573F4">
        <w:t xml:space="preserve"> running the RBS</w:t>
      </w:r>
      <w:r>
        <w:t xml:space="preserve">.  Depending on the size of this demand module, it may also contain the output values of average demand by season and day type by region (for a selected year).    </w:t>
      </w:r>
    </w:p>
    <w:p w14:paraId="46FBCDC0" w14:textId="34ED52C8" w:rsidR="003B53AA" w:rsidRDefault="003B53AA" w:rsidP="00836B7B">
      <w:r>
        <w:t xml:space="preserve">There </w:t>
      </w:r>
      <w:r w:rsidR="009B132F">
        <w:t xml:space="preserve">have been suggestions </w:t>
      </w:r>
      <w:r w:rsidR="00F847E8">
        <w:t>that t</w:t>
      </w:r>
      <w:r w:rsidR="009B132F">
        <w:t xml:space="preserve">his enhancement to the RBS </w:t>
      </w:r>
      <w:r w:rsidR="00F847E8">
        <w:t xml:space="preserve">model should use </w:t>
      </w:r>
      <w:r w:rsidR="00692A3D">
        <w:t>½ hourly resolution for the profiles</w:t>
      </w:r>
      <w:r w:rsidR="00517A11">
        <w:t>.</w:t>
      </w:r>
      <w:r w:rsidR="00692A3D">
        <w:t xml:space="preserve"> </w:t>
      </w:r>
      <w:r w:rsidR="003A1324">
        <w:t xml:space="preserve">That approach to profiles, however, will result in a doubling of the complexity of the time-of-use profiles and in power demand result outputs. This will place further computational drain on the PCs running the RBS model for minimal gain in accuracy.  </w:t>
      </w:r>
      <w:r w:rsidR="00692A3D">
        <w:t>The difference</w:t>
      </w:r>
      <w:r w:rsidR="009B132F">
        <w:t xml:space="preserve"> in accuracy</w:t>
      </w:r>
      <w:r w:rsidR="00692A3D">
        <w:t xml:space="preserve"> </w:t>
      </w:r>
      <w:r w:rsidR="00F847E8">
        <w:t>is likely to</w:t>
      </w:r>
      <w:r w:rsidR="00692A3D">
        <w:t xml:space="preserve"> be minimal based </w:t>
      </w:r>
      <w:r w:rsidR="00692A3D">
        <w:lastRenderedPageBreak/>
        <w:t>on Victorian data for total house demand</w:t>
      </w:r>
      <w:r w:rsidR="009B132F">
        <w:t xml:space="preserve">. </w:t>
      </w:r>
      <w:r w:rsidR="009B132F">
        <w:fldChar w:fldCharType="begin"/>
      </w:r>
      <w:r w:rsidR="009B132F">
        <w:instrText xml:space="preserve"> REF _Ref47544660 \h </w:instrText>
      </w:r>
      <w:r w:rsidR="009B132F">
        <w:fldChar w:fldCharType="separate"/>
      </w:r>
      <w:r w:rsidR="00FF581E">
        <w:t xml:space="preserve">Figure </w:t>
      </w:r>
      <w:r w:rsidR="00FF581E">
        <w:rPr>
          <w:noProof/>
        </w:rPr>
        <w:t>2</w:t>
      </w:r>
      <w:r w:rsidR="009B132F">
        <w:fldChar w:fldCharType="end"/>
      </w:r>
      <w:r w:rsidR="009B132F">
        <w:t xml:space="preserve"> shows</w:t>
      </w:r>
      <w:r w:rsidR="00F847E8">
        <w:t xml:space="preserve"> less than </w:t>
      </w:r>
      <w:r w:rsidR="003A4DCE">
        <w:t>8</w:t>
      </w:r>
      <w:r w:rsidR="00F847E8">
        <w:t xml:space="preserve"> % difference between the average power of the 30 min interval compared to the </w:t>
      </w:r>
      <w:r w:rsidR="009B132F">
        <w:t>1-hour</w:t>
      </w:r>
      <w:r w:rsidR="00F847E8">
        <w:t xml:space="preserve"> interval, </w:t>
      </w:r>
      <w:r w:rsidR="009B132F">
        <w:t>for a typical winter weekday</w:t>
      </w:r>
      <w:r w:rsidR="00692A3D">
        <w:t xml:space="preserve">.  </w:t>
      </w:r>
      <w:r w:rsidR="003A1324">
        <w:t xml:space="preserve">Half-hourly profiles could be included later, and if supported.  AEMO requested hourly profiles in their feedback.  </w:t>
      </w:r>
    </w:p>
    <w:p w14:paraId="4B7685EE" w14:textId="3B1744E1" w:rsidR="00597CB5" w:rsidRDefault="00597CB5" w:rsidP="00597CB5">
      <w:pPr>
        <w:pStyle w:val="Caption"/>
      </w:pPr>
      <w:bookmarkStart w:id="38" w:name="_Ref47544660"/>
      <w:r>
        <w:t xml:space="preserve">Figure </w:t>
      </w:r>
      <w:r w:rsidR="008D05D8">
        <w:fldChar w:fldCharType="begin"/>
      </w:r>
      <w:r w:rsidR="008D05D8">
        <w:instrText xml:space="preserve"> SEQ Figure \* ARABIC </w:instrText>
      </w:r>
      <w:r w:rsidR="008D05D8">
        <w:fldChar w:fldCharType="separate"/>
      </w:r>
      <w:r w:rsidR="00FF581E">
        <w:rPr>
          <w:noProof/>
        </w:rPr>
        <w:t>2</w:t>
      </w:r>
      <w:r w:rsidR="008D05D8">
        <w:fldChar w:fldCharType="end"/>
      </w:r>
      <w:bookmarkEnd w:id="38"/>
      <w:r>
        <w:t>: Average power for Victorian households, Winter.  Comparing ½ hour and one-hour average values</w:t>
      </w:r>
    </w:p>
    <w:p w14:paraId="7904F4AF" w14:textId="6AE093BD" w:rsidR="00597CB5" w:rsidRDefault="003A4DCE" w:rsidP="00597CB5">
      <w:pPr>
        <w:ind w:left="0"/>
      </w:pPr>
      <w:r w:rsidRPr="003A4DCE">
        <w:rPr>
          <w:noProof/>
          <w:lang w:eastAsia="en-AU"/>
        </w:rPr>
        <w:drawing>
          <wp:inline distT="0" distB="0" distL="0" distR="0" wp14:anchorId="159B350D" wp14:editId="44AD1493">
            <wp:extent cx="5868670" cy="3063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670" cy="3063240"/>
                    </a:xfrm>
                    <a:prstGeom prst="rect">
                      <a:avLst/>
                    </a:prstGeom>
                    <a:noFill/>
                    <a:ln>
                      <a:noFill/>
                    </a:ln>
                  </pic:spPr>
                </pic:pic>
              </a:graphicData>
            </a:graphic>
          </wp:inline>
        </w:drawing>
      </w:r>
    </w:p>
    <w:p w14:paraId="32628BD9" w14:textId="48F4DFD6" w:rsidR="00F847E8" w:rsidRDefault="00F847E8" w:rsidP="00F847E8">
      <w:pPr>
        <w:pStyle w:val="Heading2"/>
      </w:pPr>
      <w:bookmarkStart w:id="39" w:name="_Toc99115772"/>
      <w:r>
        <w:t>Enhancement 2: Weather data linkage and additional regionalisation</w:t>
      </w:r>
      <w:bookmarkEnd w:id="39"/>
    </w:p>
    <w:p w14:paraId="2316294B" w14:textId="2FE3569E" w:rsidR="00385F8A" w:rsidRDefault="00F847E8" w:rsidP="00F847E8">
      <w:r>
        <w:t>The requirement is to provide</w:t>
      </w:r>
      <w:r w:rsidRPr="00F847E8">
        <w:t xml:space="preserve"> functionality to support </w:t>
      </w:r>
      <w:r w:rsidR="009B132F">
        <w:t xml:space="preserve">analysis of </w:t>
      </w:r>
      <w:r w:rsidRPr="00F847E8">
        <w:t>weather impacts on energy use</w:t>
      </w:r>
      <w:r>
        <w:t xml:space="preserve"> </w:t>
      </w:r>
      <w:r w:rsidRPr="00F847E8">
        <w:t>in the RBS</w:t>
      </w:r>
      <w:r w:rsidR="009B132F">
        <w:t xml:space="preserve">.  It </w:t>
      </w:r>
      <w:r w:rsidRPr="00F847E8">
        <w:t xml:space="preserve">will be up to the RBS user to define the relationship between weather and energy use. The proposed weather enhancement </w:t>
      </w:r>
      <w:r w:rsidR="009B132F">
        <w:t>will</w:t>
      </w:r>
      <w:r w:rsidRPr="00F847E8">
        <w:t xml:space="preserve"> enable the input of </w:t>
      </w:r>
      <w:r w:rsidR="009B132F">
        <w:t xml:space="preserve">changes to </w:t>
      </w:r>
      <w:r w:rsidRPr="00F847E8">
        <w:t>weather data,</w:t>
      </w:r>
      <w:r>
        <w:t xml:space="preserve"> such </w:t>
      </w:r>
      <w:r w:rsidR="00C60295">
        <w:t xml:space="preserve">as </w:t>
      </w:r>
      <w:r>
        <w:t>increased or decreased cooling or heating degree days, and link this to the usage variable in the model</w:t>
      </w:r>
      <w:r w:rsidR="00385F8A">
        <w:t xml:space="preserve"> for space conditioning equipment</w:t>
      </w:r>
      <w:r>
        <w:t xml:space="preserve">.  </w:t>
      </w:r>
    </w:p>
    <w:p w14:paraId="4EBAA4B6" w14:textId="3F517EC5" w:rsidR="00385F8A" w:rsidRDefault="00385F8A" w:rsidP="00F847E8">
      <w:r>
        <w:t xml:space="preserve">The second part of this requirement is to enable the reporting of space conditioning </w:t>
      </w:r>
      <w:r w:rsidR="00620044">
        <w:t xml:space="preserve">energy and </w:t>
      </w:r>
      <w:r w:rsidR="00A1321B">
        <w:t xml:space="preserve">potentially </w:t>
      </w:r>
      <w:r w:rsidR="007F138B">
        <w:t xml:space="preserve">average </w:t>
      </w:r>
      <w:r w:rsidR="00C02E56" w:rsidRPr="0035768E">
        <w:t xml:space="preserve">power </w:t>
      </w:r>
      <w:r w:rsidR="00620044" w:rsidRPr="0035768E">
        <w:t>demand</w:t>
      </w:r>
      <w:r w:rsidR="00620044">
        <w:t xml:space="preserve"> </w:t>
      </w:r>
      <w:r>
        <w:t xml:space="preserve">outputs by </w:t>
      </w:r>
      <w:hyperlink r:id="rId32" w:history="1">
        <w:r w:rsidR="003A4DCE" w:rsidRPr="003A4DCE">
          <w:rPr>
            <w:rStyle w:val="Hyperlink"/>
          </w:rPr>
          <w:t>ABCB</w:t>
        </w:r>
      </w:hyperlink>
      <w:r>
        <w:t xml:space="preserve"> climate zone. </w:t>
      </w:r>
    </w:p>
    <w:p w14:paraId="099BBF41" w14:textId="2183EB76" w:rsidR="00F847E8" w:rsidRDefault="00385F8A" w:rsidP="00F847E8">
      <w:r>
        <w:t>For the weather data linkage, t</w:t>
      </w:r>
      <w:r w:rsidR="00F847E8">
        <w:t xml:space="preserve">he </w:t>
      </w:r>
      <w:r>
        <w:t xml:space="preserve">input adjustments will be </w:t>
      </w:r>
      <w:r w:rsidR="008E2AC4">
        <w:t xml:space="preserve">segmented into </w:t>
      </w:r>
      <w:r>
        <w:t>the following</w:t>
      </w:r>
      <w:r w:rsidR="00F847E8">
        <w:t>:</w:t>
      </w:r>
    </w:p>
    <w:p w14:paraId="3704D5AA" w14:textId="53C212BF" w:rsidR="00F847E8" w:rsidRDefault="00F847E8" w:rsidP="00F847E8">
      <w:pPr>
        <w:pStyle w:val="Bullets-Minor"/>
      </w:pPr>
      <w:r>
        <w:t xml:space="preserve">By </w:t>
      </w:r>
      <w:r w:rsidR="00603ED1">
        <w:t>region (</w:t>
      </w:r>
      <w:r>
        <w:t>state/territory</w:t>
      </w:r>
      <w:r w:rsidR="00603ED1">
        <w:t>)</w:t>
      </w:r>
    </w:p>
    <w:p w14:paraId="4F85A550" w14:textId="1948B6E5" w:rsidR="00F847E8" w:rsidRDefault="00F847E8" w:rsidP="00F847E8">
      <w:pPr>
        <w:pStyle w:val="Bullets-Minor"/>
      </w:pPr>
      <w:r>
        <w:t xml:space="preserve">By </w:t>
      </w:r>
      <w:r w:rsidR="007F138B">
        <w:t>space conditioning</w:t>
      </w:r>
      <w:r>
        <w:t xml:space="preserve"> category and group (although </w:t>
      </w:r>
      <w:r w:rsidR="007F138B">
        <w:t xml:space="preserve">it </w:t>
      </w:r>
      <w:r>
        <w:t xml:space="preserve">will be possible to input </w:t>
      </w:r>
      <w:r w:rsidR="00385F8A">
        <w:t>adjustments</w:t>
      </w:r>
      <w:r>
        <w:t xml:space="preserve"> at the product level, the group is the most likely lowest resolution)</w:t>
      </w:r>
    </w:p>
    <w:p w14:paraId="5523BDA3" w14:textId="1ADE6C57" w:rsidR="00F847E8" w:rsidRDefault="00F847E8" w:rsidP="00F847E8">
      <w:pPr>
        <w:pStyle w:val="Bullets-Minor"/>
      </w:pPr>
      <w:r>
        <w:t>By mode (Operation 1</w:t>
      </w:r>
      <w:r w:rsidR="0085068D">
        <w:t xml:space="preserve"> </w:t>
      </w:r>
      <w:r w:rsidR="00BF7227">
        <w:t>–</w:t>
      </w:r>
      <w:r w:rsidR="0085068D">
        <w:t xml:space="preserve"> heating</w:t>
      </w:r>
      <w:r>
        <w:t>, Operation 2</w:t>
      </w:r>
      <w:r w:rsidR="0085068D">
        <w:t xml:space="preserve"> </w:t>
      </w:r>
      <w:r w:rsidR="00BF7227">
        <w:t>–</w:t>
      </w:r>
      <w:r w:rsidR="0085068D">
        <w:t xml:space="preserve"> cooling</w:t>
      </w:r>
      <w:r w:rsidR="00BF7227">
        <w:t xml:space="preserve"> and </w:t>
      </w:r>
      <w:r>
        <w:t>Aux)</w:t>
      </w:r>
    </w:p>
    <w:p w14:paraId="1728D04D" w14:textId="4209C8AE" w:rsidR="008E2AC4" w:rsidRDefault="008E2AC4" w:rsidP="00F847E8">
      <w:pPr>
        <w:pStyle w:val="Bullets-Minor"/>
      </w:pPr>
      <w:r>
        <w:t>By year (starting and ending year</w:t>
      </w:r>
      <w:r w:rsidR="00C02E56">
        <w:t xml:space="preserve"> of change</w:t>
      </w:r>
      <w:r>
        <w:t>)</w:t>
      </w:r>
    </w:p>
    <w:p w14:paraId="3E2C6139" w14:textId="77777777" w:rsidR="00F847E8" w:rsidRDefault="00F847E8" w:rsidP="00F847E8">
      <w:pPr>
        <w:pStyle w:val="Heading3"/>
      </w:pPr>
      <w:r>
        <w:lastRenderedPageBreak/>
        <w:t>Data sources and research</w:t>
      </w:r>
    </w:p>
    <w:p w14:paraId="479AAF55" w14:textId="538977D8" w:rsidR="00F847E8" w:rsidRDefault="007F138B" w:rsidP="00F847E8">
      <w:r>
        <w:t xml:space="preserve">As noted earlier, there is not sufficient research and data available to develop the relationship between weather and the adjustment to usage for the space conditioning </w:t>
      </w:r>
      <w:r w:rsidR="00C02E56">
        <w:t xml:space="preserve">for every region.  This research will be undertaken by the RBS user, who will input the relationship that drives the changes to usage.  </w:t>
      </w:r>
      <w:r w:rsidR="00F847E8">
        <w:t>The key data source</w:t>
      </w:r>
      <w:r w:rsidR="00E6318D">
        <w:t>s</w:t>
      </w:r>
      <w:r w:rsidR="00F847E8">
        <w:t xml:space="preserve"> to support the development of </w:t>
      </w:r>
      <w:r w:rsidR="00E6318D">
        <w:t xml:space="preserve">RBS outputs by climate zone </w:t>
      </w:r>
      <w:r w:rsidR="00F847E8">
        <w:t>are as follows:</w:t>
      </w:r>
    </w:p>
    <w:p w14:paraId="144531BD" w14:textId="1234C98E" w:rsidR="00F847E8" w:rsidRDefault="000C3710" w:rsidP="00F847E8">
      <w:pPr>
        <w:pStyle w:val="Bullets-Minor"/>
      </w:pPr>
      <w:hyperlink r:id="rId33" w:history="1">
        <w:r w:rsidR="00E6318D" w:rsidRPr="00E6318D">
          <w:rPr>
            <w:rStyle w:val="Hyperlink"/>
          </w:rPr>
          <w:t>Australian Building Codes Board Climate Zone Map</w:t>
        </w:r>
      </w:hyperlink>
      <w:r w:rsidR="00E6318D">
        <w:t xml:space="preserve"> and </w:t>
      </w:r>
      <w:hyperlink r:id="rId34" w:history="1">
        <w:r w:rsidR="00E6318D" w:rsidRPr="00E6318D">
          <w:rPr>
            <w:rStyle w:val="Hyperlink"/>
          </w:rPr>
          <w:t>NatHERS Climate Zone Postcodes</w:t>
        </w:r>
      </w:hyperlink>
    </w:p>
    <w:p w14:paraId="3D91DBAE" w14:textId="0E24FC9E" w:rsidR="00F847E8" w:rsidRDefault="00E6318D" w:rsidP="00F847E8">
      <w:pPr>
        <w:pStyle w:val="Bullets-Minor"/>
      </w:pPr>
      <w:r>
        <w:t>ABS Census of Population and Housing 2016 (</w:t>
      </w:r>
      <w:hyperlink r:id="rId35" w:history="1">
        <w:r w:rsidRPr="00E6318D">
          <w:rPr>
            <w:rStyle w:val="Hyperlink"/>
          </w:rPr>
          <w:t>Census TableBuilder</w:t>
        </w:r>
      </w:hyperlink>
      <w:r>
        <w:t>)</w:t>
      </w:r>
    </w:p>
    <w:p w14:paraId="6BFE0613" w14:textId="3BFBFD6F" w:rsidR="00E6318D" w:rsidRDefault="000C3710" w:rsidP="00F847E8">
      <w:pPr>
        <w:pStyle w:val="Bullets-Minor"/>
      </w:pPr>
      <w:hyperlink r:id="rId36" w:history="1">
        <w:r w:rsidR="00E6318D" w:rsidRPr="00E6318D">
          <w:rPr>
            <w:rStyle w:val="Hyperlink"/>
          </w:rPr>
          <w:t xml:space="preserve">ABS </w:t>
        </w:r>
        <w:r w:rsidR="00211A88">
          <w:rPr>
            <w:rStyle w:val="Hyperlink"/>
          </w:rPr>
          <w:t xml:space="preserve">3222.0 </w:t>
        </w:r>
        <w:r w:rsidR="00E6318D" w:rsidRPr="00E6318D">
          <w:rPr>
            <w:rStyle w:val="Hyperlink"/>
          </w:rPr>
          <w:t>Population projections, Australia, 2017</w:t>
        </w:r>
      </w:hyperlink>
    </w:p>
    <w:p w14:paraId="1FA568A5" w14:textId="4D366277" w:rsidR="00F847E8" w:rsidRDefault="000C3710" w:rsidP="00F847E8">
      <w:pPr>
        <w:pStyle w:val="Bullets-Minor"/>
      </w:pPr>
      <w:hyperlink r:id="rId37" w:history="1">
        <w:r w:rsidR="00211A88" w:rsidRPr="00211A88">
          <w:rPr>
            <w:rStyle w:val="Hyperlink"/>
          </w:rPr>
          <w:t xml:space="preserve">ABS </w:t>
        </w:r>
        <w:r w:rsidR="00211A88">
          <w:rPr>
            <w:rStyle w:val="Hyperlink"/>
          </w:rPr>
          <w:t xml:space="preserve">4671.0 </w:t>
        </w:r>
        <w:r w:rsidR="00211A88" w:rsidRPr="00211A88">
          <w:rPr>
            <w:rStyle w:val="Hyperlink"/>
          </w:rPr>
          <w:t>Household Energy Consumption Survey, 2012</w:t>
        </w:r>
      </w:hyperlink>
    </w:p>
    <w:p w14:paraId="27AC51E4" w14:textId="257177C3" w:rsidR="00F847E8" w:rsidRDefault="0085068D" w:rsidP="00F847E8">
      <w:r>
        <w:t xml:space="preserve">The </w:t>
      </w:r>
      <w:r w:rsidR="00211A88">
        <w:t>ABS 4671 data will be analysed to derive usage by climate zone.  Similar data for NZ will be sought.</w:t>
      </w:r>
      <w:r w:rsidR="00F847E8">
        <w:t xml:space="preserve"> </w:t>
      </w:r>
    </w:p>
    <w:p w14:paraId="41D4AB56" w14:textId="77777777" w:rsidR="00F847E8" w:rsidRDefault="00F847E8" w:rsidP="00F847E8">
      <w:pPr>
        <w:pStyle w:val="Heading3"/>
      </w:pPr>
      <w:r>
        <w:t>Methodology Approach</w:t>
      </w:r>
    </w:p>
    <w:p w14:paraId="1F51295B" w14:textId="2394A5FC" w:rsidR="00597CB5" w:rsidRDefault="0085068D" w:rsidP="0085068D">
      <w:r>
        <w:t xml:space="preserve">The RBS Space Conditioning module will be modified to specifically include a weather data linkage input sheet, which will enable the user to enter </w:t>
      </w:r>
      <w:r w:rsidR="00603ED1">
        <w:t>a</w:t>
      </w:r>
      <w:r>
        <w:t xml:space="preserve"> Usage </w:t>
      </w:r>
      <w:r w:rsidR="00603ED1">
        <w:t>Adjustment</w:t>
      </w:r>
      <w:r>
        <w:t xml:space="preserve"> Factor (</w:t>
      </w:r>
      <w:r w:rsidR="009C4522">
        <w:t xml:space="preserve">called </w:t>
      </w:r>
      <w:r>
        <w:t>UAF</w:t>
      </w:r>
      <w:r w:rsidR="009C4522">
        <w:t>3</w:t>
      </w:r>
      <w:r>
        <w:t>) for each product’s usage.  This</w:t>
      </w:r>
      <w:r w:rsidR="009C4522">
        <w:t xml:space="preserve"> UAF is a factor (which increases or decreased the amount of usage of a product) and</w:t>
      </w:r>
      <w:r>
        <w:t xml:space="preserve"> will be applied separately to the</w:t>
      </w:r>
      <w:r w:rsidR="00603ED1">
        <w:t xml:space="preserve"> AEC calculation for each </w:t>
      </w:r>
      <w:r>
        <w:t xml:space="preserve">mode of each product </w:t>
      </w:r>
      <w:r w:rsidR="00603ED1">
        <w:t>by region.</w:t>
      </w:r>
    </w:p>
    <w:p w14:paraId="008F2391" w14:textId="1B430E20" w:rsidR="00603ED1" w:rsidRDefault="00603ED1" w:rsidP="0085068D">
      <w:r>
        <w:t xml:space="preserve">The </w:t>
      </w:r>
      <w:r w:rsidR="00BF7227">
        <w:t xml:space="preserve">proposed </w:t>
      </w:r>
      <w:r>
        <w:t>formula</w:t>
      </w:r>
      <w:r w:rsidR="006A54E1">
        <w:t xml:space="preserve"> (simplified</w:t>
      </w:r>
      <w:r w:rsidR="00BF7227">
        <w:t xml:space="preserve"> by removing year</w:t>
      </w:r>
      <w:r w:rsidR="006A54E1">
        <w:t>)</w:t>
      </w:r>
      <w:r>
        <w:t xml:space="preserve"> </w:t>
      </w:r>
      <w:r w:rsidR="00BF7227">
        <w:t xml:space="preserve">will </w:t>
      </w:r>
      <w:r>
        <w:t>operate as follows</w:t>
      </w:r>
      <w:r w:rsidR="00C60295">
        <w:t>:</w:t>
      </w:r>
    </w:p>
    <w:p w14:paraId="6B896E8E" w14:textId="1F09DA51" w:rsidR="00603ED1" w:rsidRDefault="006A54E1" w:rsidP="0085068D">
      <m:oMathPara>
        <m:oMath>
          <m:r>
            <w:rPr>
              <w:rFonts w:ascii="Cambria Math" w:hAnsi="Cambria Math"/>
            </w:rPr>
            <m:t xml:space="preserve">AEC=UEC x Stock x Usage x UAF1 x UAF2 x </m:t>
          </m:r>
          <m:r>
            <m:rPr>
              <m:sty m:val="bi"/>
            </m:rPr>
            <w:rPr>
              <w:rFonts w:ascii="Cambria Math" w:hAnsi="Cambria Math"/>
            </w:rPr>
            <m:t>UAF</m:t>
          </m:r>
          <m:r>
            <m:rPr>
              <m:sty m:val="bi"/>
            </m:rPr>
            <w:rPr>
              <w:rFonts w:ascii="Cambria Math" w:hAnsi="Cambria Math"/>
            </w:rPr>
            <m:t>3</m:t>
          </m:r>
        </m:oMath>
      </m:oMathPara>
    </w:p>
    <w:p w14:paraId="5AC1CBA4" w14:textId="5BC513D5" w:rsidR="0085068D" w:rsidRDefault="006A54E1" w:rsidP="0085068D">
      <w:r>
        <w:t xml:space="preserve">Where </w:t>
      </w:r>
    </w:p>
    <w:p w14:paraId="3296B74F" w14:textId="3D476501" w:rsidR="006A54E1" w:rsidRDefault="006A54E1" w:rsidP="00BF7227">
      <w:pPr>
        <w:spacing w:before="0" w:after="0"/>
        <w:ind w:left="1440"/>
      </w:pPr>
      <w:r w:rsidRPr="00BF7227">
        <w:rPr>
          <w:i/>
          <w:iCs/>
        </w:rPr>
        <w:t>AEC</w:t>
      </w:r>
      <w:r>
        <w:t xml:space="preserve"> is the annual energy consumption</w:t>
      </w:r>
      <w:r w:rsidR="00BF7227">
        <w:t xml:space="preserve"> in year </w:t>
      </w:r>
      <w:r w:rsidR="00BF7227" w:rsidRPr="00BF7227">
        <w:rPr>
          <w:i/>
          <w:iCs/>
        </w:rPr>
        <w:t>y</w:t>
      </w:r>
    </w:p>
    <w:p w14:paraId="321A4BC7" w14:textId="3E815678" w:rsidR="006A54E1" w:rsidRDefault="006A54E1" w:rsidP="00BF7227">
      <w:pPr>
        <w:spacing w:before="0" w:after="0"/>
        <w:ind w:left="1440"/>
      </w:pPr>
      <w:r w:rsidRPr="00BF7227">
        <w:rPr>
          <w:i/>
          <w:iCs/>
        </w:rPr>
        <w:t>UEC</w:t>
      </w:r>
      <w:r>
        <w:t xml:space="preserve"> is the unit energy consumption for each product in year </w:t>
      </w:r>
      <w:r w:rsidRPr="00BF7227">
        <w:rPr>
          <w:i/>
          <w:iCs/>
        </w:rPr>
        <w:t>y</w:t>
      </w:r>
    </w:p>
    <w:p w14:paraId="76770375" w14:textId="33E0B443" w:rsidR="006A54E1" w:rsidRDefault="006A54E1" w:rsidP="00BF7227">
      <w:pPr>
        <w:spacing w:before="0" w:after="0"/>
        <w:ind w:left="1440"/>
      </w:pPr>
      <w:r>
        <w:t xml:space="preserve">Stock is the cohort of products operating in year </w:t>
      </w:r>
      <w:r w:rsidRPr="00BF7227">
        <w:rPr>
          <w:i/>
          <w:iCs/>
        </w:rPr>
        <w:t>y</w:t>
      </w:r>
    </w:p>
    <w:p w14:paraId="71E1BCD8" w14:textId="72A16F10" w:rsidR="006A54E1" w:rsidRDefault="006A54E1" w:rsidP="00BF7227">
      <w:pPr>
        <w:spacing w:before="0" w:after="0"/>
        <w:ind w:left="1440"/>
      </w:pPr>
      <w:r w:rsidRPr="00BF7227">
        <w:rPr>
          <w:i/>
          <w:iCs/>
        </w:rPr>
        <w:t>UAF1</w:t>
      </w:r>
      <w:r>
        <w:t xml:space="preserve"> is the usage </w:t>
      </w:r>
      <w:r w:rsidR="004F765C">
        <w:t xml:space="preserve">adjustment </w:t>
      </w:r>
      <w:r>
        <w:t>factor related to occupancy</w:t>
      </w:r>
      <w:r w:rsidR="00BF7227">
        <w:t xml:space="preserve"> </w:t>
      </w:r>
    </w:p>
    <w:p w14:paraId="1E1AB4AD" w14:textId="7DC95959" w:rsidR="006A54E1" w:rsidRPr="00BF7227" w:rsidRDefault="006A54E1" w:rsidP="00BF7227">
      <w:pPr>
        <w:spacing w:before="0" w:after="0"/>
        <w:ind w:left="1440"/>
        <w:rPr>
          <w:i/>
          <w:iCs/>
        </w:rPr>
      </w:pPr>
      <w:r w:rsidRPr="00BF7227">
        <w:rPr>
          <w:i/>
          <w:iCs/>
        </w:rPr>
        <w:t>UAF2</w:t>
      </w:r>
      <w:r>
        <w:t xml:space="preserve"> is the usage adjustment factor related to thermal performance of the dwelling stock</w:t>
      </w:r>
      <w:r w:rsidR="00BF7227">
        <w:t xml:space="preserve"> in year y</w:t>
      </w:r>
    </w:p>
    <w:p w14:paraId="1E1D8289" w14:textId="15740B0E" w:rsidR="006A54E1" w:rsidRDefault="006A54E1" w:rsidP="00BF7227">
      <w:pPr>
        <w:spacing w:before="0" w:after="0"/>
        <w:ind w:left="1440"/>
      </w:pPr>
      <w:r w:rsidRPr="00BF7227">
        <w:rPr>
          <w:i/>
          <w:iCs/>
        </w:rPr>
        <w:t>UAF3</w:t>
      </w:r>
      <w:r>
        <w:t xml:space="preserve"> is the </w:t>
      </w:r>
      <w:r w:rsidR="00BF7227">
        <w:t xml:space="preserve">new </w:t>
      </w:r>
      <w:r>
        <w:t>usage adjustment factor related to weather</w:t>
      </w:r>
      <w:r w:rsidR="00BF7227">
        <w:t xml:space="preserve"> in year </w:t>
      </w:r>
      <w:r w:rsidR="00BF7227" w:rsidRPr="00BF7227">
        <w:rPr>
          <w:i/>
          <w:iCs/>
        </w:rPr>
        <w:t>y</w:t>
      </w:r>
      <w:r>
        <w:t xml:space="preserve"> </w:t>
      </w:r>
    </w:p>
    <w:p w14:paraId="2BB2399B" w14:textId="279C9ED9" w:rsidR="0085068D" w:rsidRDefault="006A54E1" w:rsidP="0085068D">
      <w:r>
        <w:t xml:space="preserve">And </w:t>
      </w:r>
    </w:p>
    <w:p w14:paraId="3E86BB75" w14:textId="7320FB6D" w:rsidR="006A54E1" w:rsidRDefault="006A54E1" w:rsidP="00BF7227">
      <w:pPr>
        <w:ind w:left="1440"/>
      </w:pPr>
      <w:r>
        <w:t xml:space="preserve">UAF3 </w:t>
      </w:r>
      <w:r w:rsidR="00BF7227">
        <w:t xml:space="preserve">will default to 1.0 if this function is not used in the model.  A default function will enable a percentage change in UAF3 from year (start) to year (finish) with a linear change between these years.  The user can change this relationship depending on the outcome of their research.  </w:t>
      </w:r>
    </w:p>
    <w:p w14:paraId="0476C8F6" w14:textId="530269C4" w:rsidR="0085068D" w:rsidRDefault="00BF7227" w:rsidP="0085068D">
      <w:r>
        <w:t>The proposed function will ignore the decrease/increase in standby energy due to the increased</w:t>
      </w:r>
      <w:r w:rsidR="004F765C">
        <w:t>/</w:t>
      </w:r>
      <w:r>
        <w:t>de</w:t>
      </w:r>
      <w:r w:rsidR="004F765C">
        <w:t xml:space="preserve">crease usage of the product to reduce the number of inputs. </w:t>
      </w:r>
      <w:r>
        <w:t xml:space="preserve"> </w:t>
      </w:r>
    </w:p>
    <w:p w14:paraId="6586A03F" w14:textId="025C9049" w:rsidR="004F765C" w:rsidRDefault="004F765C" w:rsidP="004F765C">
      <w:r>
        <w:t>To create output energy use and typical power demand by climate zone, the following modifications will be made to the model</w:t>
      </w:r>
      <w:r w:rsidR="00C92F47">
        <w:t>:</w:t>
      </w:r>
    </w:p>
    <w:p w14:paraId="1255DD79" w14:textId="0BFCEE43" w:rsidR="00597CB5" w:rsidRDefault="004F765C" w:rsidP="00211A88">
      <w:pPr>
        <w:pStyle w:val="Bullets-Minor"/>
      </w:pPr>
      <w:r>
        <w:lastRenderedPageBreak/>
        <w:t>Space condition</w:t>
      </w:r>
      <w:r w:rsidR="0090630A">
        <w:t>ing</w:t>
      </w:r>
      <w:r>
        <w:t xml:space="preserve"> module outputs in the Aggregator module</w:t>
      </w:r>
      <w:r w:rsidR="00DA71F7">
        <w:rPr>
          <w:rStyle w:val="FootnoteReference"/>
        </w:rPr>
        <w:footnoteReference w:id="7"/>
      </w:r>
      <w:r>
        <w:t xml:space="preserve"> will be proportioned </w:t>
      </w:r>
      <w:r w:rsidR="00211A88">
        <w:t>according to the following:</w:t>
      </w:r>
    </w:p>
    <w:p w14:paraId="6FD03A80" w14:textId="5188F1DD" w:rsidR="00211A88" w:rsidRDefault="00211A88" w:rsidP="004F765C">
      <w:pPr>
        <w:pStyle w:val="Bullets-Major"/>
      </w:pPr>
      <w:r>
        <w:t>Household numbers in each climate zone by state/territory (or NZ)</w:t>
      </w:r>
    </w:p>
    <w:p w14:paraId="646C7F48" w14:textId="6437DDCA" w:rsidR="00211A88" w:rsidRDefault="00211A88" w:rsidP="004F765C">
      <w:pPr>
        <w:pStyle w:val="Bullets-Major"/>
      </w:pPr>
      <w:r>
        <w:t>Usage by climate zone (from ABS 4671 or similar in NZ)</w:t>
      </w:r>
    </w:p>
    <w:p w14:paraId="07A40FE1" w14:textId="05B49548" w:rsidR="00A1321B" w:rsidRDefault="00A1321B" w:rsidP="00A1321B">
      <w:pPr>
        <w:pStyle w:val="Bullets-Minor"/>
      </w:pPr>
      <w:r>
        <w:t xml:space="preserve">Outputs will be summed to obtain energy consumption by climate zone </w:t>
      </w:r>
    </w:p>
    <w:p w14:paraId="4E448631" w14:textId="3F4EBECF" w:rsidR="00211A88" w:rsidRDefault="00A1321B" w:rsidP="00A1321B">
      <w:r>
        <w:t>The proportioning of power demand by climate zone will be investigated during the development of enhancement one (power demand by time).  This may require the development of separate load profiles, which would need to be supported by data that is not yet available. It would also increase the number of profiles</w:t>
      </w:r>
      <w:r w:rsidR="005B3F76">
        <w:t xml:space="preserve"> and inputs by </w:t>
      </w:r>
      <w:r>
        <w:t>season/day types</w:t>
      </w:r>
      <w:r w:rsidR="005B3F76">
        <w:t xml:space="preserve">.  A simplification may be possible that will reduce the research </w:t>
      </w:r>
      <w:r w:rsidR="00F44EE7">
        <w:t>required</w:t>
      </w:r>
      <w:r w:rsidR="005B3F76">
        <w:t xml:space="preserve"> and complexity</w:t>
      </w:r>
      <w:r w:rsidR="00F44EE7">
        <w:t>, such as assigning state/territory load profile inputs to specific climate zones</w:t>
      </w:r>
      <w:r w:rsidR="005B3F76">
        <w:t>.</w:t>
      </w:r>
    </w:p>
    <w:p w14:paraId="453E0DBE" w14:textId="4D1CFA0E" w:rsidR="00F44EE7" w:rsidRDefault="00F44EE7" w:rsidP="00F44EE7">
      <w:pPr>
        <w:pStyle w:val="Heading2"/>
      </w:pPr>
      <w:bookmarkStart w:id="40" w:name="_Toc99115773"/>
      <w:r>
        <w:t>Enhancement 3: Policy Scenario Testing</w:t>
      </w:r>
      <w:bookmarkEnd w:id="40"/>
    </w:p>
    <w:p w14:paraId="627C246F" w14:textId="578916FD" w:rsidR="00716F8A" w:rsidRDefault="00F44EE7" w:rsidP="00F44EE7">
      <w:r>
        <w:t>The requirement is to provide</w:t>
      </w:r>
      <w:r w:rsidRPr="00F847E8">
        <w:t xml:space="preserve"> functionality to support </w:t>
      </w:r>
      <w:r>
        <w:t>policy analysis within</w:t>
      </w:r>
      <w:r w:rsidRPr="00F847E8">
        <w:t xml:space="preserve"> the RBS</w:t>
      </w:r>
      <w:r w:rsidR="00716F8A">
        <w:t xml:space="preserve">, such as changes to the average efficiency of products due to increase/decrease of higher efficiency products. </w:t>
      </w:r>
      <w:r>
        <w:t xml:space="preserve"> It </w:t>
      </w:r>
      <w:r w:rsidRPr="00F847E8">
        <w:t xml:space="preserve">will be up to the RBS user to define the relationship between </w:t>
      </w:r>
      <w:r w:rsidR="00716F8A">
        <w:t xml:space="preserve">the policy initiative and what changes will be made to the various input variables.  </w:t>
      </w:r>
      <w:r w:rsidRPr="00F847E8">
        <w:t xml:space="preserve">The proposed </w:t>
      </w:r>
      <w:r w:rsidR="00716F8A">
        <w:t>policy scenario</w:t>
      </w:r>
      <w:r w:rsidRPr="00F847E8">
        <w:t xml:space="preserve"> enhancement </w:t>
      </w:r>
      <w:r>
        <w:t>will</w:t>
      </w:r>
      <w:r w:rsidRPr="00F847E8">
        <w:t xml:space="preserve"> enable the input of </w:t>
      </w:r>
      <w:r>
        <w:t xml:space="preserve">changes to </w:t>
      </w:r>
      <w:r w:rsidR="00716F8A">
        <w:t>the following variables</w:t>
      </w:r>
      <w:r w:rsidR="00B50816">
        <w:t xml:space="preserve">, </w:t>
      </w:r>
      <w:r w:rsidR="00144B82">
        <w:t>and potentially</w:t>
      </w:r>
      <w:r w:rsidR="00B50816">
        <w:t xml:space="preserve"> related policy initiatives</w:t>
      </w:r>
      <w:r w:rsidR="00716F8A">
        <w:t>:</w:t>
      </w:r>
    </w:p>
    <w:p w14:paraId="546EDBBC" w14:textId="72AEEECF" w:rsidR="00716F8A" w:rsidRDefault="00B50816" w:rsidP="00716F8A">
      <w:pPr>
        <w:pStyle w:val="Bullets-Minor"/>
      </w:pPr>
      <w:r>
        <w:t>Sales weighted efficiency of products installed by year</w:t>
      </w:r>
    </w:p>
    <w:p w14:paraId="0EE9CF33" w14:textId="4AD89583" w:rsidR="00B50816" w:rsidRDefault="00B50816" w:rsidP="00B50816">
      <w:pPr>
        <w:pStyle w:val="Bullets-Major"/>
      </w:pPr>
      <w:r>
        <w:t>MEPS, energy rating labels, energy efficiency certificate schemes</w:t>
      </w:r>
    </w:p>
    <w:p w14:paraId="2A562A78" w14:textId="48B9A95A" w:rsidR="00B50816" w:rsidRDefault="00EB3667" w:rsidP="00716F8A">
      <w:pPr>
        <w:pStyle w:val="Bullets-Minor"/>
      </w:pPr>
      <w:r>
        <w:t>S</w:t>
      </w:r>
      <w:r w:rsidR="00B50816">
        <w:t>ales/installation of products by year</w:t>
      </w:r>
    </w:p>
    <w:p w14:paraId="6532CA2F" w14:textId="77777777" w:rsidR="00B50816" w:rsidRDefault="00B50816" w:rsidP="00B50816">
      <w:pPr>
        <w:pStyle w:val="Bullets-Major"/>
      </w:pPr>
      <w:r>
        <w:t>MEPS, energy rating labels, energy efficiency certificate schemes</w:t>
      </w:r>
    </w:p>
    <w:p w14:paraId="24BEAA28" w14:textId="25373D3D" w:rsidR="00B50816" w:rsidRDefault="00B50816" w:rsidP="00B50816">
      <w:pPr>
        <w:pStyle w:val="Bullets-Major"/>
      </w:pPr>
      <w:r>
        <w:t xml:space="preserve">Fuel switching policy interventions (building codes, incentives) </w:t>
      </w:r>
    </w:p>
    <w:p w14:paraId="339F288C" w14:textId="3C679CDD" w:rsidR="00144B82" w:rsidRDefault="00EB3667" w:rsidP="00144B82">
      <w:pPr>
        <w:pStyle w:val="Bullets-Minor"/>
      </w:pPr>
      <w:r>
        <w:t>Average</w:t>
      </w:r>
      <w:r w:rsidR="00144B82">
        <w:t xml:space="preserve"> </w:t>
      </w:r>
      <w:r w:rsidR="0048796B">
        <w:t xml:space="preserve">stock weighted </w:t>
      </w:r>
      <w:r w:rsidR="00144B82">
        <w:t xml:space="preserve">building shell thermal efficiency </w:t>
      </w:r>
      <w:r w:rsidR="00683750">
        <w:t xml:space="preserve">of </w:t>
      </w:r>
      <w:r w:rsidR="0048796B">
        <w:t>all</w:t>
      </w:r>
      <w:r w:rsidR="00683750">
        <w:t xml:space="preserve"> buildings</w:t>
      </w:r>
    </w:p>
    <w:p w14:paraId="7E5526E2" w14:textId="73D7809E" w:rsidR="00144B82" w:rsidRDefault="00144B82" w:rsidP="00144B82">
      <w:pPr>
        <w:pStyle w:val="Bullets-Major"/>
      </w:pPr>
      <w:r>
        <w:t>Building codes</w:t>
      </w:r>
    </w:p>
    <w:p w14:paraId="078B89E7" w14:textId="04671404" w:rsidR="00F44EE7" w:rsidRDefault="00144B82" w:rsidP="00F44EE7">
      <w:r>
        <w:t xml:space="preserve">The inputs </w:t>
      </w:r>
      <w:r w:rsidR="00345F35">
        <w:t xml:space="preserve">affecting the products will </w:t>
      </w:r>
      <w:r>
        <w:t xml:space="preserve">be </w:t>
      </w:r>
      <w:r w:rsidR="00345F35">
        <w:t xml:space="preserve">specified for the </w:t>
      </w:r>
      <w:r w:rsidR="00F44EE7">
        <w:t>following:</w:t>
      </w:r>
    </w:p>
    <w:p w14:paraId="6A6098E0" w14:textId="77777777" w:rsidR="00345F35" w:rsidRDefault="00345F35" w:rsidP="00345F35">
      <w:pPr>
        <w:pStyle w:val="Bullets-Minor"/>
      </w:pPr>
      <w:r>
        <w:t>By product</w:t>
      </w:r>
    </w:p>
    <w:p w14:paraId="0F362023" w14:textId="2F4BAFAB" w:rsidR="00F44EE7" w:rsidRDefault="00F44EE7" w:rsidP="00F44EE7">
      <w:pPr>
        <w:pStyle w:val="Bullets-Minor"/>
      </w:pPr>
      <w:r>
        <w:t xml:space="preserve">By </w:t>
      </w:r>
      <w:r w:rsidR="00345F35">
        <w:t xml:space="preserve">specific </w:t>
      </w:r>
      <w:r>
        <w:t>region</w:t>
      </w:r>
      <w:r w:rsidR="00345F35">
        <w:t>(s)</w:t>
      </w:r>
      <w:r>
        <w:t xml:space="preserve"> (state/territory)</w:t>
      </w:r>
      <w:r w:rsidR="00345F35">
        <w:t xml:space="preserve"> or whole country (default)</w:t>
      </w:r>
    </w:p>
    <w:p w14:paraId="63F178F5" w14:textId="41324AC8" w:rsidR="00F44EE7" w:rsidRDefault="00F44EE7" w:rsidP="00F44EE7">
      <w:pPr>
        <w:pStyle w:val="Bullets-Minor"/>
      </w:pPr>
      <w:r>
        <w:t>By mode (Operation 1, Operation 2</w:t>
      </w:r>
      <w:r w:rsidR="00345F35">
        <w:t xml:space="preserve">, </w:t>
      </w:r>
      <w:r>
        <w:t>Aux</w:t>
      </w:r>
      <w:r w:rsidR="00345F35">
        <w:t xml:space="preserve"> and standby)</w:t>
      </w:r>
    </w:p>
    <w:p w14:paraId="41BA4DEF" w14:textId="655EE972" w:rsidR="00F44EE7" w:rsidRDefault="00F44EE7" w:rsidP="00F44EE7">
      <w:pPr>
        <w:pStyle w:val="Bullets-Minor"/>
      </w:pPr>
      <w:r>
        <w:t>By year (starting and ending year of change)</w:t>
      </w:r>
    </w:p>
    <w:p w14:paraId="6280BC68" w14:textId="72CEB99A" w:rsidR="00345F35" w:rsidRDefault="00345F35" w:rsidP="00345F35">
      <w:r>
        <w:t>For building shell thermal efficiency, the inputs will be specified by region(s) (state/territory) and year</w:t>
      </w:r>
      <w:r w:rsidR="003A4DCE">
        <w:t>, and input as stock-weighted average NatHERs star ratings.</w:t>
      </w:r>
    </w:p>
    <w:p w14:paraId="234C9820" w14:textId="77777777" w:rsidR="00F44EE7" w:rsidRDefault="00F44EE7" w:rsidP="00F44EE7">
      <w:pPr>
        <w:pStyle w:val="Heading3"/>
      </w:pPr>
      <w:r>
        <w:lastRenderedPageBreak/>
        <w:t>Data sources and research</w:t>
      </w:r>
    </w:p>
    <w:p w14:paraId="581F8C0F" w14:textId="5A6F3D21" w:rsidR="00F44EE7" w:rsidRDefault="00345F35" w:rsidP="00F44EE7">
      <w:r>
        <w:t>No data sources are required for this enhancement</w:t>
      </w:r>
      <w:r w:rsidR="00F44EE7">
        <w:t xml:space="preserve">. </w:t>
      </w:r>
    </w:p>
    <w:p w14:paraId="4D4D0A31" w14:textId="77777777" w:rsidR="00F44EE7" w:rsidRDefault="00F44EE7" w:rsidP="00F44EE7">
      <w:pPr>
        <w:pStyle w:val="Heading3"/>
      </w:pPr>
      <w:r>
        <w:t>Methodology Approach</w:t>
      </w:r>
    </w:p>
    <w:p w14:paraId="1F3B5819" w14:textId="3417E53C" w:rsidR="00345F35" w:rsidRDefault="00345F35" w:rsidP="00F44EE7">
      <w:r>
        <w:t xml:space="preserve">The </w:t>
      </w:r>
      <w:r w:rsidR="00C92F47">
        <w:t xml:space="preserve">principal </w:t>
      </w:r>
      <w:r>
        <w:t xml:space="preserve">changes that will be made to the RBS are </w:t>
      </w:r>
      <w:r w:rsidR="002438E5">
        <w:t xml:space="preserve">algorithmic and structural </w:t>
      </w:r>
      <w:r>
        <w:t>as follows:</w:t>
      </w:r>
    </w:p>
    <w:p w14:paraId="58D83850" w14:textId="507F4600" w:rsidR="00345F35" w:rsidRDefault="00345F35" w:rsidP="00345F35">
      <w:pPr>
        <w:pStyle w:val="Bullets-Minor"/>
      </w:pPr>
      <w:r>
        <w:t>BAU scenario will be output and identified in the Aggregator module</w:t>
      </w:r>
    </w:p>
    <w:p w14:paraId="0CE50F25" w14:textId="0D511772" w:rsidR="00345F35" w:rsidRDefault="00345F35" w:rsidP="00345F35">
      <w:pPr>
        <w:pStyle w:val="Bullets-Minor"/>
      </w:pPr>
      <w:r>
        <w:t>Scenario name will be entered into the scenario control sheet in each module and propagated throughout the model outputs in the Aggregator module when the scenario is exported</w:t>
      </w:r>
    </w:p>
    <w:p w14:paraId="7CA057CF" w14:textId="75AC1AB8" w:rsidR="00345F35" w:rsidRDefault="00345F35" w:rsidP="00345F35">
      <w:pPr>
        <w:pStyle w:val="Bullets-Minor"/>
      </w:pPr>
      <w:r>
        <w:t xml:space="preserve">Each end-use module will be modified to enable the </w:t>
      </w:r>
      <w:r w:rsidR="002438E5">
        <w:t>variables to be easily modified in scenario control sheets</w:t>
      </w:r>
      <w:r>
        <w:t xml:space="preserve"> </w:t>
      </w:r>
    </w:p>
    <w:p w14:paraId="6689F4A2" w14:textId="584EE237" w:rsidR="002438E5" w:rsidRDefault="002438E5" w:rsidP="00345F35">
      <w:pPr>
        <w:pStyle w:val="Bullets-Minor"/>
      </w:pPr>
      <w:r>
        <w:t>The space conditioning module will have an additional scenario control sheet for building shell thermal efficiency inputs/changes</w:t>
      </w:r>
    </w:p>
    <w:p w14:paraId="51BC5825" w14:textId="13C208CB" w:rsidR="00345F35" w:rsidRDefault="002438E5" w:rsidP="00F44EE7">
      <w:r>
        <w:t xml:space="preserve">A master scenario control sheet will be created for each module that contains the </w:t>
      </w:r>
      <w:r w:rsidR="00C92F47">
        <w:t xml:space="preserve">principal </w:t>
      </w:r>
      <w:r>
        <w:t>controls and names:</w:t>
      </w:r>
    </w:p>
    <w:p w14:paraId="74A4F2C5" w14:textId="4408433A" w:rsidR="002438E5" w:rsidRDefault="002438E5" w:rsidP="007746EB">
      <w:pPr>
        <w:pStyle w:val="Bullets-Minor"/>
      </w:pPr>
      <w:r>
        <w:t>Scenario name, description and start year</w:t>
      </w:r>
    </w:p>
    <w:p w14:paraId="0C07E522" w14:textId="448FE704" w:rsidR="002438E5" w:rsidRDefault="002438E5" w:rsidP="007746EB">
      <w:pPr>
        <w:pStyle w:val="Bullets-Minor"/>
      </w:pPr>
      <w:r>
        <w:t xml:space="preserve">Variables </w:t>
      </w:r>
      <w:r w:rsidR="007746EB">
        <w:t>chosen to change (sales weighted efficiency, sales and/or building thermal shell)</w:t>
      </w:r>
    </w:p>
    <w:p w14:paraId="649CB7CE" w14:textId="772574E9" w:rsidR="002438E5" w:rsidRDefault="002438E5" w:rsidP="007746EB">
      <w:pPr>
        <w:pStyle w:val="Bullets-Minor"/>
      </w:pPr>
      <w:r>
        <w:t>region(s) (state/territory) impacted</w:t>
      </w:r>
    </w:p>
    <w:p w14:paraId="54DEC55A" w14:textId="554995B9" w:rsidR="002438E5" w:rsidRDefault="002438E5" w:rsidP="00F44EE7">
      <w:r>
        <w:t xml:space="preserve">Two separate scenario control sheets will be introduced to each module that enable </w:t>
      </w:r>
      <w:r w:rsidR="00D77240">
        <w:t>the</w:t>
      </w:r>
      <w:r>
        <w:t xml:space="preserve"> inputs of the BAU values to be </w:t>
      </w:r>
      <w:r w:rsidR="007746EB">
        <w:t>overridden</w:t>
      </w:r>
      <w:r>
        <w:t xml:space="preserve"> directly or modified by a formula from a particular year.  These are:</w:t>
      </w:r>
    </w:p>
    <w:p w14:paraId="65978385" w14:textId="11763908" w:rsidR="007746EB" w:rsidRDefault="002438E5" w:rsidP="007746EB">
      <w:pPr>
        <w:pStyle w:val="Bullets-Minor"/>
      </w:pPr>
      <w:r>
        <w:t>Sales weighted average efficiency inputs by product,</w:t>
      </w:r>
      <w:r w:rsidR="007746EB">
        <w:t xml:space="preserve"> mode and year</w:t>
      </w:r>
    </w:p>
    <w:p w14:paraId="7F76A199" w14:textId="7594A633" w:rsidR="007746EB" w:rsidRDefault="007746EB" w:rsidP="007746EB">
      <w:pPr>
        <w:pStyle w:val="Bullets-Major"/>
      </w:pPr>
      <w:r>
        <w:t>Efficiency can be changed by a % amount from start to end year, with BAU efficiency changes to continue follow the change.  For instance, a MEPS would be modelled as a step change in one (or two) years, while a label might impact over a longer period of time</w:t>
      </w:r>
    </w:p>
    <w:p w14:paraId="6298058D" w14:textId="311CD1D8" w:rsidR="007746EB" w:rsidRDefault="007746EB" w:rsidP="007746EB">
      <w:pPr>
        <w:pStyle w:val="Bullets-Major"/>
      </w:pPr>
      <w:r>
        <w:t>Efficiency values can be overridden directly by the user</w:t>
      </w:r>
    </w:p>
    <w:p w14:paraId="6D677EE0" w14:textId="241733E1" w:rsidR="002438E5" w:rsidRDefault="007746EB" w:rsidP="007746EB">
      <w:pPr>
        <w:pStyle w:val="Bullets-Minor"/>
      </w:pPr>
      <w:r>
        <w:t>Sales inputs by product and year</w:t>
      </w:r>
    </w:p>
    <w:p w14:paraId="26A40C40" w14:textId="5C76756E" w:rsidR="007746EB" w:rsidRDefault="007746EB" w:rsidP="007746EB">
      <w:pPr>
        <w:pStyle w:val="Bullets-Major"/>
      </w:pPr>
      <w:r>
        <w:t>Sales can be changed by a % amount</w:t>
      </w:r>
      <w:r w:rsidR="00E06A26">
        <w:t xml:space="preserve"> or number</w:t>
      </w:r>
      <w:r>
        <w:t xml:space="preserve"> from start to end year, with BAU sales </w:t>
      </w:r>
      <w:r w:rsidR="00E06A26">
        <w:t xml:space="preserve">growth </w:t>
      </w:r>
      <w:r>
        <w:t xml:space="preserve">to continue follow the change.  For instance, a building code change would increase the % sales of a </w:t>
      </w:r>
      <w:r w:rsidR="00D77240">
        <w:t xml:space="preserve">particular </w:t>
      </w:r>
      <w:r>
        <w:t>product and decrease the sales of an alternative product over a set period.  Incentives might also be modelled in a similar way.</w:t>
      </w:r>
    </w:p>
    <w:p w14:paraId="5B34FD9C" w14:textId="3A902D47" w:rsidR="00D77240" w:rsidRDefault="00D77240" w:rsidP="00D77240">
      <w:pPr>
        <w:pStyle w:val="Bullets-Major"/>
      </w:pPr>
      <w:r>
        <w:t>Sales values can be overridden directly by the user</w:t>
      </w:r>
    </w:p>
    <w:p w14:paraId="1F8CE57A" w14:textId="3FE54545" w:rsidR="00F44EE7" w:rsidRDefault="00D77240" w:rsidP="00F44EE7">
      <w:r>
        <w:t>T</w:t>
      </w:r>
      <w:r w:rsidR="00F44EE7">
        <w:t xml:space="preserve">he RBS Space Conditioning module will be modified to specifically include a </w:t>
      </w:r>
      <w:r>
        <w:t>building thermal shell change</w:t>
      </w:r>
      <w:r w:rsidR="00F44EE7">
        <w:t xml:space="preserve"> input sheet, which will enable the user to enter a</w:t>
      </w:r>
      <w:r>
        <w:t xml:space="preserve"> scenario value for the </w:t>
      </w:r>
      <w:r w:rsidR="00F44EE7">
        <w:t>Usage Adjustment Factor (</w:t>
      </w:r>
      <w:r>
        <w:t xml:space="preserve">named </w:t>
      </w:r>
      <w:r w:rsidR="00F44EE7">
        <w:t>UAF</w:t>
      </w:r>
      <w:r>
        <w:t>2</w:t>
      </w:r>
      <w:r w:rsidR="00F44EE7">
        <w:t xml:space="preserve">) </w:t>
      </w:r>
      <w:r>
        <w:t>that is</w:t>
      </w:r>
      <w:r w:rsidR="00F44EE7">
        <w:t xml:space="preserve"> </w:t>
      </w:r>
      <w:r>
        <w:t xml:space="preserve">applied to space conditioning </w:t>
      </w:r>
      <w:r w:rsidR="00F44EE7">
        <w:t xml:space="preserve">product usage.  This will be applied separately to the AEC calculation for each mode of </w:t>
      </w:r>
      <w:r w:rsidR="00F44EE7">
        <w:lastRenderedPageBreak/>
        <w:t>each product by region.</w:t>
      </w:r>
      <w:r>
        <w:t xml:space="preserve">  Standby energy consumption could be modified separately if the impacts are significant (in terms of reducing operational time), but initially will be ignored to reduce complexity. </w:t>
      </w:r>
    </w:p>
    <w:p w14:paraId="78BA4916" w14:textId="15D7FDA2" w:rsidR="0007059C" w:rsidRDefault="00F44EE7" w:rsidP="00F44EE7">
      <w:r>
        <w:t xml:space="preserve">To create output energy use and typical power demand </w:t>
      </w:r>
      <w:r w:rsidR="00D77240">
        <w:t xml:space="preserve">by scenario compared to BAU, the Aggregator module will be modified to </w:t>
      </w:r>
      <w:r w:rsidR="00F80214">
        <w:t>provide several</w:t>
      </w:r>
      <w:r w:rsidR="00D77240">
        <w:t xml:space="preserve"> </w:t>
      </w:r>
      <w:r w:rsidR="00683750">
        <w:t xml:space="preserve">commonly required </w:t>
      </w:r>
      <w:r w:rsidR="0007059C">
        <w:t xml:space="preserve">template </w:t>
      </w:r>
      <w:r w:rsidR="00F80214">
        <w:t xml:space="preserve">report </w:t>
      </w:r>
      <w:r w:rsidR="0007059C">
        <w:t>outputs</w:t>
      </w:r>
      <w:r>
        <w:t>,</w:t>
      </w:r>
      <w:r w:rsidR="0007059C">
        <w:t xml:space="preserve"> such as</w:t>
      </w:r>
      <w:r w:rsidR="00D80B25">
        <w:t>:</w:t>
      </w:r>
    </w:p>
    <w:p w14:paraId="6DFFF53F" w14:textId="1153334C" w:rsidR="0007059C" w:rsidRDefault="0007059C" w:rsidP="0007059C">
      <w:pPr>
        <w:pStyle w:val="Bullets-Minor"/>
      </w:pPr>
      <w:r>
        <w:t>Total energy consumption by year for selected end-use, category or group</w:t>
      </w:r>
    </w:p>
    <w:p w14:paraId="52B29A1E" w14:textId="2AC867D4" w:rsidR="0007059C" w:rsidRDefault="0007059C" w:rsidP="0007059C">
      <w:pPr>
        <w:pStyle w:val="Bullets-Minor"/>
      </w:pPr>
      <w:r>
        <w:t xml:space="preserve">Energy consumption by fuel by year for selected end-use, category or group </w:t>
      </w:r>
    </w:p>
    <w:p w14:paraId="092A1C23" w14:textId="65DF3D81" w:rsidR="00F44EE7" w:rsidRDefault="0007059C" w:rsidP="0007059C">
      <w:pPr>
        <w:pStyle w:val="Bullets-Minor"/>
      </w:pPr>
      <w:r>
        <w:t xml:space="preserve">Stock by year for selected end-use, category or group </w:t>
      </w:r>
    </w:p>
    <w:p w14:paraId="5EEF301D" w14:textId="661ED304" w:rsidR="0007059C" w:rsidRDefault="0007059C" w:rsidP="0007059C">
      <w:r>
        <w:t>The use of pivot tables will enable any output</w:t>
      </w:r>
      <w:r w:rsidR="00D80B25">
        <w:t>s</w:t>
      </w:r>
      <w:r>
        <w:t xml:space="preserve"> that are currently generated in the Aggregator module to be provided by adding scenario to the row or column.  This may also enable multiple scenarios to be compared.  </w:t>
      </w:r>
    </w:p>
    <w:p w14:paraId="5B91B60B" w14:textId="2ED9CD76" w:rsidR="0007059C" w:rsidRDefault="0007059C" w:rsidP="00F44EE7">
      <w:r>
        <w:t>The impacts of the scenario changes on average power demand by season, day type and region will also be available to the user to view</w:t>
      </w:r>
      <w:r w:rsidR="0089492F">
        <w:t xml:space="preserve"> in the demand module</w:t>
      </w:r>
      <w:r>
        <w:t>.</w:t>
      </w:r>
      <w:r w:rsidR="0089492F">
        <w:t xml:space="preserve">  However, </w:t>
      </w:r>
      <w:r w:rsidR="00F80214">
        <w:t>scenario-based</w:t>
      </w:r>
      <w:r w:rsidR="0089492F">
        <w:t xml:space="preserve"> changes to the demand profiles are not proposed due to the enormous variations that would need to be</w:t>
      </w:r>
      <w:r w:rsidR="00F80214">
        <w:t xml:space="preserve"> considered. </w:t>
      </w:r>
    </w:p>
    <w:p w14:paraId="1D54E787" w14:textId="74423284" w:rsidR="00F80214" w:rsidRDefault="00F80214" w:rsidP="00F80214">
      <w:pPr>
        <w:pStyle w:val="Heading2"/>
      </w:pPr>
      <w:bookmarkStart w:id="41" w:name="_Toc99115774"/>
      <w:r>
        <w:t xml:space="preserve">Enhancement 4: </w:t>
      </w:r>
      <w:r w:rsidRPr="00F80214">
        <w:t>Increased Data Granularity and Increased Data Output Options</w:t>
      </w:r>
      <w:bookmarkEnd w:id="41"/>
    </w:p>
    <w:p w14:paraId="41B4B3D0" w14:textId="0BB7CE1B" w:rsidR="000B01E6" w:rsidRDefault="00F80214" w:rsidP="00F80214">
      <w:r>
        <w:t>The requirement is to provide</w:t>
      </w:r>
      <w:r w:rsidRPr="00F847E8">
        <w:t xml:space="preserve"> </w:t>
      </w:r>
      <w:r w:rsidR="00731DB3">
        <w:t>additional outputs and increased granularity for particular product types</w:t>
      </w:r>
      <w:r w:rsidR="00E84E83">
        <w:t xml:space="preserve"> and outputs</w:t>
      </w:r>
      <w:r>
        <w:t xml:space="preserve">.  </w:t>
      </w:r>
      <w:r w:rsidRPr="00F847E8">
        <w:t xml:space="preserve">The </w:t>
      </w:r>
      <w:r w:rsidR="000B01E6">
        <w:t xml:space="preserve">requested additional data outputs are available in the Aggregator module, with users able to construct almost any output table or chart with the pivot tables.  Additional tables will be provided to cover sample report items in consultation with the Department and users.  </w:t>
      </w:r>
    </w:p>
    <w:p w14:paraId="39F2285F" w14:textId="69D98700" w:rsidR="000B01E6" w:rsidRDefault="000B01E6" w:rsidP="00F80214">
      <w:r>
        <w:t>The main focus of this enhance</w:t>
      </w:r>
      <w:r w:rsidR="00683750">
        <w:t>ment</w:t>
      </w:r>
      <w:r>
        <w:t xml:space="preserve"> will be to:</w:t>
      </w:r>
    </w:p>
    <w:p w14:paraId="658505FB" w14:textId="12414744" w:rsidR="000B01E6" w:rsidRDefault="000B01E6" w:rsidP="000B01E6">
      <w:pPr>
        <w:pStyle w:val="Bullets-Minor"/>
      </w:pPr>
      <w:r>
        <w:t>Provide more instructions on how to construct tables with pivot tables in the Aggregator</w:t>
      </w:r>
      <w:r w:rsidR="007B0425">
        <w:t>.  Specific changes will be made to:</w:t>
      </w:r>
    </w:p>
    <w:p w14:paraId="675F55B5" w14:textId="526E8779" w:rsidR="000B01E6" w:rsidRDefault="000B01E6" w:rsidP="000B01E6">
      <w:pPr>
        <w:pStyle w:val="Bullets-Major"/>
      </w:pPr>
      <w:r>
        <w:t xml:space="preserve">Output the heating and cooling energy consumption </w:t>
      </w:r>
      <w:r w:rsidR="007B0425">
        <w:t xml:space="preserve">separately </w:t>
      </w:r>
      <w:r>
        <w:t>for space conditioning products</w:t>
      </w:r>
    </w:p>
    <w:p w14:paraId="6A1891F2" w14:textId="0514EF14" w:rsidR="000B01E6" w:rsidRDefault="000B01E6" w:rsidP="000B01E6">
      <w:pPr>
        <w:pStyle w:val="Bullets-Minor"/>
      </w:pPr>
      <w:r>
        <w:t xml:space="preserve">Disaggregate the outputs of energy, stock and connected </w:t>
      </w:r>
      <w:r w:rsidR="00E84E83">
        <w:t xml:space="preserve">power </w:t>
      </w:r>
      <w:r>
        <w:t>load for:</w:t>
      </w:r>
    </w:p>
    <w:p w14:paraId="102A1062" w14:textId="1267601E" w:rsidR="000B01E6" w:rsidRDefault="000B01E6" w:rsidP="000B01E6">
      <w:pPr>
        <w:pStyle w:val="Bullets-Major"/>
      </w:pPr>
      <w:r>
        <w:t xml:space="preserve">Air conditioners by those with, </w:t>
      </w:r>
      <w:r w:rsidR="00D80B25">
        <w:t xml:space="preserve">and </w:t>
      </w:r>
      <w:r>
        <w:t>without inverters</w:t>
      </w:r>
    </w:p>
    <w:p w14:paraId="4A81AF8E" w14:textId="71D216C0" w:rsidR="000B01E6" w:rsidRDefault="000B01E6" w:rsidP="000B01E6">
      <w:pPr>
        <w:pStyle w:val="Bullets-Major"/>
      </w:pPr>
      <w:r>
        <w:t xml:space="preserve">Refrigerators by those with, </w:t>
      </w:r>
      <w:r w:rsidR="00D80B25">
        <w:t xml:space="preserve">and </w:t>
      </w:r>
      <w:r>
        <w:t xml:space="preserve">without inverters </w:t>
      </w:r>
    </w:p>
    <w:p w14:paraId="68CF5D0E" w14:textId="77777777" w:rsidR="00F80214" w:rsidRDefault="00F80214" w:rsidP="00F80214">
      <w:pPr>
        <w:pStyle w:val="Heading3"/>
      </w:pPr>
      <w:r>
        <w:t>Data sources and research</w:t>
      </w:r>
    </w:p>
    <w:p w14:paraId="6189F40E" w14:textId="1A29F7EF" w:rsidR="00E84E83" w:rsidRDefault="00D80B25" w:rsidP="00F80214">
      <w:r>
        <w:t xml:space="preserve">The </w:t>
      </w:r>
      <w:r w:rsidR="00E84E83">
        <w:t xml:space="preserve">data sources required for the further </w:t>
      </w:r>
      <w:r w:rsidR="00084955">
        <w:t>disaggregation</w:t>
      </w:r>
      <w:r w:rsidR="00E84E83">
        <w:t xml:space="preserve"> of the refrigeration and air conditioning products </w:t>
      </w:r>
      <w:r w:rsidR="00683750">
        <w:t xml:space="preserve">or analysis outputs </w:t>
      </w:r>
      <w:r w:rsidR="00E84E83">
        <w:t>include:</w:t>
      </w:r>
    </w:p>
    <w:p w14:paraId="4B2E8F07" w14:textId="39E1DA92" w:rsidR="00E84E83" w:rsidRDefault="00E84E83" w:rsidP="00E84E83">
      <w:pPr>
        <w:pStyle w:val="Bullets-Minor"/>
      </w:pPr>
      <w:r>
        <w:t>RIS and CBA model for the air conditioners Zone Energy Rating Label + MEPS 2017</w:t>
      </w:r>
    </w:p>
    <w:p w14:paraId="288AD3DB" w14:textId="58F1946E" w:rsidR="00E84E83" w:rsidRDefault="00084955" w:rsidP="00E84E83">
      <w:pPr>
        <w:pStyle w:val="Bullets-Minor"/>
      </w:pPr>
      <w:r>
        <w:t>RIS and CBA model for household refrigerators MEPS 2017</w:t>
      </w:r>
    </w:p>
    <w:p w14:paraId="41842F29" w14:textId="503BD0A6" w:rsidR="00084955" w:rsidRDefault="00084955" w:rsidP="00E84E83">
      <w:pPr>
        <w:pStyle w:val="Bullets-Minor"/>
      </w:pPr>
      <w:r>
        <w:lastRenderedPageBreak/>
        <w:t>GEMS registry information matched to the GfK sales data</w:t>
      </w:r>
    </w:p>
    <w:p w14:paraId="7631C537" w14:textId="437A29DF" w:rsidR="00F80214" w:rsidRDefault="00F80214" w:rsidP="00F80214">
      <w:r>
        <w:t xml:space="preserve">No </w:t>
      </w:r>
      <w:r w:rsidR="00683750">
        <w:t xml:space="preserve">other </w:t>
      </w:r>
      <w:r>
        <w:t xml:space="preserve">data sources are required for </w:t>
      </w:r>
      <w:r w:rsidR="00683750">
        <w:t>increasing the RBS output options</w:t>
      </w:r>
      <w:r>
        <w:t xml:space="preserve">. </w:t>
      </w:r>
    </w:p>
    <w:p w14:paraId="6E67B4BB" w14:textId="77777777" w:rsidR="00F80214" w:rsidRDefault="00F80214" w:rsidP="00F80214">
      <w:pPr>
        <w:pStyle w:val="Heading3"/>
      </w:pPr>
      <w:r>
        <w:t>Methodology Approach</w:t>
      </w:r>
    </w:p>
    <w:p w14:paraId="48543AD0" w14:textId="38BF2538" w:rsidR="00F44EE7" w:rsidRDefault="00E84E83" w:rsidP="00A1321B">
      <w:r>
        <w:t xml:space="preserve">The approach for this </w:t>
      </w:r>
      <w:r w:rsidR="00084955">
        <w:t>enhancement is elaborate and extend the reporting templates for the RBS in the Aggregator module.  The Aggregator contains a flat file database of all the key RBS outputs that is queried by pivot tables and charts.  Further templates and instructions will be provided in consultation with the Department.</w:t>
      </w:r>
    </w:p>
    <w:p w14:paraId="11A87FC0" w14:textId="77777777" w:rsidR="00C90366" w:rsidRDefault="00084955" w:rsidP="00A1321B">
      <w:r>
        <w:t xml:space="preserve">For the </w:t>
      </w:r>
      <w:r w:rsidR="00C90366">
        <w:t>disaggregation</w:t>
      </w:r>
      <w:r>
        <w:t xml:space="preserve"> of heating and cooling mode energy consumption, the Aggregator outputs will be supplemented to include this field so that heating and cooling energy consumption is </w:t>
      </w:r>
      <w:r w:rsidR="00C90366">
        <w:t>explicitly</w:t>
      </w:r>
      <w:r>
        <w:t xml:space="preserve"> identified</w:t>
      </w:r>
      <w:r w:rsidR="00C90366">
        <w:t xml:space="preserve"> (they are currently identified as Operation 1 and Operation 2)</w:t>
      </w:r>
      <w:r>
        <w:t xml:space="preserve">.  Standby </w:t>
      </w:r>
      <w:r w:rsidR="00C90366">
        <w:t xml:space="preserve">and Aux energy consumption </w:t>
      </w:r>
      <w:r>
        <w:t xml:space="preserve">could be </w:t>
      </w:r>
      <w:r w:rsidR="00C90366">
        <w:t xml:space="preserve">proportioned </w:t>
      </w:r>
      <w:r>
        <w:t>to th</w:t>
      </w:r>
      <w:r w:rsidR="00C90366">
        <w:t xml:space="preserve">e </w:t>
      </w:r>
      <w:r>
        <w:t>heating and cooling energy con</w:t>
      </w:r>
      <w:r w:rsidR="00C90366">
        <w:t>sumption to ensure that it is a complete value.</w:t>
      </w:r>
    </w:p>
    <w:p w14:paraId="1803B6E7" w14:textId="75B5F1C9" w:rsidR="00084955" w:rsidRDefault="00C90366" w:rsidP="00A1321B">
      <w:r>
        <w:t xml:space="preserve">The disaggregation of refrigerators to those with/without inverter compressors will be implemented by adding an additional product.  This will be possible as sales of inverter refrigerators are more recent (post 2015) and will not impact on the historical product types.  </w:t>
      </w:r>
    </w:p>
    <w:p w14:paraId="6009B55D" w14:textId="02DCCDC3" w:rsidR="00C90366" w:rsidRDefault="00C90366" w:rsidP="00A1321B">
      <w:r>
        <w:t xml:space="preserve">The disaggregation of air conditioners will be addressed in the aggregator module, with a separate sheet(s) to calculate the stock, energy and connected power for these products, as the vast majority of stock of non-ducted air conditioners are now inverter driven.  The alternative of </w:t>
      </w:r>
      <w:r w:rsidR="00D80B25">
        <w:t xml:space="preserve">creating </w:t>
      </w:r>
      <w:r>
        <w:t xml:space="preserve">specific product types for these will not be possible in the RBS as the historical (pre 2014) values </w:t>
      </w:r>
      <w:r w:rsidR="00D80B25">
        <w:t xml:space="preserve">would </w:t>
      </w:r>
      <w:r>
        <w:t xml:space="preserve">need to be revised. </w:t>
      </w:r>
    </w:p>
    <w:p w14:paraId="4A8E50D9" w14:textId="0D589C6C" w:rsidR="00C90366" w:rsidRDefault="00C90366" w:rsidP="00A1321B"/>
    <w:p w14:paraId="1B758CD7" w14:textId="77777777" w:rsidR="00C90366" w:rsidRDefault="00C90366" w:rsidP="00A1321B"/>
    <w:p w14:paraId="5CB86B1F" w14:textId="0D320A1D" w:rsidR="00084955" w:rsidRDefault="00470E3E" w:rsidP="00470E3E">
      <w:pPr>
        <w:pStyle w:val="Heading1"/>
        <w:numPr>
          <w:ilvl w:val="0"/>
          <w:numId w:val="0"/>
        </w:numPr>
      </w:pPr>
      <w:bookmarkStart w:id="42" w:name="_Ref47712053"/>
      <w:bookmarkStart w:id="43" w:name="_Toc99115775"/>
      <w:r>
        <w:lastRenderedPageBreak/>
        <w:t>Appendix A: Underlying RBS1.0 Methodology</w:t>
      </w:r>
      <w:bookmarkEnd w:id="42"/>
      <w:bookmarkEnd w:id="43"/>
    </w:p>
    <w:p w14:paraId="53BAA77E" w14:textId="6BCE7400" w:rsidR="009C4522" w:rsidRPr="009C4522" w:rsidRDefault="009C4522" w:rsidP="009C4522">
      <w:r>
        <w:t xml:space="preserve">This </w:t>
      </w:r>
      <w:r w:rsidR="002E0454">
        <w:t>A</w:t>
      </w:r>
      <w:r>
        <w:t xml:space="preserve">ppendix describes the RBS1.0 methodology, and where appropriate notes where there are differences or enhancements due to the proposed scope of the RBS2.0 update.  The text is taken from the RBS1.0 report, with modifications where necessary. </w:t>
      </w:r>
    </w:p>
    <w:p w14:paraId="5B89F2E4" w14:textId="77777777" w:rsidR="00470E3E" w:rsidRDefault="00470E3E" w:rsidP="00470E3E">
      <w:pPr>
        <w:pStyle w:val="Heading2"/>
      </w:pPr>
      <w:bookmarkStart w:id="44" w:name="_Toc398023062"/>
      <w:bookmarkStart w:id="45" w:name="_Toc401219418"/>
      <w:bookmarkStart w:id="46" w:name="_Toc427932597"/>
      <w:bookmarkStart w:id="47" w:name="_Toc99115776"/>
      <w:bookmarkStart w:id="48" w:name="_Toc383000187"/>
      <w:bookmarkStart w:id="49" w:name="_Toc383010069"/>
      <w:r>
        <w:t xml:space="preserve">Underlying </w:t>
      </w:r>
      <w:bookmarkEnd w:id="44"/>
      <w:r>
        <w:t>Method</w:t>
      </w:r>
      <w:bookmarkEnd w:id="45"/>
      <w:bookmarkEnd w:id="46"/>
      <w:bookmarkEnd w:id="47"/>
    </w:p>
    <w:p w14:paraId="56380F09" w14:textId="3EEB1538" w:rsidR="00470E3E" w:rsidRDefault="00470E3E" w:rsidP="00470E3E">
      <w:r>
        <w:t>The underlying method on which the residential energy end-use model and study is based is classified as a bottom-up engineering model (</w:t>
      </w:r>
      <w:r w:rsidRPr="003B2C25">
        <w:t>Yuning Ou, 2012)</w:t>
      </w:r>
      <w:r w:rsidRPr="009C4522">
        <w:t>.</w:t>
      </w:r>
      <w:r>
        <w:t xml:space="preserve"> </w:t>
      </w:r>
      <w:r w:rsidR="00C52C7C">
        <w:t xml:space="preserve">This method remains unaltered in RBS 2.0. </w:t>
      </w:r>
      <w:r>
        <w:t>It involves calculating the energy end-use consumption at the household end-use level and aggregating these consumptions to estimate the total locality or national consumption.</w:t>
      </w:r>
      <w:r>
        <w:rPr>
          <w:rStyle w:val="FootnoteReference"/>
        </w:rPr>
        <w:footnoteReference w:id="8"/>
      </w:r>
      <w:r w:rsidRPr="00B76609">
        <w:t xml:space="preserve"> </w:t>
      </w:r>
      <w:r>
        <w:t>More specifically this involves estimating the energy use at the appliance (unit) level and then aggregating the energy use across all appliances and households to get the total energy use.</w:t>
      </w:r>
    </w:p>
    <w:p w14:paraId="3FA5AFED" w14:textId="77777777" w:rsidR="00470E3E" w:rsidRDefault="00470E3E" w:rsidP="00470E3E">
      <w:r>
        <w:t>This approach is summarised in the calculation that for each energy end use:</w:t>
      </w:r>
    </w:p>
    <w:p w14:paraId="525AE0E7" w14:textId="77777777" w:rsidR="00470E3E" w:rsidRPr="001052FF" w:rsidRDefault="00470E3E" w:rsidP="00470E3E">
      <w:pPr>
        <w:rPr>
          <w:i/>
          <w:iCs/>
        </w:rPr>
      </w:pPr>
      <w:r w:rsidRPr="001052FF">
        <w:rPr>
          <w:i/>
          <w:iCs/>
        </w:rPr>
        <w:t>Annual Energy Consumed (AEC) = Stock Numbers * Unit Energy Consumption (UEC).</w:t>
      </w:r>
    </w:p>
    <w:p w14:paraId="0372D48A" w14:textId="77777777" w:rsidR="00470E3E" w:rsidRDefault="00470E3E" w:rsidP="00470E3E">
      <w:r>
        <w:t xml:space="preserve">Likewise for energy demand in principle: </w:t>
      </w:r>
    </w:p>
    <w:p w14:paraId="675064B5" w14:textId="77777777" w:rsidR="00470E3E" w:rsidRPr="001052FF" w:rsidRDefault="00470E3E" w:rsidP="00470E3E">
      <w:pPr>
        <w:rPr>
          <w:i/>
          <w:iCs/>
        </w:rPr>
      </w:pPr>
      <w:r w:rsidRPr="001052FF">
        <w:rPr>
          <w:i/>
          <w:iCs/>
        </w:rPr>
        <w:t>Total Power Demand = Stock Numbers * Unit Power Demand (UPD)</w:t>
      </w:r>
      <w:r w:rsidRPr="001052FF">
        <w:rPr>
          <w:rStyle w:val="FootnoteReference"/>
          <w:i/>
          <w:iCs/>
        </w:rPr>
        <w:footnoteReference w:id="9"/>
      </w:r>
      <w:r w:rsidRPr="001052FF">
        <w:rPr>
          <w:i/>
          <w:iCs/>
        </w:rPr>
        <w:t>.</w:t>
      </w:r>
    </w:p>
    <w:p w14:paraId="123464E6" w14:textId="77777777" w:rsidR="00470E3E" w:rsidRDefault="00470E3E" w:rsidP="00470E3E">
      <w:r>
        <w:t>The RBS model determines total energy consumed or demanded through the use of a Stock Model, and through the Calculation of Energy Impacts, both aspects of the model that are described below.</w:t>
      </w:r>
    </w:p>
    <w:p w14:paraId="7F0F89AB" w14:textId="77777777" w:rsidR="00470E3E" w:rsidRDefault="00470E3E" w:rsidP="00470E3E">
      <w:pPr>
        <w:pStyle w:val="Heading5"/>
      </w:pPr>
      <w:r>
        <w:t>Stock Model</w:t>
      </w:r>
    </w:p>
    <w:p w14:paraId="12215538" w14:textId="77777777" w:rsidR="00470E3E" w:rsidRDefault="00470E3E" w:rsidP="00470E3E">
      <w:r>
        <w:t>The energy consumption and power demand of particular appliance and equipment products are calculated using the characteristics of the products obtained from stock models. The stock models are effectively databases that keep a running tally of the numbers of each product in the residential market in any year, and the average characteristics of each product in any year. The stock in any year will be the sum of all past stock sales, less retirements of equipment.</w:t>
      </w:r>
    </w:p>
    <w:p w14:paraId="23CEEEA2" w14:textId="036BBEB5" w:rsidR="00470E3E" w:rsidRDefault="00470E3E" w:rsidP="00470E3E">
      <w:r>
        <w:fldChar w:fldCharType="begin"/>
      </w:r>
      <w:r>
        <w:instrText xml:space="preserve"> REF _Ref427573563 \h </w:instrText>
      </w:r>
      <w:r>
        <w:fldChar w:fldCharType="separate"/>
      </w:r>
      <w:r w:rsidR="00FF581E">
        <w:t xml:space="preserve">Figure </w:t>
      </w:r>
      <w:r w:rsidR="00FF581E">
        <w:rPr>
          <w:noProof/>
        </w:rPr>
        <w:t>3</w:t>
      </w:r>
      <w:r>
        <w:fldChar w:fldCharType="end"/>
      </w:r>
      <w:r>
        <w:t xml:space="preserve"> shows that stock is added to by the sales in each year, and these products remain part of the stock into the future, but gradually reduce in number as they are </w:t>
      </w:r>
      <w:r>
        <w:lastRenderedPageBreak/>
        <w:t>retired (i.e. shown as going from 100 to 10 over time in the diagram).  In any given year, (e.g., the year 2005 shown within the black rectangle in the diagram), the stock will consist of a mixture of the units sold in all previous years.  Importantly, this means that equipment characteristics of the stock in any given year will also reflect the equipment characteristics of the stock of all previous year</w:t>
      </w:r>
      <w:r w:rsidR="003A7417">
        <w:t>s</w:t>
      </w:r>
      <w:r>
        <w:t xml:space="preserve">. </w:t>
      </w:r>
    </w:p>
    <w:p w14:paraId="54A5738C" w14:textId="77777777" w:rsidR="00470E3E" w:rsidRDefault="00470E3E" w:rsidP="00470E3E"/>
    <w:p w14:paraId="6A4EB2A0" w14:textId="78D7C622" w:rsidR="00470E3E" w:rsidRDefault="00470E3E" w:rsidP="00470E3E">
      <w:pPr>
        <w:pStyle w:val="Caption"/>
      </w:pPr>
      <w:bookmarkStart w:id="50" w:name="_Ref427573563"/>
      <w:bookmarkStart w:id="51" w:name="_Toc427932637"/>
      <w:bookmarkStart w:id="52" w:name="_Ref49333250"/>
      <w:r>
        <w:t xml:space="preserve">Figure </w:t>
      </w:r>
      <w:r w:rsidR="008D05D8">
        <w:fldChar w:fldCharType="begin"/>
      </w:r>
      <w:r w:rsidR="008D05D8">
        <w:instrText xml:space="preserve"> SEQ Figure \* ARABIC </w:instrText>
      </w:r>
      <w:r w:rsidR="008D05D8">
        <w:fldChar w:fldCharType="separate"/>
      </w:r>
      <w:r w:rsidR="00FF581E">
        <w:rPr>
          <w:noProof/>
        </w:rPr>
        <w:t>3</w:t>
      </w:r>
      <w:r w:rsidR="008D05D8">
        <w:fldChar w:fldCharType="end"/>
      </w:r>
      <w:bookmarkEnd w:id="50"/>
      <w:r>
        <w:t>: Stock Composite of Sales from Previous Years</w:t>
      </w:r>
      <w:bookmarkEnd w:id="51"/>
      <w:bookmarkEnd w:id="52"/>
    </w:p>
    <w:p w14:paraId="68278C20" w14:textId="77777777" w:rsidR="00470E3E" w:rsidRDefault="00470E3E" w:rsidP="00470E3E">
      <w:r>
        <w:rPr>
          <w:noProof/>
          <w:lang w:eastAsia="en-AU"/>
        </w:rPr>
        <w:drawing>
          <wp:inline distT="0" distB="0" distL="0" distR="0" wp14:anchorId="575E3E61" wp14:editId="558C058D">
            <wp:extent cx="5366073" cy="3553691"/>
            <wp:effectExtent l="0" t="0" r="6350" b="8890"/>
            <wp:docPr id="17" name="Picture 17" descr="Stacked area chart showing how sales from one year form part of the stock in future years, but gradually reduce in number of time.  Also shows stock in any one year is composed of stock from previous years." title="Stock Composite of Sales from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5109" cy="3553052"/>
                    </a:xfrm>
                    <a:prstGeom prst="rect">
                      <a:avLst/>
                    </a:prstGeom>
                    <a:noFill/>
                  </pic:spPr>
                </pic:pic>
              </a:graphicData>
            </a:graphic>
          </wp:inline>
        </w:drawing>
      </w:r>
    </w:p>
    <w:p w14:paraId="503785F6" w14:textId="77777777" w:rsidR="00470E3E" w:rsidRDefault="00470E3E" w:rsidP="00470E3E">
      <w:r>
        <w:t>The stock models of the RBS model therefore collect data on the required equipment characteristics of the products sold in every year, e.g. the average size, power, and efficiency of the units in any given year.  These are the equipment characteristics which are used to calculate average energy consumption and power demand for the product.  The stock model then keeps track of the data needed to calculate these average characteristics for each year, based on the characteristics and number of the new equipment sold in the year, as well as that of all previous years.  This stock modelling is done at the national level and at the State/Territory level.</w:t>
      </w:r>
    </w:p>
    <w:p w14:paraId="7D1AFC24" w14:textId="77777777" w:rsidR="00470E3E" w:rsidRDefault="00470E3E" w:rsidP="00470E3E">
      <w:pPr>
        <w:pStyle w:val="Heading5"/>
      </w:pPr>
      <w:r>
        <w:t>Calculating Unit Energy Impacts</w:t>
      </w:r>
    </w:p>
    <w:p w14:paraId="0F47DFC0" w14:textId="77777777" w:rsidR="00470E3E" w:rsidRDefault="00470E3E" w:rsidP="00470E3E">
      <w:r>
        <w:t>The next aspect of the energy modelling is determining the value of the Unit Energy Consumption (UEC) for each end-use in the residential energy end-use model.  At its most basic level, UEC is determined by:</w:t>
      </w:r>
    </w:p>
    <w:p w14:paraId="535F872A" w14:textId="77777777" w:rsidR="00470E3E" w:rsidRPr="001C6212" w:rsidRDefault="00470E3E" w:rsidP="00470E3E">
      <w:pPr>
        <w:rPr>
          <w:i/>
        </w:rPr>
      </w:pPr>
      <w:r w:rsidRPr="001C6212">
        <w:rPr>
          <w:i/>
        </w:rPr>
        <w:t xml:space="preserve">UEC = Hours of usage * Unit Energy Input, </w:t>
      </w:r>
      <w:r w:rsidRPr="001C6212">
        <w:rPr>
          <w:i/>
        </w:rPr>
        <w:tab/>
      </w:r>
      <w:r w:rsidRPr="001C6212">
        <w:t>or</w:t>
      </w:r>
      <w:r w:rsidRPr="001C6212">
        <w:rPr>
          <w:i/>
        </w:rPr>
        <w:t xml:space="preserve"> </w:t>
      </w:r>
    </w:p>
    <w:p w14:paraId="12D13BDD" w14:textId="77777777" w:rsidR="00470E3E" w:rsidRDefault="00470E3E" w:rsidP="00470E3E">
      <w:pPr>
        <w:rPr>
          <w:i/>
        </w:rPr>
      </w:pPr>
      <w:r w:rsidRPr="001C6212">
        <w:rPr>
          <w:i/>
        </w:rPr>
        <w:lastRenderedPageBreak/>
        <w:t>UEC = Hours of usage</w:t>
      </w:r>
      <w:r>
        <w:rPr>
          <w:rStyle w:val="FootnoteReference"/>
          <w:i/>
        </w:rPr>
        <w:footnoteReference w:id="10"/>
      </w:r>
      <w:r w:rsidRPr="001C6212">
        <w:rPr>
          <w:i/>
        </w:rPr>
        <w:t xml:space="preserve"> * Unit Capacity * Unit Effici</w:t>
      </w:r>
      <w:r>
        <w:rPr>
          <w:i/>
        </w:rPr>
        <w:t>e</w:t>
      </w:r>
      <w:r w:rsidRPr="001C6212">
        <w:rPr>
          <w:i/>
        </w:rPr>
        <w:t>ncy</w:t>
      </w:r>
      <w:r>
        <w:rPr>
          <w:i/>
        </w:rPr>
        <w:t>.</w:t>
      </w:r>
    </w:p>
    <w:p w14:paraId="67A430B2" w14:textId="1B8C45F9" w:rsidR="00690880" w:rsidRPr="00397DDB" w:rsidRDefault="00470E3E" w:rsidP="00690880">
      <w:r w:rsidRPr="00444416">
        <w:t xml:space="preserve">The energy use of residential equipment can be calculated from these formulae, or from a variation of these formulae for more complex products operating in different modes or different measurement and usage metrics (such as wet appliances where UEC is a function of the </w:t>
      </w:r>
      <w:r>
        <w:t xml:space="preserve">use </w:t>
      </w:r>
      <w:r w:rsidRPr="00444416">
        <w:t>per cycle). For products with multiple modes (e.g., products which have a standby energy consumption element), energy consumption while in operating mode must be separately calculated and added to obtain the total energy consumption in all modes.</w:t>
      </w:r>
      <w:r w:rsidR="00690880" w:rsidRPr="00397DDB">
        <w:t xml:space="preserve"> Although there are several different modes of operation found in appliances these have been condense</w:t>
      </w:r>
      <w:r w:rsidR="00690880">
        <w:t>d</w:t>
      </w:r>
      <w:r w:rsidR="00690880" w:rsidRPr="00397DDB">
        <w:t xml:space="preserve"> to the modes shown in </w:t>
      </w:r>
      <w:r w:rsidR="00690880" w:rsidRPr="00397DDB">
        <w:fldChar w:fldCharType="begin"/>
      </w:r>
      <w:r w:rsidR="00690880" w:rsidRPr="00397DDB">
        <w:instrText xml:space="preserve"> REF _Ref353187330 \h </w:instrText>
      </w:r>
      <w:r w:rsidR="00690880" w:rsidRPr="00397DDB">
        <w:fldChar w:fldCharType="separate"/>
      </w:r>
      <w:r w:rsidR="00FF581E" w:rsidRPr="00397DDB">
        <w:t xml:space="preserve">Table </w:t>
      </w:r>
      <w:r w:rsidR="00FF581E">
        <w:rPr>
          <w:noProof/>
        </w:rPr>
        <w:t>2</w:t>
      </w:r>
      <w:r w:rsidR="00690880" w:rsidRPr="00397DDB">
        <w:fldChar w:fldCharType="end"/>
      </w:r>
      <w:r w:rsidR="00690880" w:rsidRPr="00397DDB">
        <w:t xml:space="preserve">. </w:t>
      </w:r>
    </w:p>
    <w:p w14:paraId="20ED0651" w14:textId="33A6AC5E" w:rsidR="00690880" w:rsidRPr="00397DDB" w:rsidRDefault="00690880" w:rsidP="0035768E">
      <w:pPr>
        <w:pStyle w:val="Caption"/>
      </w:pPr>
      <w:bookmarkStart w:id="53" w:name="_Ref353187330"/>
      <w:bookmarkStart w:id="54" w:name="_Ref49339803"/>
      <w:r w:rsidRPr="00397DDB">
        <w:t xml:space="preserve">Table </w:t>
      </w:r>
      <w:r w:rsidRPr="00397DDB">
        <w:fldChar w:fldCharType="begin"/>
      </w:r>
      <w:r w:rsidRPr="00397DDB">
        <w:instrText xml:space="preserve"> SEQ Table \* ARABIC </w:instrText>
      </w:r>
      <w:r w:rsidRPr="00397DDB">
        <w:fldChar w:fldCharType="separate"/>
      </w:r>
      <w:r w:rsidR="00FF581E">
        <w:rPr>
          <w:noProof/>
        </w:rPr>
        <w:t>2</w:t>
      </w:r>
      <w:r w:rsidRPr="00397DDB">
        <w:rPr>
          <w:noProof/>
        </w:rPr>
        <w:fldChar w:fldCharType="end"/>
      </w:r>
      <w:bookmarkEnd w:id="53"/>
      <w:r w:rsidRPr="00397DDB">
        <w:t>: Modes of operation used in the RBS</w:t>
      </w:r>
      <w:bookmarkEnd w:id="54"/>
    </w:p>
    <w:tbl>
      <w:tblPr>
        <w:tblStyle w:val="TableEC1"/>
        <w:tblW w:w="0" w:type="auto"/>
        <w:tblLook w:val="00E0" w:firstRow="1" w:lastRow="1" w:firstColumn="1" w:lastColumn="0" w:noHBand="0" w:noVBand="0"/>
      </w:tblPr>
      <w:tblGrid>
        <w:gridCol w:w="2060"/>
        <w:gridCol w:w="6462"/>
      </w:tblGrid>
      <w:tr w:rsidR="00690880" w:rsidRPr="00397DDB" w14:paraId="0B9BEEE8" w14:textId="77777777" w:rsidTr="0035768E">
        <w:trPr>
          <w:cnfStyle w:val="100000000000" w:firstRow="1" w:lastRow="0" w:firstColumn="0" w:lastColumn="0" w:oddVBand="0" w:evenVBand="0" w:oddHBand="0" w:evenHBand="0" w:firstRowFirstColumn="0" w:firstRowLastColumn="0" w:lastRowFirstColumn="0" w:lastRowLastColumn="0"/>
        </w:trPr>
        <w:tc>
          <w:tcPr>
            <w:tcW w:w="2199" w:type="dxa"/>
          </w:tcPr>
          <w:p w14:paraId="4018093F" w14:textId="77777777" w:rsidR="00690880" w:rsidRPr="00397DDB" w:rsidRDefault="00690880" w:rsidP="0035768E">
            <w:pPr>
              <w:pStyle w:val="Table-heading"/>
            </w:pPr>
            <w:r w:rsidRPr="00397DDB">
              <w:t>Mode</w:t>
            </w:r>
          </w:p>
        </w:tc>
        <w:tc>
          <w:tcPr>
            <w:tcW w:w="7150" w:type="dxa"/>
          </w:tcPr>
          <w:p w14:paraId="75279C16" w14:textId="77777777" w:rsidR="00690880" w:rsidRPr="00397DDB" w:rsidRDefault="00690880" w:rsidP="0035768E">
            <w:pPr>
              <w:pStyle w:val="Table-heading"/>
            </w:pPr>
            <w:r w:rsidRPr="00397DDB">
              <w:t>Description</w:t>
            </w:r>
          </w:p>
        </w:tc>
      </w:tr>
      <w:tr w:rsidR="00690880" w:rsidRPr="00397DDB" w14:paraId="28A5B57A" w14:textId="77777777" w:rsidTr="0035768E">
        <w:tc>
          <w:tcPr>
            <w:tcW w:w="2199" w:type="dxa"/>
          </w:tcPr>
          <w:p w14:paraId="7828F7F2" w14:textId="77777777" w:rsidR="00690880" w:rsidRPr="00397DDB" w:rsidRDefault="00690880" w:rsidP="0035768E">
            <w:pPr>
              <w:pStyle w:val="Table"/>
            </w:pPr>
            <w:r w:rsidRPr="00397DDB">
              <w:t>Operation 1</w:t>
            </w:r>
          </w:p>
        </w:tc>
        <w:tc>
          <w:tcPr>
            <w:tcW w:w="7150" w:type="dxa"/>
          </w:tcPr>
          <w:p w14:paraId="56BCEB8F" w14:textId="77777777" w:rsidR="00690880" w:rsidRPr="00397DDB" w:rsidRDefault="00690880" w:rsidP="0035768E">
            <w:pPr>
              <w:pStyle w:val="Table"/>
            </w:pPr>
            <w:r>
              <w:t>Main operation mode -</w:t>
            </w:r>
            <w:r w:rsidRPr="00397DDB">
              <w:t xml:space="preserve"> heating mode in space conditioning equipment. </w:t>
            </w:r>
          </w:p>
        </w:tc>
      </w:tr>
      <w:tr w:rsidR="00690880" w:rsidRPr="00397DDB" w14:paraId="02A2B55E" w14:textId="77777777" w:rsidTr="0035768E">
        <w:tc>
          <w:tcPr>
            <w:tcW w:w="2199" w:type="dxa"/>
          </w:tcPr>
          <w:p w14:paraId="782FCBB4" w14:textId="77777777" w:rsidR="00690880" w:rsidRPr="00397DDB" w:rsidRDefault="00690880" w:rsidP="0035768E">
            <w:pPr>
              <w:pStyle w:val="Table"/>
            </w:pPr>
            <w:r w:rsidRPr="00397DDB">
              <w:t>Operation 2</w:t>
            </w:r>
          </w:p>
        </w:tc>
        <w:tc>
          <w:tcPr>
            <w:tcW w:w="7150" w:type="dxa"/>
          </w:tcPr>
          <w:p w14:paraId="5CA6B60B" w14:textId="77777777" w:rsidR="00690880" w:rsidRPr="00397DDB" w:rsidRDefault="00690880" w:rsidP="0035768E">
            <w:pPr>
              <w:pStyle w:val="Table"/>
            </w:pPr>
            <w:r w:rsidRPr="00397DDB">
              <w:t xml:space="preserve">Main operation mode </w:t>
            </w:r>
            <w:r>
              <w:t>-</w:t>
            </w:r>
            <w:r w:rsidRPr="00397DDB">
              <w:t xml:space="preserve"> cooling </w:t>
            </w:r>
            <w:r>
              <w:t xml:space="preserve">mode </w:t>
            </w:r>
            <w:r w:rsidRPr="00397DDB">
              <w:t>in space conditioning equipment</w:t>
            </w:r>
          </w:p>
        </w:tc>
      </w:tr>
      <w:tr w:rsidR="00690880" w:rsidRPr="00397DDB" w14:paraId="19A5F774" w14:textId="77777777" w:rsidTr="0035768E">
        <w:tc>
          <w:tcPr>
            <w:tcW w:w="2199" w:type="dxa"/>
          </w:tcPr>
          <w:p w14:paraId="371483CE" w14:textId="77777777" w:rsidR="00690880" w:rsidRPr="00397DDB" w:rsidRDefault="00690880" w:rsidP="0035768E">
            <w:pPr>
              <w:pStyle w:val="Table"/>
            </w:pPr>
            <w:r w:rsidRPr="00397DDB">
              <w:t>Auxiliary</w:t>
            </w:r>
          </w:p>
        </w:tc>
        <w:tc>
          <w:tcPr>
            <w:tcW w:w="7150" w:type="dxa"/>
          </w:tcPr>
          <w:p w14:paraId="29115992" w14:textId="77777777" w:rsidR="00690880" w:rsidRPr="00397DDB" w:rsidRDefault="00690880" w:rsidP="0035768E">
            <w:pPr>
              <w:pStyle w:val="Table"/>
            </w:pPr>
            <w:r w:rsidRPr="00397DDB">
              <w:t>Auxiliary mode used by some appliances such as energy use by fans in gas heaters</w:t>
            </w:r>
          </w:p>
        </w:tc>
      </w:tr>
      <w:tr w:rsidR="00690880" w:rsidRPr="00397DDB" w14:paraId="021830E6" w14:textId="77777777" w:rsidTr="0035768E">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2199" w:type="dxa"/>
          </w:tcPr>
          <w:p w14:paraId="0F12E693" w14:textId="77777777" w:rsidR="00690880" w:rsidRPr="00397DDB" w:rsidRDefault="00690880" w:rsidP="0035768E">
            <w:pPr>
              <w:pStyle w:val="Table"/>
            </w:pPr>
            <w:r w:rsidRPr="00397DDB">
              <w:t>Standby</w:t>
            </w:r>
          </w:p>
        </w:tc>
        <w:tc>
          <w:tcPr>
            <w:tcW w:w="7150" w:type="dxa"/>
          </w:tcPr>
          <w:p w14:paraId="6324492D" w14:textId="77777777" w:rsidR="00690880" w:rsidRPr="00397DDB" w:rsidRDefault="00690880" w:rsidP="0035768E">
            <w:pPr>
              <w:pStyle w:val="Table"/>
              <w:cnfStyle w:val="010000000000" w:firstRow="0" w:lastRow="1" w:firstColumn="0" w:lastColumn="0" w:oddVBand="0" w:evenVBand="0" w:oddHBand="0" w:evenHBand="0" w:firstRowFirstColumn="0" w:firstRowLastColumn="0" w:lastRowFirstColumn="0" w:lastRowLastColumn="0"/>
            </w:pPr>
            <w:r w:rsidRPr="00397DDB">
              <w:t>The modes that are non-operating (standby/off), but consuming power.</w:t>
            </w:r>
          </w:p>
        </w:tc>
      </w:tr>
    </w:tbl>
    <w:p w14:paraId="75188A18" w14:textId="77777777" w:rsidR="00690880" w:rsidRPr="00397DDB" w:rsidRDefault="00690880" w:rsidP="00690880">
      <w:pPr>
        <w:pStyle w:val="Table"/>
      </w:pPr>
    </w:p>
    <w:p w14:paraId="7678D242" w14:textId="77777777" w:rsidR="00690880" w:rsidRDefault="00690880" w:rsidP="00470E3E"/>
    <w:p w14:paraId="0D6BB657" w14:textId="77777777" w:rsidR="00470E3E" w:rsidRDefault="00470E3E" w:rsidP="00470E3E">
      <w:r>
        <w:t xml:space="preserve">Unit Power Demand (UPD) is currently determined in a similar way to UEC, but the focus is on the proportion of equipment operating at a given time which is mainly derived from their usage profile, and can be expressed as:  </w:t>
      </w:r>
    </w:p>
    <w:p w14:paraId="783EE412" w14:textId="77777777" w:rsidR="00470E3E" w:rsidRPr="001C6212" w:rsidRDefault="00470E3E" w:rsidP="00470E3E">
      <w:pPr>
        <w:rPr>
          <w:i/>
        </w:rPr>
      </w:pPr>
      <w:r>
        <w:rPr>
          <w:i/>
        </w:rPr>
        <w:t>UPD</w:t>
      </w:r>
      <w:r w:rsidRPr="001C6212">
        <w:rPr>
          <w:i/>
        </w:rPr>
        <w:t xml:space="preserve"> = </w:t>
      </w:r>
      <w:r>
        <w:rPr>
          <w:i/>
        </w:rPr>
        <w:t>Proportion of equipment operating</w:t>
      </w:r>
      <w:r w:rsidRPr="001C6212">
        <w:rPr>
          <w:i/>
        </w:rPr>
        <w:t xml:space="preserve"> * Unit </w:t>
      </w:r>
      <w:r>
        <w:rPr>
          <w:i/>
        </w:rPr>
        <w:t>Power</w:t>
      </w:r>
      <w:r w:rsidRPr="001C6212">
        <w:rPr>
          <w:i/>
        </w:rPr>
        <w:t xml:space="preserve"> </w:t>
      </w:r>
      <w:r>
        <w:rPr>
          <w:i/>
        </w:rPr>
        <w:t>Input.</w:t>
      </w:r>
      <w:r w:rsidRPr="001C6212">
        <w:rPr>
          <w:i/>
        </w:rPr>
        <w:t xml:space="preserve"> </w:t>
      </w:r>
      <w:r w:rsidRPr="001C6212">
        <w:rPr>
          <w:i/>
        </w:rPr>
        <w:tab/>
        <w:t xml:space="preserve"> </w:t>
      </w:r>
    </w:p>
    <w:p w14:paraId="1FC076C9" w14:textId="75AB5431" w:rsidR="00470E3E" w:rsidRDefault="00470E3E" w:rsidP="00470E3E">
      <w:r>
        <w:t>Consequently UPD is estimated for peak</w:t>
      </w:r>
      <w:r w:rsidR="000B6AED">
        <w:t xml:space="preserve"> </w:t>
      </w:r>
      <w:r>
        <w:t xml:space="preserve">(maximum) demand periods during a year.  This means information on the usage behaviour for the equipment during the peak periods of interest, and on the operating power input requirements of the equipment, are essential for determining UPD in any period. </w:t>
      </w:r>
      <w:r w:rsidRPr="006B420C">
        <w:t xml:space="preserve">The calculation of estimated peak demand is further explained </w:t>
      </w:r>
      <w:r>
        <w:t xml:space="preserve">in the section </w:t>
      </w:r>
      <w:r>
        <w:fldChar w:fldCharType="begin"/>
      </w:r>
      <w:r>
        <w:instrText xml:space="preserve"> REF _Ref401219327 \h </w:instrText>
      </w:r>
      <w:r>
        <w:fldChar w:fldCharType="separate"/>
      </w:r>
      <w:r w:rsidR="00FF581E">
        <w:t>Peak Electricity Demand</w:t>
      </w:r>
      <w:r w:rsidR="00FF581E" w:rsidRPr="00DB6643">
        <w:t xml:space="preserve"> </w:t>
      </w:r>
      <w:r w:rsidR="00FF581E">
        <w:t>Method</w:t>
      </w:r>
      <w:r>
        <w:fldChar w:fldCharType="end"/>
      </w:r>
      <w:r w:rsidRPr="006B420C">
        <w:t>.</w:t>
      </w:r>
    </w:p>
    <w:p w14:paraId="3599B464" w14:textId="50832421" w:rsidR="00470E3E" w:rsidRPr="009F3BD5" w:rsidRDefault="00470E3E" w:rsidP="00470E3E">
      <w:pPr>
        <w:rPr>
          <w:iCs/>
        </w:rPr>
      </w:pPr>
      <w:r>
        <w:t xml:space="preserve">In the RBS2.0, average power demand during specific time periods </w:t>
      </w:r>
      <w:r w:rsidR="00C52C7C">
        <w:t xml:space="preserve">will </w:t>
      </w:r>
      <w:r>
        <w:t>be calculated using a different method, and this is the subject of one of the potential enhancements discussed in this Methodology report</w:t>
      </w:r>
      <w:r w:rsidR="00F14475">
        <w:t xml:space="preserve"> (see section </w:t>
      </w:r>
      <w:r w:rsidR="00F14475">
        <w:fldChar w:fldCharType="begin"/>
      </w:r>
      <w:r w:rsidR="00F14475">
        <w:instrText xml:space="preserve"> REF _Ref47977484 \r \h </w:instrText>
      </w:r>
      <w:r w:rsidR="00F14475">
        <w:fldChar w:fldCharType="separate"/>
      </w:r>
      <w:r w:rsidR="00FF581E">
        <w:t>5</w:t>
      </w:r>
      <w:r w:rsidR="00F14475">
        <w:fldChar w:fldCharType="end"/>
      </w:r>
      <w:r w:rsidR="00F14475">
        <w:t xml:space="preserve">. </w:t>
      </w:r>
      <w:r w:rsidR="00F14475">
        <w:fldChar w:fldCharType="begin"/>
      </w:r>
      <w:r w:rsidR="00F14475">
        <w:instrText xml:space="preserve"> REF _Ref47977484 \h </w:instrText>
      </w:r>
      <w:r w:rsidR="00F14475">
        <w:fldChar w:fldCharType="separate"/>
      </w:r>
      <w:r w:rsidR="00FF581E">
        <w:t>Detailed Enhancement Methodology and Approach</w:t>
      </w:r>
      <w:r w:rsidR="00F14475">
        <w:fldChar w:fldCharType="end"/>
      </w:r>
      <w:r w:rsidR="00F14475">
        <w:t>)</w:t>
      </w:r>
      <w:r>
        <w:t>.</w:t>
      </w:r>
      <w:r w:rsidR="00C52C7C">
        <w:t xml:space="preserve"> </w:t>
      </w:r>
      <w:r w:rsidR="009F3BD5">
        <w:t xml:space="preserve">This method will derive average UPD for a given hour from </w:t>
      </w:r>
      <w:r w:rsidR="00F14475">
        <w:t xml:space="preserve">stock-weighted average </w:t>
      </w:r>
      <w:r w:rsidR="009F3BD5">
        <w:t>UEC, with the proportion of UEC determined using the product</w:t>
      </w:r>
      <w:r w:rsidR="003A7417">
        <w:t>’</w:t>
      </w:r>
      <w:r w:rsidR="009F3BD5">
        <w:t xml:space="preserve">s </w:t>
      </w:r>
      <w:r w:rsidR="00F14475">
        <w:t xml:space="preserve">time of use </w:t>
      </w:r>
      <w:r w:rsidR="009F3BD5">
        <w:t>profile</w:t>
      </w:r>
      <w:r w:rsidR="00F14475">
        <w:t xml:space="preserve"> and seasonal/day type proportion of energy use</w:t>
      </w:r>
      <w:r w:rsidR="009F3BD5">
        <w:t xml:space="preserve">. This calculation approach will be used as </w:t>
      </w:r>
      <w:r w:rsidR="00F14475">
        <w:t xml:space="preserve">stock-weighted average </w:t>
      </w:r>
      <w:r w:rsidR="009F3BD5">
        <w:t>UEC incorporates average unit efficiency</w:t>
      </w:r>
      <w:r w:rsidR="00F14475">
        <w:t xml:space="preserve"> and usage</w:t>
      </w:r>
      <w:r w:rsidR="009F3BD5">
        <w:t xml:space="preserve">, and hence </w:t>
      </w:r>
      <w:r w:rsidR="002E5530">
        <w:t xml:space="preserve">recognises </w:t>
      </w:r>
      <w:r w:rsidR="009F3BD5">
        <w:t xml:space="preserve">that many products do not always operate at their </w:t>
      </w:r>
      <w:r w:rsidR="002E5530">
        <w:t xml:space="preserve">Unit Power Input level. </w:t>
      </w:r>
    </w:p>
    <w:p w14:paraId="64AA4315" w14:textId="77777777" w:rsidR="00470E3E" w:rsidRDefault="00470E3E" w:rsidP="00470E3E">
      <w:pPr>
        <w:pStyle w:val="Heading2"/>
      </w:pPr>
      <w:bookmarkStart w:id="55" w:name="_Ref397962517"/>
      <w:bookmarkStart w:id="56" w:name="_Toc427932598"/>
      <w:bookmarkStart w:id="57" w:name="_Toc99115777"/>
      <w:r>
        <w:lastRenderedPageBreak/>
        <w:t xml:space="preserve">Space Conditioning </w:t>
      </w:r>
      <w:bookmarkEnd w:id="55"/>
      <w:r>
        <w:t>Method</w:t>
      </w:r>
      <w:bookmarkEnd w:id="56"/>
      <w:bookmarkEnd w:id="57"/>
    </w:p>
    <w:p w14:paraId="72DC65E6" w14:textId="77777777" w:rsidR="00470E3E" w:rsidRDefault="00470E3E" w:rsidP="00470E3E">
      <w:r>
        <w:t>Though there are plenty of complexities and challenges in determining UEC and UPD for all types of appliances, one of the main challenges in the calculations comes when considering space conditioning equipment.  For space conditioning equipment the use will vary with the locality, weather, building shell efficiency, building size, zoning, equipment type and occupant usage behaviours, plus through the interaction of these variables.</w:t>
      </w:r>
      <w:r w:rsidRPr="00BA7183">
        <w:t xml:space="preserve"> </w:t>
      </w:r>
      <w:r>
        <w:t>As space conditioning is typically a large driver of energy consumption, some  additional complexity is required in the methodology for modelling space conditioning in order to obtain reasonable model accuracy.</w:t>
      </w:r>
    </w:p>
    <w:p w14:paraId="0C3E30A1" w14:textId="77777777" w:rsidR="00470E3E" w:rsidRDefault="00470E3E" w:rsidP="00470E3E">
      <w:r>
        <w:t>There are many methods for estimating space conditioning energy use and demand, but broadly they can be divided into</w:t>
      </w:r>
      <w:r w:rsidRPr="006A2108">
        <w:t xml:space="preserve"> </w:t>
      </w:r>
      <w:r>
        <w:t>three approaches as identified by Stern (2013):</w:t>
      </w:r>
    </w:p>
    <w:p w14:paraId="48DC3E92" w14:textId="77777777" w:rsidR="00470E3E" w:rsidRPr="00A33BD4" w:rsidRDefault="00470E3E" w:rsidP="00470E3E">
      <w:pPr>
        <w:pStyle w:val="Bullets-Minor"/>
      </w:pPr>
      <w:r w:rsidRPr="00A33BD4">
        <w:t>measurement/metering based approaches (billing, metered data, hours of use analysis)</w:t>
      </w:r>
    </w:p>
    <w:p w14:paraId="445935B7" w14:textId="77777777" w:rsidR="00470E3E" w:rsidRPr="00A33BD4" w:rsidRDefault="00470E3E" w:rsidP="00470E3E">
      <w:pPr>
        <w:pStyle w:val="Bullets-Minor"/>
      </w:pPr>
      <w:r w:rsidRPr="00A33BD4">
        <w:t xml:space="preserve">engineering algorithm models </w:t>
      </w:r>
    </w:p>
    <w:p w14:paraId="2D6E7CAE" w14:textId="77777777" w:rsidR="00470E3E" w:rsidRPr="00A33BD4" w:rsidRDefault="00470E3E" w:rsidP="00470E3E">
      <w:pPr>
        <w:pStyle w:val="Bullets-Minor"/>
      </w:pPr>
      <w:r w:rsidRPr="00A33BD4">
        <w:t xml:space="preserve">building thermal modelling.  </w:t>
      </w:r>
    </w:p>
    <w:p w14:paraId="02B1F8D4" w14:textId="77777777" w:rsidR="00470E3E" w:rsidRDefault="00470E3E" w:rsidP="00470E3E">
      <w:r>
        <w:t xml:space="preserve">In Australia and New Zealand there is relatively limited data available to use measurement/metering based approaches. What data there is available is based on small and/or localised residential samples, which makes extrapolating this data to the general population problematic. The building thermal modelling, using AccuRate software developed by CSIRO, and engineering algorithm approaches however have both been used and are accepted methods for predicting energy use and demand.  </w:t>
      </w:r>
    </w:p>
    <w:p w14:paraId="00A399C9" w14:textId="77777777" w:rsidR="00470E3E" w:rsidRDefault="00470E3E" w:rsidP="00470E3E">
      <w:r>
        <w:t>Thermal modelling involves the modelling of the energy requirements of a building to achieve specified internal thermal comfort conditions, such as temperature ranges, with the modelling being based on the specific design, construction and orientation of the building.  Such modelling is conducted by programs such as AccuRate and other software tools accredited by the Nationwide House Energy Rating Scheme (</w:t>
      </w:r>
      <w:r w:rsidRPr="00014DD9">
        <w:t>N</w:t>
      </w:r>
      <w:r>
        <w:t>at</w:t>
      </w:r>
      <w:r w:rsidRPr="00014DD9">
        <w:t>HERS</w:t>
      </w:r>
      <w:r>
        <w:t xml:space="preserve">) (NatHERS 2015) to model the building shell efficiency of residential dwellings and can be used to estimate the heating and cooling energy demanded by the dwelling design in different climate zones to meet specified interior comfort conditions.  </w:t>
      </w:r>
    </w:p>
    <w:p w14:paraId="1F4F736A" w14:textId="77777777" w:rsidR="00470E3E" w:rsidRDefault="00470E3E" w:rsidP="00470E3E">
      <w:r>
        <w:t>However, on its own, thermal modelling cannot meet the requirements of the RBS to determine the energy used in Australia for space conditioning.  Information on the heating/cooling demand (i.e. the output of thermal modelling) needs to be combined with information on what actual space conditioning equipment is installed and with information on usage behaviour in order to estimate actual energy use.  In other words, thermal modelling on its own cannot be used to determine energy use unless it is combined in an engineering algorithm model that incorporates equipment and use data.</w:t>
      </w:r>
    </w:p>
    <w:p w14:paraId="5D29B44B" w14:textId="6A450CC0" w:rsidR="00D31F61" w:rsidRDefault="00470E3E" w:rsidP="00470E3E">
      <w:r>
        <w:t>This combined thermal modelling/engineering algorithm approach is what was used in the previous RBS (RBS 2015) and in the older ‘</w:t>
      </w:r>
      <w:r w:rsidRPr="00005629">
        <w:t>Energy Use in the Australian Residential Sector’</w:t>
      </w:r>
      <w:r>
        <w:t xml:space="preserve">  (EES 2008) and this combined approach will again be used in the current RBS.  </w:t>
      </w:r>
    </w:p>
    <w:p w14:paraId="460B673E" w14:textId="69F7A960" w:rsidR="00470E3E" w:rsidRDefault="00470E3E" w:rsidP="00470E3E">
      <w:r>
        <w:lastRenderedPageBreak/>
        <w:t>The two key components of the current modelling approach are:</w:t>
      </w:r>
    </w:p>
    <w:p w14:paraId="3E8495FE" w14:textId="77777777" w:rsidR="00470E3E" w:rsidRDefault="00470E3E" w:rsidP="00470E3E">
      <w:pPr>
        <w:pStyle w:val="Bullets-Major"/>
        <w:numPr>
          <w:ilvl w:val="0"/>
          <w:numId w:val="26"/>
        </w:numPr>
        <w:overflowPunct w:val="0"/>
        <w:autoSpaceDE w:val="0"/>
        <w:autoSpaceDN w:val="0"/>
        <w:adjustRightInd w:val="0"/>
        <w:spacing w:before="240" w:after="0" w:line="252" w:lineRule="auto"/>
        <w:ind w:right="0"/>
        <w:jc w:val="both"/>
        <w:textAlignment w:val="baseline"/>
      </w:pPr>
      <w:r w:rsidRPr="007610F5">
        <w:rPr>
          <w:u w:val="single"/>
        </w:rPr>
        <w:t>Engineering algorithm modelling</w:t>
      </w:r>
      <w:r>
        <w:t xml:space="preserve"> that uses data on space conditioning stock numbers, equipment efficiency and usage behaviour to determine the energy use of space conditioning equipment.  This modelling is fundamentally the same as that used for all other products in the RBS model and is driven by stock models and calculation of Unit Energy Consumption (UEC) as previously described. </w:t>
      </w:r>
    </w:p>
    <w:p w14:paraId="7F7B18F8" w14:textId="3C73F89E" w:rsidR="00470E3E" w:rsidRDefault="00470E3E" w:rsidP="00470E3E">
      <w:pPr>
        <w:pStyle w:val="ListParagraph"/>
        <w:numPr>
          <w:ilvl w:val="0"/>
          <w:numId w:val="26"/>
        </w:numPr>
      </w:pPr>
      <w:r w:rsidRPr="00E5782D">
        <w:rPr>
          <w:u w:val="single"/>
        </w:rPr>
        <w:t>Thermal modelling</w:t>
      </w:r>
      <w:r>
        <w:t xml:space="preserve"> </w:t>
      </w:r>
      <w:r w:rsidR="00B21C32">
        <w:t xml:space="preserve">is </w:t>
      </w:r>
      <w:r>
        <w:t>used to estimate the potential impact of changes in building shell efficiency over time on space conditioning energy demand. The RBS approach uses a stock model of housing stock to determine the changes in average thermal efficiency in States over time, with building shell thermal efficiency determined through AccuRate modelling. These changes in estimated energy requirements are then expressed as a ‘Usage Adjustment Factor- Building Shell’, which is a percentage increase or decrease in estimated energy required compared to a base year</w:t>
      </w:r>
      <w:r>
        <w:rPr>
          <w:rStyle w:val="FootnoteReference"/>
        </w:rPr>
        <w:footnoteReference w:id="11"/>
      </w:r>
      <w:r>
        <w:t xml:space="preserve">.  The Usage Adjustment Factor- Building Shell could then be fed into the engineering algorithm component of the model and impacts on energy use directly determined.  </w:t>
      </w:r>
    </w:p>
    <w:p w14:paraId="3079F148" w14:textId="77777777" w:rsidR="00470E3E" w:rsidRDefault="00470E3E" w:rsidP="00470E3E">
      <w:r>
        <w:t>The RBS space conditioning method therefore starts with the engineering algorithm approach, hence with Unit Energy Consumption.  UEC in its relevant form is stated as:</w:t>
      </w:r>
    </w:p>
    <w:p w14:paraId="512A357E" w14:textId="77777777" w:rsidR="00470E3E" w:rsidRPr="00A11C9D" w:rsidRDefault="00470E3E" w:rsidP="00470E3E">
      <w:pPr>
        <w:rPr>
          <w:i/>
        </w:rPr>
      </w:pPr>
      <w:r w:rsidRPr="001C6212">
        <w:rPr>
          <w:i/>
        </w:rPr>
        <w:t>UEC = Hours of usage * Unit Capacity * Unit Effici</w:t>
      </w:r>
      <w:r>
        <w:rPr>
          <w:i/>
        </w:rPr>
        <w:t>e</w:t>
      </w:r>
      <w:r w:rsidRPr="001C6212">
        <w:rPr>
          <w:i/>
        </w:rPr>
        <w:t>ncy</w:t>
      </w:r>
      <w:r w:rsidRPr="00A11C9D">
        <w:rPr>
          <w:i/>
        </w:rPr>
        <w:t xml:space="preserve"> </w:t>
      </w:r>
    </w:p>
    <w:p w14:paraId="5B52F08C" w14:textId="77777777" w:rsidR="00470E3E" w:rsidRDefault="00470E3E" w:rsidP="00470E3E">
      <w:r>
        <w:t xml:space="preserve">There was extensive information available on the Unit Capacity and Unit Efficiency of space conditioning equipment, so the information was obtained to enable this part of the modelling method to be implemented.  There was also information available on the operating hours of space conditioning equipment across different types of equipment and States in Australia (e.g. ABS HEC 2014).  </w:t>
      </w:r>
    </w:p>
    <w:p w14:paraId="17E31988" w14:textId="77777777" w:rsidR="00470E3E" w:rsidRDefault="00470E3E" w:rsidP="00470E3E">
      <w:r>
        <w:t>A further complication for the model was that Hours of Usage</w:t>
      </w:r>
      <w:r>
        <w:rPr>
          <w:rStyle w:val="FootnoteReference"/>
          <w:i/>
        </w:rPr>
        <w:footnoteReference w:id="12"/>
      </w:r>
      <w:r>
        <w:t xml:space="preserve"> does not directly equate to the number of hours that each unit is operating at its Unit Capacity (i.e. registered capacity).  Issues affecting the calculation of a relevant Hours of Usage variable include:</w:t>
      </w:r>
    </w:p>
    <w:p w14:paraId="7E5734BE" w14:textId="77777777" w:rsidR="00470E3E" w:rsidRPr="00A33BD4" w:rsidRDefault="00470E3E" w:rsidP="00470E3E">
      <w:pPr>
        <w:pStyle w:val="Bullets-Minor"/>
      </w:pPr>
      <w:r w:rsidRPr="00A33BD4">
        <w:t>Duty Cycle: Most space heating equipment is thermostatically controlled and is automatically switched on and off, or its output up or down, according to the temperature requirements of the space being conditioned. The proportion of the Hours of Usage that the equipment operates depends on its duty cycle</w:t>
      </w:r>
      <w:r w:rsidRPr="00377CC1">
        <w:rPr>
          <w:rStyle w:val="FootnoteReference"/>
        </w:rPr>
        <w:footnoteReference w:id="13"/>
      </w:r>
      <w:r w:rsidRPr="00377CC1">
        <w:rPr>
          <w:vertAlign w:val="superscript"/>
        </w:rPr>
        <w:t>.</w:t>
      </w:r>
      <w:r w:rsidRPr="00A33BD4">
        <w:t xml:space="preserve">  </w:t>
      </w:r>
    </w:p>
    <w:p w14:paraId="728F6205" w14:textId="2DAE812A" w:rsidR="00470E3E" w:rsidRPr="00A33BD4" w:rsidRDefault="00470E3E" w:rsidP="00470E3E">
      <w:pPr>
        <w:pStyle w:val="Bullets-Minor"/>
      </w:pPr>
      <w:r w:rsidRPr="00A33BD4">
        <w:t xml:space="preserve">Reverse Cycle Use: Reverse cycle air conditioning equipment introduces another modelling issue in that the proportion of equipment used for heating and/or </w:t>
      </w:r>
      <w:r w:rsidRPr="00A33BD4">
        <w:lastRenderedPageBreak/>
        <w:t xml:space="preserve">cooling varies between climate zones. So only 5% of AC units may be used for heating in the Northern Territory, but 95% may be </w:t>
      </w:r>
      <w:r w:rsidR="00B21C32">
        <w:t xml:space="preserve">used for heating </w:t>
      </w:r>
      <w:r w:rsidRPr="00A33BD4">
        <w:t xml:space="preserve">in Tasmania. </w:t>
      </w:r>
    </w:p>
    <w:p w14:paraId="01B0438B" w14:textId="77777777" w:rsidR="00470E3E" w:rsidRPr="00A33BD4" w:rsidRDefault="00470E3E" w:rsidP="00470E3E">
      <w:pPr>
        <w:pStyle w:val="Bullets-Minor"/>
      </w:pPr>
      <w:r w:rsidRPr="00A33BD4">
        <w:t xml:space="preserve">Saturation: When a dwelling has multiple heaters or air conditioners, they will not all be used equally, with the second and third unit generally being used less.  So allowance needs to be made for the saturation of equipment. </w:t>
      </w:r>
    </w:p>
    <w:p w14:paraId="621BEA5C" w14:textId="77777777" w:rsidR="00470E3E" w:rsidRPr="00A33BD4" w:rsidRDefault="00470E3E" w:rsidP="00470E3E">
      <w:pPr>
        <w:pStyle w:val="Bullets-Minor"/>
      </w:pPr>
      <w:r w:rsidRPr="00A33BD4">
        <w:t xml:space="preserve">Housing Occupancy: Approximately 10% of dwellings are unoccupied at any given time, so use of equipment needs to account for this.  This applies to space heating and all other equipment, to varying degrees, too. </w:t>
      </w:r>
    </w:p>
    <w:p w14:paraId="63FAB479" w14:textId="77777777" w:rsidR="00470E3E" w:rsidRDefault="00470E3E" w:rsidP="00470E3E">
      <w:r>
        <w:t xml:space="preserve">To accommodate all of these factors that influence Hours of Use a series of Usage Adjustment Factors (UAF) have been developed and included in the model, which correspond to the factors listed above.  So there is a Usage Adjustment Factor- Duty Cycle, a Usage Adjustment Factor- Reverse Cycle, etc. as well as the Usage Adjustment Factor- Building Shell previously mentioned.  The total impact of these factors is calculated in the model by multiplying the different factors together to determine the overall </w:t>
      </w:r>
      <w:r w:rsidRPr="006310A9">
        <w:rPr>
          <w:i/>
        </w:rPr>
        <w:t>Usage Adjustment Factor</w:t>
      </w:r>
      <w:r>
        <w:rPr>
          <w:i/>
        </w:rPr>
        <w:t>.</w:t>
      </w:r>
    </w:p>
    <w:p w14:paraId="23EA69C3" w14:textId="77777777" w:rsidR="00470E3E" w:rsidRDefault="00470E3E" w:rsidP="00470E3E">
      <w:r>
        <w:t xml:space="preserve">The </w:t>
      </w:r>
      <w:r w:rsidRPr="006310A9">
        <w:rPr>
          <w:i/>
        </w:rPr>
        <w:t>Usage Adjustment Factor</w:t>
      </w:r>
      <w:r>
        <w:t xml:space="preserve"> is included in the </w:t>
      </w:r>
      <w:r w:rsidRPr="00847C16">
        <w:rPr>
          <w:i/>
        </w:rPr>
        <w:t xml:space="preserve">UEC </w:t>
      </w:r>
      <w:r>
        <w:t>formula and expressed in its revised form as:</w:t>
      </w:r>
    </w:p>
    <w:p w14:paraId="72E83594" w14:textId="77777777" w:rsidR="00470E3E" w:rsidRPr="00A11C9D" w:rsidRDefault="00470E3E" w:rsidP="00470E3E">
      <w:pPr>
        <w:rPr>
          <w:i/>
        </w:rPr>
      </w:pPr>
      <w:r w:rsidRPr="001C6212">
        <w:rPr>
          <w:i/>
        </w:rPr>
        <w:t xml:space="preserve">UEC = Hours of usage * </w:t>
      </w:r>
      <w:r>
        <w:rPr>
          <w:i/>
        </w:rPr>
        <w:t xml:space="preserve">Usage Adjustment Factor * </w:t>
      </w:r>
      <w:r w:rsidRPr="001C6212">
        <w:rPr>
          <w:i/>
        </w:rPr>
        <w:t>Unit Capacity * Unit Effici</w:t>
      </w:r>
      <w:r>
        <w:rPr>
          <w:i/>
        </w:rPr>
        <w:t>e</w:t>
      </w:r>
      <w:r w:rsidRPr="001C6212">
        <w:rPr>
          <w:i/>
        </w:rPr>
        <w:t>ncy</w:t>
      </w:r>
      <w:r w:rsidRPr="00A11C9D">
        <w:rPr>
          <w:i/>
        </w:rPr>
        <w:t xml:space="preserve"> </w:t>
      </w:r>
    </w:p>
    <w:p w14:paraId="515C6381" w14:textId="26B36389" w:rsidR="00470E3E" w:rsidRDefault="00470E3E" w:rsidP="00470E3E">
      <w:r>
        <w:t>The resulting approach means space conditioning energy use can be calculated in a manner consistent with that used for other residential equipment but the modelling approach can still incorporate all the complexities of space conditioning and the impact of building shell efficiency on its energy use.</w:t>
      </w:r>
      <w:r w:rsidR="002E5530">
        <w:t xml:space="preserve"> This approach is unchanged in the RBS2.0.</w:t>
      </w:r>
    </w:p>
    <w:p w14:paraId="606225B3" w14:textId="77777777" w:rsidR="00470E3E" w:rsidRDefault="00470E3E" w:rsidP="00470E3E">
      <w:pPr>
        <w:pStyle w:val="Heading2"/>
      </w:pPr>
      <w:bookmarkStart w:id="58" w:name="_Ref394588270"/>
      <w:bookmarkStart w:id="59" w:name="_Ref401219327"/>
      <w:bookmarkStart w:id="60" w:name="_Toc427932599"/>
      <w:bookmarkStart w:id="61" w:name="_Toc99115778"/>
      <w:r>
        <w:t>Peak Electricity Demand</w:t>
      </w:r>
      <w:r w:rsidRPr="00DB6643">
        <w:t xml:space="preserve"> </w:t>
      </w:r>
      <w:bookmarkEnd w:id="58"/>
      <w:r>
        <w:t>Method</w:t>
      </w:r>
      <w:bookmarkEnd w:id="59"/>
      <w:bookmarkEnd w:id="60"/>
      <w:bookmarkEnd w:id="61"/>
    </w:p>
    <w:p w14:paraId="304D3C10" w14:textId="1B372FC4" w:rsidR="00470E3E" w:rsidRDefault="00470E3E" w:rsidP="00470E3E">
      <w:r>
        <w:t>The peak demand modelling of the RBS is aimed at facilitating the development of measures to address peak load as well as general energy efficiency. The model was designed to estimate the trends in potential maximum peak demand in each State, during winter evenings and summer evenings, in response to changes in appliance and building shell efficiency over time.  Winter and summer evenings were the time period</w:t>
      </w:r>
      <w:r w:rsidR="002E5530">
        <w:t>s</w:t>
      </w:r>
      <w:r>
        <w:t xml:space="preserve"> modelled as this is when the residential maximum electricity demand occurs in response to extreme weather events.</w:t>
      </w:r>
    </w:p>
    <w:p w14:paraId="1E060B34" w14:textId="77777777" w:rsidR="00470E3E" w:rsidRDefault="00470E3E" w:rsidP="00470E3E">
      <w:r w:rsidRPr="006A1159">
        <w:t xml:space="preserve">The peak load of space conditioning equipment </w:t>
      </w:r>
      <w:r>
        <w:t xml:space="preserve">is </w:t>
      </w:r>
      <w:r w:rsidRPr="006A1159">
        <w:t>calculated using</w:t>
      </w:r>
      <w:r>
        <w:t xml:space="preserve"> a</w:t>
      </w:r>
      <w:r w:rsidRPr="006A1159">
        <w:t xml:space="preserve"> </w:t>
      </w:r>
      <w:r>
        <w:t>variation of the ‘Combined Approach’, one</w:t>
      </w:r>
      <w:r w:rsidRPr="006A1159">
        <w:t xml:space="preserve"> </w:t>
      </w:r>
      <w:r>
        <w:t>of the six peak demand savings estimation approaches identified by the US National Renewable Energy Laboratory, Stern (2013).  This approach was defined to estimate the demand savings from energy efficiency actions but has been varied to simply estimate residential peak demand. The Combined Approach is an engineering algorithm approach to calculating maximum potential demand, with the impact of building shell efficiency also integrated into the model, which is a similar combination of methods to that used for modelling space conditioning energy use.</w:t>
      </w:r>
    </w:p>
    <w:p w14:paraId="68E8981D" w14:textId="77777777" w:rsidR="00470E3E" w:rsidRDefault="00470E3E" w:rsidP="00470E3E">
      <w:r w:rsidRPr="00EC5DFD">
        <w:lastRenderedPageBreak/>
        <w:t xml:space="preserve">TecMarket Works </w:t>
      </w:r>
      <w:r>
        <w:t xml:space="preserve">(2004, cited Stern, 2013) summarises the relevant engineering algorithm for estimating demand savings from equipment, and a variation of this for estimating demand is presented as follows: </w:t>
      </w:r>
    </w:p>
    <w:p w14:paraId="3E2082A7" w14:textId="7C8A064E" w:rsidR="00470E3E" w:rsidRPr="00A11C9D" w:rsidRDefault="00470E3E" w:rsidP="00470E3E">
      <w:pPr>
        <w:rPr>
          <w:i/>
        </w:rPr>
      </w:pPr>
      <w:r>
        <w:rPr>
          <w:i/>
        </w:rPr>
        <w:t>kW</w:t>
      </w:r>
      <w:r w:rsidR="000B6AED">
        <w:rPr>
          <w:i/>
        </w:rPr>
        <w:t xml:space="preserve"> </w:t>
      </w:r>
      <w:r>
        <w:rPr>
          <w:i/>
        </w:rPr>
        <w:t>Demand</w:t>
      </w:r>
      <w:r w:rsidRPr="001C6212">
        <w:rPr>
          <w:i/>
        </w:rPr>
        <w:t xml:space="preserve"> = </w:t>
      </w:r>
      <w:r>
        <w:rPr>
          <w:i/>
        </w:rPr>
        <w:t xml:space="preserve">units </w:t>
      </w:r>
      <w:r w:rsidRPr="001C6212">
        <w:rPr>
          <w:i/>
        </w:rPr>
        <w:t xml:space="preserve">* </w:t>
      </w:r>
      <w:r>
        <w:rPr>
          <w:i/>
        </w:rPr>
        <w:t xml:space="preserve">kW/unit * RLF </w:t>
      </w:r>
      <w:r w:rsidRPr="001C6212">
        <w:rPr>
          <w:i/>
        </w:rPr>
        <w:t xml:space="preserve">* </w:t>
      </w:r>
      <w:r>
        <w:rPr>
          <w:i/>
        </w:rPr>
        <w:t xml:space="preserve">DF * CF </w:t>
      </w:r>
    </w:p>
    <w:p w14:paraId="00410CA6" w14:textId="77777777" w:rsidR="00470E3E" w:rsidRPr="00EC5DFD" w:rsidRDefault="00470E3E" w:rsidP="00470E3E">
      <w:pPr>
        <w:keepNext/>
        <w:keepLines/>
      </w:pPr>
      <w:r w:rsidRPr="00EC5DFD">
        <w:t xml:space="preserve">Where: </w:t>
      </w:r>
    </w:p>
    <w:p w14:paraId="5A8EF6D3" w14:textId="77777777" w:rsidR="00470E3E" w:rsidRPr="00A33BD4" w:rsidRDefault="00470E3E" w:rsidP="00470E3E">
      <w:pPr>
        <w:pStyle w:val="Bullets-Minor"/>
      </w:pPr>
      <w:r w:rsidRPr="00A33BD4">
        <w:t xml:space="preserve">kW Demand =  demand from relevant equipment that contributes to the system peak </w:t>
      </w:r>
    </w:p>
    <w:p w14:paraId="399FD12C" w14:textId="77777777" w:rsidR="00470E3E" w:rsidRPr="00A33BD4" w:rsidRDefault="00470E3E" w:rsidP="00470E3E">
      <w:pPr>
        <w:pStyle w:val="Bullets-Minor"/>
      </w:pPr>
      <w:r w:rsidRPr="00A33BD4">
        <w:t xml:space="preserve">Units = units of relevant equipment </w:t>
      </w:r>
    </w:p>
    <w:p w14:paraId="43286904" w14:textId="77777777" w:rsidR="00470E3E" w:rsidRPr="00A33BD4" w:rsidRDefault="00470E3E" w:rsidP="00470E3E">
      <w:pPr>
        <w:pStyle w:val="Bullets-Minor"/>
      </w:pPr>
      <w:r w:rsidRPr="00A33BD4">
        <w:t>kW/unit = unit demand of equipment (for space conditioning the maximum input power rating)</w:t>
      </w:r>
    </w:p>
    <w:p w14:paraId="005184BD" w14:textId="77777777" w:rsidR="00470E3E" w:rsidRPr="00A33BD4" w:rsidRDefault="00470E3E" w:rsidP="00470E3E">
      <w:pPr>
        <w:pStyle w:val="Bullets-Minor"/>
      </w:pPr>
      <w:r w:rsidRPr="00A33BD4">
        <w:t>RLF = rated load factor (the ratio between non-coincident peak and theoretical peak)</w:t>
      </w:r>
    </w:p>
    <w:p w14:paraId="525E08AC" w14:textId="77777777" w:rsidR="00470E3E" w:rsidRPr="00A33BD4" w:rsidRDefault="00470E3E" w:rsidP="00470E3E">
      <w:pPr>
        <w:pStyle w:val="Bullets-Minor"/>
      </w:pPr>
      <w:r w:rsidRPr="00A33BD4">
        <w:t xml:space="preserve">DF = diversity factor </w:t>
      </w:r>
    </w:p>
    <w:p w14:paraId="7C7F894C" w14:textId="77777777" w:rsidR="00470E3E" w:rsidRPr="00A33BD4" w:rsidRDefault="00470E3E" w:rsidP="00470E3E">
      <w:pPr>
        <w:pStyle w:val="Bullets-Minor"/>
      </w:pPr>
      <w:r w:rsidRPr="00A33BD4">
        <w:t>CF = coincidence factor.</w:t>
      </w:r>
      <w:r w:rsidRPr="002E5530">
        <w:rPr>
          <w:rStyle w:val="FootnoteReference"/>
        </w:rPr>
        <w:footnoteReference w:id="14"/>
      </w:r>
    </w:p>
    <w:p w14:paraId="43C31687" w14:textId="263B1CDA" w:rsidR="00470E3E" w:rsidRDefault="00470E3E" w:rsidP="00470E3E">
      <w:r>
        <w:t xml:space="preserve">Implementing the engineering algorithm approach </w:t>
      </w:r>
      <w:r w:rsidR="002E5530">
        <w:t xml:space="preserve">in RBS1.0 </w:t>
      </w:r>
      <w:r>
        <w:t xml:space="preserve">involved obtaining data on the number and characteristics of all residential appliances and equipment potentially operating during system peaks, and the development of programs to execute the demand equation specified above.  The potential contribution of all products modelled is calculated and the results summed to estimate the aggregate potential maximum demand for each State and nationally for each year of the study period. </w:t>
      </w:r>
    </w:p>
    <w:p w14:paraId="626C1195" w14:textId="44CEA33F" w:rsidR="002E5530" w:rsidRDefault="002E5530" w:rsidP="00470E3E">
      <w:r>
        <w:t>For RBS2.0</w:t>
      </w:r>
      <w:r w:rsidR="00CD2021">
        <w:t>, the same approach will be used for calculating peak demand but it is anticipated that the availability of additional time of use data and research, such as the CSIRO NEAR studies</w:t>
      </w:r>
      <w:r w:rsidR="002A1C34">
        <w:t xml:space="preserve"> and Solar Analytics monitoring data</w:t>
      </w:r>
      <w:r w:rsidR="00CD2021">
        <w:t xml:space="preserve">, will enhance the accuracy of the underlying </w:t>
      </w:r>
      <w:r w:rsidR="002A1C34">
        <w:t>factors</w:t>
      </w:r>
      <w:r w:rsidR="00CD2021">
        <w:t xml:space="preserve"> data driving the analysis.</w:t>
      </w:r>
    </w:p>
    <w:p w14:paraId="2E4424DE" w14:textId="77777777" w:rsidR="00470E3E" w:rsidRDefault="00470E3E" w:rsidP="00470E3E">
      <w:r>
        <w:t xml:space="preserve">The impact of building shell efficiency changes was integrated into the demand model in a similar way to the manner used to integrate building shell efficiency changes into the modelling of space conditioning energy use. Research was conducted using AccuRate modelling to determine how building shell efficiency has changed over time and the resulting changes were then incorporated into the Demand Diversity Factor, via multiplying this by “Demand Adjustment Factor”.  The model allows the user the option of using or not using the Demand Adjustment Factor when calculating peak demand. </w:t>
      </w:r>
    </w:p>
    <w:p w14:paraId="07471ABD" w14:textId="7607101E" w:rsidR="00470E3E" w:rsidRDefault="00470E3E" w:rsidP="00470E3E">
      <w:r>
        <w:t xml:space="preserve">Research (such as that of Home Energy Rating (2007)) suggests there is a strong and quantifiable link between AccuRate theoretical predictions of space conditioning peak demand and NatHERS building star ratings.  Likewise, the AccuRate modelling for dwellings with a range of efficiency undertaken for this RBS found a very high degree of correlation between modelled peak energy load in the coldest week and modelled </w:t>
      </w:r>
      <w:r>
        <w:lastRenderedPageBreak/>
        <w:t>overall annual energy consumption (i.e. 0.92 for detached housing and 0.94 for semi-detached).  The results imply that the changes in AccuRate estimated energy efficiency of dwelling stock in a given year, compared to the base year, will strongly correspond to changes in Accu</w:t>
      </w:r>
      <w:r w:rsidR="000172EE">
        <w:t>R</w:t>
      </w:r>
      <w:r>
        <w:t>ate estimated peak energy loads. Consequently the Usage Adjustment Factor- Building Shell previously discussed, was used as a Demand Adjustment Factor reflecting the impact of building shell changes on estimated power demand.  So if the Usage Adjustment Factor- Building Shell for a year indicated energy use was 25% less than the base year energy usage, energy demand would also be 25% less.</w:t>
      </w:r>
    </w:p>
    <w:p w14:paraId="4DD98014" w14:textId="77777777" w:rsidR="00470E3E" w:rsidRDefault="00470E3E" w:rsidP="00470E3E">
      <w:r>
        <w:t xml:space="preserve">However, it should be noted that there is limited research on the relationship of AccuRate ratings to real peak demand, so results will be reported for the modelling of maximum potential peak demand with and without adjustment for the estimated impact of building efficiency changes. The RBS model can also be used by the Department to model the potential impacts of building efficiency on peak demand over time.  </w:t>
      </w:r>
    </w:p>
    <w:p w14:paraId="2C135AAE" w14:textId="77777777" w:rsidR="00470E3E" w:rsidRDefault="00470E3E" w:rsidP="00470E3E">
      <w:pPr>
        <w:pStyle w:val="Heading2"/>
        <w:keepLines w:val="0"/>
      </w:pPr>
      <w:bookmarkStart w:id="62" w:name="_Toc398023063"/>
      <w:bookmarkStart w:id="63" w:name="_Toc401219419"/>
      <w:bookmarkStart w:id="64" w:name="_Toc427932600"/>
      <w:bookmarkStart w:id="65" w:name="_Toc99115779"/>
      <w:r w:rsidRPr="00AA349C">
        <w:t>Model Architecture</w:t>
      </w:r>
      <w:bookmarkEnd w:id="48"/>
      <w:bookmarkEnd w:id="49"/>
      <w:bookmarkEnd w:id="62"/>
      <w:bookmarkEnd w:id="63"/>
      <w:bookmarkEnd w:id="64"/>
      <w:bookmarkEnd w:id="65"/>
      <w:r>
        <w:t xml:space="preserve"> </w:t>
      </w:r>
    </w:p>
    <w:p w14:paraId="7D8A8FC3" w14:textId="2AA02F5D" w:rsidR="00470E3E" w:rsidRDefault="00470E3E" w:rsidP="00470E3E">
      <w:pPr>
        <w:keepNext/>
      </w:pPr>
      <w:r>
        <w:t>The RBS energy end-use model was developed to meet the requirements of the 2015 study of residential energy use</w:t>
      </w:r>
      <w:r w:rsidR="00CD2021">
        <w:t xml:space="preserve"> and the same architecture, with a few additions, will be used in the RBS2.0</w:t>
      </w:r>
      <w:r>
        <w:t xml:space="preserve">.  An overview of the architecture of the RBS model developed to meet the requirements of the RBS, in terms of the information flows and main processes represented, is shown in </w:t>
      </w:r>
      <w:r>
        <w:fldChar w:fldCharType="begin"/>
      </w:r>
      <w:r>
        <w:instrText xml:space="preserve"> REF _Ref383115933 \h </w:instrText>
      </w:r>
      <w:r>
        <w:fldChar w:fldCharType="separate"/>
      </w:r>
      <w:r w:rsidR="00FF581E">
        <w:t xml:space="preserve">Figure </w:t>
      </w:r>
      <w:r w:rsidR="00FF581E">
        <w:rPr>
          <w:noProof/>
        </w:rPr>
        <w:t>4</w:t>
      </w:r>
      <w:r>
        <w:fldChar w:fldCharType="end"/>
      </w:r>
      <w:r>
        <w:t xml:space="preserve">.  Examples of the types of input data are </w:t>
      </w:r>
      <w:r>
        <w:lastRenderedPageBreak/>
        <w:t>also shown.  This model does not include any variations that may be required to implement the potential enhancements discussed later in the report.</w:t>
      </w:r>
    </w:p>
    <w:p w14:paraId="47BA21C7" w14:textId="6926DA1D" w:rsidR="00470E3E" w:rsidRDefault="00470E3E" w:rsidP="00470E3E">
      <w:pPr>
        <w:pStyle w:val="Caption"/>
      </w:pPr>
      <w:bookmarkStart w:id="66" w:name="_Ref383115933"/>
      <w:bookmarkStart w:id="67" w:name="_Toc427932638"/>
      <w:r>
        <w:t xml:space="preserve">Figure </w:t>
      </w:r>
      <w:r w:rsidR="008D05D8">
        <w:fldChar w:fldCharType="begin"/>
      </w:r>
      <w:r w:rsidR="008D05D8">
        <w:instrText xml:space="preserve"> SEQ Figure \* ARABIC </w:instrText>
      </w:r>
      <w:r w:rsidR="008D05D8">
        <w:fldChar w:fldCharType="separate"/>
      </w:r>
      <w:r w:rsidR="00FF581E">
        <w:rPr>
          <w:noProof/>
        </w:rPr>
        <w:t>4</w:t>
      </w:r>
      <w:r w:rsidR="008D05D8">
        <w:fldChar w:fldCharType="end"/>
      </w:r>
      <w:bookmarkEnd w:id="66"/>
      <w:r>
        <w:t>: Overview of Model Architecture: Information flows</w:t>
      </w:r>
      <w:bookmarkEnd w:id="67"/>
    </w:p>
    <w:p w14:paraId="4AAEA589" w14:textId="77777777" w:rsidR="00470E3E" w:rsidRDefault="00470E3E" w:rsidP="00470E3E">
      <w:pPr>
        <w:keepNext/>
      </w:pPr>
      <w:r>
        <w:rPr>
          <w:noProof/>
          <w:lang w:eastAsia="en-AU"/>
        </w:rPr>
        <w:drawing>
          <wp:inline distT="0" distB="0" distL="0" distR="0" wp14:anchorId="77BDC4CA" wp14:editId="46338007">
            <wp:extent cx="5882741" cy="3340869"/>
            <wp:effectExtent l="0" t="0" r="3810" b="0"/>
            <wp:docPr id="1" name="Picture 1" descr="A flow diagram with three stages.  The left box shows model inputs, such as equipment stock numbers, equipment characteristics and usage characteristics.  The middle stage indicates the processing of the inputs via algorithms and calculations. The right hand, third stage is the outputs and report stage." title="Overview of Model Architecture: Informa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6239" cy="3342855"/>
                    </a:xfrm>
                    <a:prstGeom prst="rect">
                      <a:avLst/>
                    </a:prstGeom>
                    <a:noFill/>
                  </pic:spPr>
                </pic:pic>
              </a:graphicData>
            </a:graphic>
          </wp:inline>
        </w:drawing>
      </w:r>
    </w:p>
    <w:p w14:paraId="2911553C" w14:textId="77777777" w:rsidR="00470E3E" w:rsidRDefault="00470E3E" w:rsidP="00470E3E">
      <w:r>
        <w:t>A modular approach was used to develop the model, with each module focused on either an energy end-use or a specific input/output of the model. The main modules of the model are:</w:t>
      </w:r>
    </w:p>
    <w:p w14:paraId="18FF97D2" w14:textId="77777777" w:rsidR="00470E3E" w:rsidRPr="00A33BD4" w:rsidRDefault="00470E3E" w:rsidP="00470E3E">
      <w:pPr>
        <w:pStyle w:val="Bullets-Minor"/>
      </w:pPr>
      <w:r w:rsidRPr="00A33BD4">
        <w:t>Water heating</w:t>
      </w:r>
    </w:p>
    <w:p w14:paraId="20700F89" w14:textId="77777777" w:rsidR="00470E3E" w:rsidRPr="00A33BD4" w:rsidRDefault="00470E3E" w:rsidP="00470E3E">
      <w:pPr>
        <w:pStyle w:val="Bullets-Minor"/>
      </w:pPr>
      <w:r w:rsidRPr="00A33BD4">
        <w:t>Space conditioning</w:t>
      </w:r>
    </w:p>
    <w:p w14:paraId="0610AFBF" w14:textId="77777777" w:rsidR="00470E3E" w:rsidRPr="00A33BD4" w:rsidRDefault="00470E3E" w:rsidP="00470E3E">
      <w:pPr>
        <w:pStyle w:val="Bullets-Minor"/>
      </w:pPr>
      <w:r w:rsidRPr="00A33BD4">
        <w:t>Lighting</w:t>
      </w:r>
    </w:p>
    <w:p w14:paraId="4932F5F9" w14:textId="77777777" w:rsidR="00470E3E" w:rsidRPr="00A33BD4" w:rsidRDefault="00470E3E" w:rsidP="00470E3E">
      <w:pPr>
        <w:pStyle w:val="Bullets-Minor"/>
      </w:pPr>
      <w:r w:rsidRPr="00A33BD4">
        <w:t>Cooking</w:t>
      </w:r>
    </w:p>
    <w:p w14:paraId="43132527" w14:textId="77777777" w:rsidR="00470E3E" w:rsidRPr="00A33BD4" w:rsidRDefault="00470E3E" w:rsidP="00470E3E">
      <w:pPr>
        <w:pStyle w:val="Bullets-Minor"/>
      </w:pPr>
      <w:r w:rsidRPr="00A33BD4">
        <w:t>Appliances – White Goods</w:t>
      </w:r>
    </w:p>
    <w:p w14:paraId="50851EE3" w14:textId="77777777" w:rsidR="00470E3E" w:rsidRPr="00A33BD4" w:rsidRDefault="00470E3E" w:rsidP="00470E3E">
      <w:pPr>
        <w:pStyle w:val="Bullets-Minor"/>
      </w:pPr>
      <w:r w:rsidRPr="00A33BD4">
        <w:t>Appliances – Information Technology and Home Entertainment</w:t>
      </w:r>
    </w:p>
    <w:p w14:paraId="1DFEBC84" w14:textId="77777777" w:rsidR="00470E3E" w:rsidRPr="00A33BD4" w:rsidRDefault="00470E3E" w:rsidP="00470E3E">
      <w:pPr>
        <w:pStyle w:val="Bullets-Minor"/>
      </w:pPr>
      <w:r w:rsidRPr="00A33BD4">
        <w:t>Appliances – Other Equipment</w:t>
      </w:r>
    </w:p>
    <w:p w14:paraId="5092C375" w14:textId="77777777" w:rsidR="00470E3E" w:rsidRPr="00A33BD4" w:rsidRDefault="00470E3E" w:rsidP="00470E3E">
      <w:pPr>
        <w:pStyle w:val="Bullets-Minor"/>
      </w:pPr>
      <w:r w:rsidRPr="00A33BD4">
        <w:t>PV Power</w:t>
      </w:r>
    </w:p>
    <w:p w14:paraId="44A2AC82" w14:textId="14ACAEF0" w:rsidR="00CD2021" w:rsidRPr="00A33BD4" w:rsidRDefault="00470E3E" w:rsidP="00470E3E">
      <w:pPr>
        <w:pStyle w:val="Bullets-Minor"/>
      </w:pPr>
      <w:r w:rsidRPr="00A33BD4">
        <w:t>Building Stock (including thermal demand requirements)</w:t>
      </w:r>
    </w:p>
    <w:p w14:paraId="0345481E" w14:textId="77777777" w:rsidR="00EC0EC4" w:rsidRDefault="00470E3E" w:rsidP="00470E3E">
      <w:pPr>
        <w:pStyle w:val="Bullets-Minor"/>
      </w:pPr>
      <w:r w:rsidRPr="00A33BD4">
        <w:t>Aggregator (which includes Peak Demand aggregation)</w:t>
      </w:r>
    </w:p>
    <w:p w14:paraId="12CD6C0A" w14:textId="3FB94D8A" w:rsidR="00470E3E" w:rsidRPr="00A33BD4" w:rsidRDefault="00EC0EC4" w:rsidP="00470E3E">
      <w:pPr>
        <w:pStyle w:val="Bullets-Minor"/>
      </w:pPr>
      <w:r>
        <w:t>Demand Aggregator (which is not shown in the diagram, but will be added with the RBS2.0 enhancement)</w:t>
      </w:r>
      <w:r w:rsidR="00470E3E" w:rsidRPr="00A33BD4">
        <w:t xml:space="preserve">. </w:t>
      </w:r>
    </w:p>
    <w:p w14:paraId="6DB67600" w14:textId="5482B97A" w:rsidR="00470E3E" w:rsidRDefault="00470E3E" w:rsidP="00470E3E">
      <w:r>
        <w:t xml:space="preserve">A schematic of the end-use model is provided in </w:t>
      </w:r>
      <w:r>
        <w:fldChar w:fldCharType="begin"/>
      </w:r>
      <w:r>
        <w:instrText xml:space="preserve"> REF _Ref383116514 \h </w:instrText>
      </w:r>
      <w:r>
        <w:fldChar w:fldCharType="separate"/>
      </w:r>
      <w:r w:rsidR="00FF581E">
        <w:t xml:space="preserve">Figure </w:t>
      </w:r>
      <w:r w:rsidR="00FF581E">
        <w:rPr>
          <w:noProof/>
        </w:rPr>
        <w:t>5</w:t>
      </w:r>
      <w:r>
        <w:fldChar w:fldCharType="end"/>
      </w:r>
      <w:r>
        <w:t xml:space="preserve"> below.</w:t>
      </w:r>
    </w:p>
    <w:p w14:paraId="0BD9CAF3" w14:textId="0AB5A232" w:rsidR="00470E3E" w:rsidRPr="00100292" w:rsidRDefault="00470E3E" w:rsidP="00470E3E">
      <w:pPr>
        <w:pStyle w:val="Caption"/>
      </w:pPr>
      <w:bookmarkStart w:id="68" w:name="_Ref383116514"/>
      <w:bookmarkStart w:id="69" w:name="_Toc427932639"/>
      <w:r>
        <w:lastRenderedPageBreak/>
        <w:t xml:space="preserve">Figure </w:t>
      </w:r>
      <w:r w:rsidR="008D05D8">
        <w:fldChar w:fldCharType="begin"/>
      </w:r>
      <w:r w:rsidR="008D05D8">
        <w:instrText xml:space="preserve"> SEQ Figure \* ARABIC </w:instrText>
      </w:r>
      <w:r w:rsidR="008D05D8">
        <w:fldChar w:fldCharType="separate"/>
      </w:r>
      <w:r w:rsidR="00FF581E">
        <w:rPr>
          <w:noProof/>
        </w:rPr>
        <w:t>5</w:t>
      </w:r>
      <w:r w:rsidR="008D05D8">
        <w:fldChar w:fldCharType="end"/>
      </w:r>
      <w:bookmarkEnd w:id="68"/>
      <w:r>
        <w:t>: Schematic of Energy End-use Model Modules and Linkages</w:t>
      </w:r>
      <w:bookmarkEnd w:id="69"/>
    </w:p>
    <w:p w14:paraId="3D4B83F3" w14:textId="77777777" w:rsidR="00470E3E" w:rsidRDefault="00470E3E" w:rsidP="00470E3E">
      <w:r>
        <w:rPr>
          <w:noProof/>
          <w:lang w:eastAsia="en-AU"/>
        </w:rPr>
        <w:drawing>
          <wp:inline distT="0" distB="0" distL="0" distR="0" wp14:anchorId="40C3761E" wp14:editId="2597341E">
            <wp:extent cx="5773296" cy="3907766"/>
            <wp:effectExtent l="0" t="0" r="0" b="0"/>
            <wp:docPr id="7" name="Picture 7" descr="A flow diagram showing the main modules used in the RBS model.  The left-hand module is the Building Stock module and it has arrows showing it is linked to all the end-use modules.  The end-use modules are shown in the middle and include the space conditioning, appliance, cooking, water heating, lighting and PV Power module.  These each have arrows going to the Aggregator module on the right, showing their connection to the Aggregator.  A large arrow from the aggregator shows it produces reports and tables. " title="Schematic of Energy End-use Model Modules and Lin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6851" cy="3910172"/>
                    </a:xfrm>
                    <a:prstGeom prst="rect">
                      <a:avLst/>
                    </a:prstGeom>
                    <a:noFill/>
                  </pic:spPr>
                </pic:pic>
              </a:graphicData>
            </a:graphic>
          </wp:inline>
        </w:drawing>
      </w:r>
    </w:p>
    <w:p w14:paraId="1511D98C" w14:textId="24CA45B6" w:rsidR="00470E3E" w:rsidRDefault="00470E3E" w:rsidP="00470E3E">
      <w:r>
        <w:t xml:space="preserve">Within each end-use module, calculations were undertaken on each individual product for each year of the study period to determine UEC and UPD, and then these were aggregated by product group, product category and end-use as appropriate.  The calculations were undertaken on a </w:t>
      </w:r>
      <w:r w:rsidRPr="009D36FA">
        <w:t>jurisdictional</w:t>
      </w:r>
      <w:r>
        <w:t xml:space="preserve"> basis (state/territory/country) and by relevant climate zone where this was applicable (solar water heating, PV).  The results were then produced as tables and charts within each module, as well as exported to the </w:t>
      </w:r>
      <w:r w:rsidRPr="009B2D43">
        <w:t xml:space="preserve">Aggregator.  The nature of the different calculations used is described further in the </w:t>
      </w:r>
      <w:hyperlink r:id="rId41" w:history="1">
        <w:r w:rsidRPr="009B2D43">
          <w:rPr>
            <w:rStyle w:val="Hyperlink"/>
          </w:rPr>
          <w:t>Technical Appendix</w:t>
        </w:r>
      </w:hyperlink>
      <w:r w:rsidRPr="009B2D43">
        <w:t>.</w:t>
      </w:r>
      <w:r>
        <w:t xml:space="preserve"> </w:t>
      </w:r>
    </w:p>
    <w:p w14:paraId="68D38249" w14:textId="4A27A918" w:rsidR="00470E3E" w:rsidRDefault="00470E3E" w:rsidP="00470E3E">
      <w:r>
        <w:t>The model processed data and provided results on the energy end-uses, product categories</w:t>
      </w:r>
      <w:r w:rsidR="00AE4EB6">
        <w:t>,</w:t>
      </w:r>
      <w:r>
        <w:t xml:space="preserve"> groups</w:t>
      </w:r>
      <w:r w:rsidR="00AE4EB6">
        <w:t xml:space="preserve"> and products</w:t>
      </w:r>
      <w:r>
        <w:t xml:space="preserve"> that are listed in </w:t>
      </w:r>
      <w:r>
        <w:fldChar w:fldCharType="begin"/>
      </w:r>
      <w:r>
        <w:instrText xml:space="preserve"> REF _Ref426815036 \h </w:instrText>
      </w:r>
      <w:r>
        <w:fldChar w:fldCharType="separate"/>
      </w:r>
      <w:r w:rsidR="00FF581E">
        <w:t xml:space="preserve">Table </w:t>
      </w:r>
      <w:r w:rsidR="00FF581E">
        <w:rPr>
          <w:noProof/>
        </w:rPr>
        <w:t>3</w:t>
      </w:r>
      <w:r>
        <w:fldChar w:fldCharType="end"/>
      </w:r>
      <w:r>
        <w:t xml:space="preserve">.  </w:t>
      </w:r>
    </w:p>
    <w:p w14:paraId="153A0DBA" w14:textId="1200F51C" w:rsidR="00470E3E" w:rsidRDefault="00470E3E" w:rsidP="00470E3E">
      <w:pPr>
        <w:pStyle w:val="Caption"/>
        <w:keepLines/>
        <w:widowControl w:val="0"/>
      </w:pPr>
      <w:bookmarkStart w:id="70" w:name="_Ref426815036"/>
      <w:bookmarkStart w:id="71" w:name="_Toc424896507"/>
      <w:bookmarkStart w:id="72" w:name="_Toc425086582"/>
      <w:r>
        <w:t xml:space="preserve">Table </w:t>
      </w:r>
      <w:r>
        <w:fldChar w:fldCharType="begin"/>
      </w:r>
      <w:r>
        <w:instrText xml:space="preserve"> SEQ Table \* ARABIC </w:instrText>
      </w:r>
      <w:r>
        <w:fldChar w:fldCharType="separate"/>
      </w:r>
      <w:r w:rsidR="00FF581E">
        <w:rPr>
          <w:noProof/>
        </w:rPr>
        <w:t>3</w:t>
      </w:r>
      <w:r>
        <w:rPr>
          <w:noProof/>
        </w:rPr>
        <w:fldChar w:fldCharType="end"/>
      </w:r>
      <w:bookmarkEnd w:id="70"/>
      <w:r>
        <w:t>: List of Product</w:t>
      </w:r>
      <w:r w:rsidR="00AE4EB6">
        <w:t>s, by</w:t>
      </w:r>
      <w:r>
        <w:t xml:space="preserve"> Group</w:t>
      </w:r>
      <w:r w:rsidR="00AE4EB6">
        <w:t>, Category and End-Use</w:t>
      </w:r>
      <w:r>
        <w:t xml:space="preserve"> included in RBS1.0</w:t>
      </w:r>
      <w:r w:rsidR="00AE4EB6">
        <w:t xml:space="preserve"> &amp; 2.0</w:t>
      </w:r>
      <w:r>
        <w:t xml:space="preserve"> Model</w:t>
      </w:r>
      <w:bookmarkEnd w:id="71"/>
      <w:bookmarkEnd w:id="72"/>
    </w:p>
    <w:tbl>
      <w:tblPr>
        <w:tblStyle w:val="TableEC1"/>
        <w:tblW w:w="9061" w:type="dxa"/>
        <w:tblInd w:w="-108" w:type="dxa"/>
        <w:tblBorders>
          <w:top w:val="single" w:sz="4" w:space="0" w:color="auto"/>
          <w:bottom w:val="single" w:sz="4" w:space="0" w:color="auto"/>
        </w:tblBorders>
        <w:tblLook w:val="04E0" w:firstRow="1" w:lastRow="1" w:firstColumn="1" w:lastColumn="0" w:noHBand="0" w:noVBand="1"/>
      </w:tblPr>
      <w:tblGrid>
        <w:gridCol w:w="1533"/>
        <w:gridCol w:w="2403"/>
        <w:gridCol w:w="2693"/>
        <w:gridCol w:w="2432"/>
      </w:tblGrid>
      <w:tr w:rsidR="0090630A" w:rsidRPr="003B6CF0" w14:paraId="646DE012" w14:textId="77777777" w:rsidTr="00377CC1">
        <w:trPr>
          <w:cnfStyle w:val="100000000000" w:firstRow="1" w:lastRow="0" w:firstColumn="0" w:lastColumn="0" w:oddVBand="0" w:evenVBand="0" w:oddHBand="0" w:evenHBand="0" w:firstRowFirstColumn="0" w:firstRowLastColumn="0" w:lastRowFirstColumn="0" w:lastRowLastColumn="0"/>
          <w:trHeight w:val="300"/>
        </w:trPr>
        <w:tc>
          <w:tcPr>
            <w:tcW w:w="1533" w:type="dxa"/>
            <w:noWrap/>
          </w:tcPr>
          <w:p w14:paraId="120C74D7" w14:textId="77777777" w:rsidR="0090630A" w:rsidRPr="001A5005" w:rsidRDefault="0090630A" w:rsidP="00F07B90">
            <w:pPr>
              <w:pStyle w:val="Table-heading"/>
              <w:keepNext w:val="0"/>
              <w:keepLines w:val="0"/>
              <w:widowControl w:val="0"/>
              <w:rPr>
                <w:b/>
              </w:rPr>
            </w:pPr>
            <w:r w:rsidRPr="001A5005">
              <w:rPr>
                <w:b/>
              </w:rPr>
              <w:t>End Use</w:t>
            </w:r>
          </w:p>
        </w:tc>
        <w:tc>
          <w:tcPr>
            <w:tcW w:w="2403" w:type="dxa"/>
            <w:noWrap/>
          </w:tcPr>
          <w:p w14:paraId="02EB241E" w14:textId="77777777" w:rsidR="0090630A" w:rsidRPr="003B6CF0" w:rsidRDefault="0090630A" w:rsidP="00F07B90">
            <w:pPr>
              <w:pStyle w:val="Table-heading"/>
              <w:keepNext w:val="0"/>
              <w:keepLines w:val="0"/>
              <w:widowControl w:val="0"/>
              <w:rPr>
                <w:b/>
              </w:rPr>
            </w:pPr>
            <w:r w:rsidRPr="003B6CF0">
              <w:rPr>
                <w:b/>
              </w:rPr>
              <w:t>Category</w:t>
            </w:r>
          </w:p>
        </w:tc>
        <w:tc>
          <w:tcPr>
            <w:tcW w:w="2693" w:type="dxa"/>
            <w:noWrap/>
          </w:tcPr>
          <w:p w14:paraId="11D5355E" w14:textId="77777777" w:rsidR="0090630A" w:rsidRPr="003B6CF0" w:rsidRDefault="0090630A" w:rsidP="00F07B90">
            <w:pPr>
              <w:pStyle w:val="Table-heading"/>
              <w:keepNext w:val="0"/>
              <w:keepLines w:val="0"/>
              <w:widowControl w:val="0"/>
              <w:rPr>
                <w:b/>
              </w:rPr>
            </w:pPr>
            <w:r w:rsidRPr="003B6CF0">
              <w:rPr>
                <w:b/>
              </w:rPr>
              <w:t>Group</w:t>
            </w:r>
          </w:p>
        </w:tc>
        <w:tc>
          <w:tcPr>
            <w:tcW w:w="2432" w:type="dxa"/>
          </w:tcPr>
          <w:p w14:paraId="3B6D1FE8" w14:textId="77777777" w:rsidR="0090630A" w:rsidRPr="008A17B5" w:rsidRDefault="0090630A" w:rsidP="00F07B90">
            <w:pPr>
              <w:pStyle w:val="Table-heading"/>
              <w:keepNext w:val="0"/>
              <w:keepLines w:val="0"/>
              <w:widowControl w:val="0"/>
              <w:rPr>
                <w:b/>
              </w:rPr>
            </w:pPr>
            <w:r w:rsidRPr="008A17B5">
              <w:rPr>
                <w:b/>
              </w:rPr>
              <w:t>Product</w:t>
            </w:r>
          </w:p>
        </w:tc>
      </w:tr>
      <w:tr w:rsidR="0090630A" w:rsidRPr="008A17B5" w14:paraId="74E27A16" w14:textId="77777777" w:rsidTr="00377CC1">
        <w:tblPrEx>
          <w:tblBorders>
            <w:top w:val="none" w:sz="0" w:space="0" w:color="auto"/>
            <w:bottom w:val="none" w:sz="0" w:space="0" w:color="auto"/>
          </w:tblBorders>
        </w:tblPrEx>
        <w:trPr>
          <w:trHeight w:val="300"/>
        </w:trPr>
        <w:tc>
          <w:tcPr>
            <w:tcW w:w="1533" w:type="dxa"/>
            <w:tcBorders>
              <w:bottom w:val="single" w:sz="4" w:space="0" w:color="auto"/>
            </w:tcBorders>
            <w:noWrap/>
            <w:hideMark/>
          </w:tcPr>
          <w:p w14:paraId="6639F5BE"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Space conditioning</w:t>
            </w:r>
          </w:p>
        </w:tc>
        <w:tc>
          <w:tcPr>
            <w:tcW w:w="2403" w:type="dxa"/>
            <w:tcBorders>
              <w:bottom w:val="single" w:sz="4" w:space="0" w:color="auto"/>
            </w:tcBorders>
            <w:noWrap/>
            <w:hideMark/>
          </w:tcPr>
          <w:p w14:paraId="589566B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Combined space heating and space cooling equipment</w:t>
            </w:r>
          </w:p>
        </w:tc>
        <w:tc>
          <w:tcPr>
            <w:tcW w:w="2693" w:type="dxa"/>
            <w:tcBorders>
              <w:bottom w:val="single" w:sz="4" w:space="0" w:color="auto"/>
            </w:tcBorders>
            <w:noWrap/>
            <w:hideMark/>
          </w:tcPr>
          <w:p w14:paraId="7693765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ducted</w:t>
            </w:r>
          </w:p>
        </w:tc>
        <w:tc>
          <w:tcPr>
            <w:tcW w:w="2432" w:type="dxa"/>
            <w:tcBorders>
              <w:bottom w:val="single" w:sz="4" w:space="0" w:color="auto"/>
            </w:tcBorders>
            <w:noWrap/>
            <w:hideMark/>
          </w:tcPr>
          <w:p w14:paraId="1230CAD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ducted</w:t>
            </w:r>
          </w:p>
        </w:tc>
      </w:tr>
      <w:tr w:rsidR="0090630A" w:rsidRPr="008A17B5" w14:paraId="5164725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F7291FC"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9572AE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Combined space heating and space cooling equipment</w:t>
            </w:r>
          </w:p>
        </w:tc>
        <w:tc>
          <w:tcPr>
            <w:tcW w:w="2693" w:type="dxa"/>
            <w:tcBorders>
              <w:top w:val="single" w:sz="4" w:space="0" w:color="auto"/>
              <w:bottom w:val="single" w:sz="4" w:space="0" w:color="auto"/>
            </w:tcBorders>
            <w:noWrap/>
            <w:hideMark/>
          </w:tcPr>
          <w:p w14:paraId="00163FF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non-ducted (split and WW)</w:t>
            </w:r>
          </w:p>
        </w:tc>
        <w:tc>
          <w:tcPr>
            <w:tcW w:w="2432" w:type="dxa"/>
            <w:tcBorders>
              <w:top w:val="single" w:sz="4" w:space="0" w:color="auto"/>
              <w:bottom w:val="single" w:sz="4" w:space="0" w:color="auto"/>
            </w:tcBorders>
            <w:noWrap/>
            <w:hideMark/>
          </w:tcPr>
          <w:p w14:paraId="70A051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non-ducted</w:t>
            </w:r>
          </w:p>
        </w:tc>
      </w:tr>
      <w:tr w:rsidR="0090630A" w:rsidRPr="008A17B5" w14:paraId="6950DD7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584955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A61AA2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Combined space heating and space cooling equipment</w:t>
            </w:r>
          </w:p>
        </w:tc>
        <w:tc>
          <w:tcPr>
            <w:tcW w:w="2693" w:type="dxa"/>
            <w:tcBorders>
              <w:top w:val="single" w:sz="4" w:space="0" w:color="auto"/>
              <w:bottom w:val="single" w:sz="4" w:space="0" w:color="auto"/>
            </w:tcBorders>
            <w:noWrap/>
            <w:hideMark/>
          </w:tcPr>
          <w:p w14:paraId="2FC996E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non-ducted (split and WW)</w:t>
            </w:r>
          </w:p>
        </w:tc>
        <w:tc>
          <w:tcPr>
            <w:tcW w:w="2432" w:type="dxa"/>
            <w:tcBorders>
              <w:top w:val="single" w:sz="4" w:space="0" w:color="auto"/>
              <w:bottom w:val="single" w:sz="4" w:space="0" w:color="auto"/>
            </w:tcBorders>
            <w:noWrap/>
            <w:hideMark/>
          </w:tcPr>
          <w:p w14:paraId="63AFC62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Portable</w:t>
            </w:r>
          </w:p>
        </w:tc>
      </w:tr>
      <w:tr w:rsidR="0090630A" w:rsidRPr="008A17B5" w14:paraId="65CC15B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E4E0E2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380DC4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Combined space heating and space cooling equipment</w:t>
            </w:r>
          </w:p>
        </w:tc>
        <w:tc>
          <w:tcPr>
            <w:tcW w:w="2693" w:type="dxa"/>
            <w:tcBorders>
              <w:top w:val="single" w:sz="4" w:space="0" w:color="auto"/>
              <w:bottom w:val="single" w:sz="4" w:space="0" w:color="auto"/>
            </w:tcBorders>
            <w:noWrap/>
            <w:hideMark/>
          </w:tcPr>
          <w:p w14:paraId="318F9D4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non-ducted (split and WW)</w:t>
            </w:r>
          </w:p>
        </w:tc>
        <w:tc>
          <w:tcPr>
            <w:tcW w:w="2432" w:type="dxa"/>
            <w:tcBorders>
              <w:top w:val="single" w:sz="4" w:space="0" w:color="auto"/>
              <w:bottom w:val="single" w:sz="4" w:space="0" w:color="auto"/>
            </w:tcBorders>
            <w:noWrap/>
            <w:hideMark/>
          </w:tcPr>
          <w:p w14:paraId="6D90C46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AC Window Wall</w:t>
            </w:r>
          </w:p>
        </w:tc>
      </w:tr>
      <w:tr w:rsidR="0090630A" w:rsidRPr="008A17B5" w14:paraId="01BEEC7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16AB79E"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6131EE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Space cooling equipment</w:t>
            </w:r>
          </w:p>
        </w:tc>
        <w:tc>
          <w:tcPr>
            <w:tcW w:w="2693" w:type="dxa"/>
            <w:tcBorders>
              <w:top w:val="single" w:sz="4" w:space="0" w:color="auto"/>
              <w:bottom w:val="single" w:sz="4" w:space="0" w:color="auto"/>
            </w:tcBorders>
            <w:noWrap/>
            <w:hideMark/>
          </w:tcPr>
          <w:p w14:paraId="36969E4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Evaporative (mostly central)</w:t>
            </w:r>
          </w:p>
        </w:tc>
        <w:tc>
          <w:tcPr>
            <w:tcW w:w="2432" w:type="dxa"/>
            <w:tcBorders>
              <w:top w:val="single" w:sz="4" w:space="0" w:color="auto"/>
              <w:bottom w:val="single" w:sz="4" w:space="0" w:color="auto"/>
            </w:tcBorders>
            <w:noWrap/>
            <w:hideMark/>
          </w:tcPr>
          <w:p w14:paraId="4B43C3E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Evaporative (mostly central)</w:t>
            </w:r>
          </w:p>
        </w:tc>
      </w:tr>
      <w:tr w:rsidR="0090630A" w:rsidRPr="008A17B5" w14:paraId="75846DF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481E3D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60DECA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6F3C625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resistive</w:t>
            </w:r>
          </w:p>
        </w:tc>
        <w:tc>
          <w:tcPr>
            <w:tcW w:w="2432" w:type="dxa"/>
            <w:tcBorders>
              <w:top w:val="single" w:sz="4" w:space="0" w:color="auto"/>
              <w:bottom w:val="single" w:sz="4" w:space="0" w:color="auto"/>
            </w:tcBorders>
            <w:noWrap/>
            <w:hideMark/>
          </w:tcPr>
          <w:p w14:paraId="7A965D4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Resistive-Main</w:t>
            </w:r>
          </w:p>
        </w:tc>
      </w:tr>
      <w:tr w:rsidR="0090630A" w:rsidRPr="008A17B5" w14:paraId="42B10D0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47A7C9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A0B403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3CAB6C3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resistive</w:t>
            </w:r>
          </w:p>
        </w:tc>
        <w:tc>
          <w:tcPr>
            <w:tcW w:w="2432" w:type="dxa"/>
            <w:tcBorders>
              <w:top w:val="single" w:sz="4" w:space="0" w:color="auto"/>
              <w:bottom w:val="single" w:sz="4" w:space="0" w:color="auto"/>
            </w:tcBorders>
            <w:noWrap/>
            <w:hideMark/>
          </w:tcPr>
          <w:p w14:paraId="1762C1C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Floor Heating</w:t>
            </w:r>
          </w:p>
        </w:tc>
      </w:tr>
      <w:tr w:rsidR="0090630A" w:rsidRPr="008A17B5" w14:paraId="7FBFEAB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D4D39D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6B1538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4BDD90F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Mains gas non-ducted</w:t>
            </w:r>
          </w:p>
        </w:tc>
        <w:tc>
          <w:tcPr>
            <w:tcW w:w="2432" w:type="dxa"/>
            <w:tcBorders>
              <w:top w:val="single" w:sz="4" w:space="0" w:color="auto"/>
              <w:bottom w:val="single" w:sz="4" w:space="0" w:color="auto"/>
            </w:tcBorders>
            <w:noWrap/>
            <w:hideMark/>
          </w:tcPr>
          <w:p w14:paraId="0E0F65C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Space: Flued-NG</w:t>
            </w:r>
          </w:p>
        </w:tc>
      </w:tr>
      <w:tr w:rsidR="0090630A" w:rsidRPr="008A17B5" w14:paraId="00FF9BBD"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09C588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8FC279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4C88178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Mains gas non-ducted</w:t>
            </w:r>
          </w:p>
        </w:tc>
        <w:tc>
          <w:tcPr>
            <w:tcW w:w="2432" w:type="dxa"/>
            <w:tcBorders>
              <w:top w:val="single" w:sz="4" w:space="0" w:color="auto"/>
              <w:bottom w:val="single" w:sz="4" w:space="0" w:color="auto"/>
            </w:tcBorders>
            <w:noWrap/>
            <w:hideMark/>
          </w:tcPr>
          <w:p w14:paraId="1BFAD66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Space: Unflued-NG</w:t>
            </w:r>
          </w:p>
        </w:tc>
      </w:tr>
      <w:tr w:rsidR="0090630A" w:rsidRPr="008A17B5" w14:paraId="136F63B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9065A3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3C0689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7779686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Mains gas ducted</w:t>
            </w:r>
          </w:p>
        </w:tc>
        <w:tc>
          <w:tcPr>
            <w:tcW w:w="2432" w:type="dxa"/>
            <w:tcBorders>
              <w:top w:val="single" w:sz="4" w:space="0" w:color="auto"/>
              <w:bottom w:val="single" w:sz="4" w:space="0" w:color="auto"/>
            </w:tcBorders>
            <w:noWrap/>
            <w:hideMark/>
          </w:tcPr>
          <w:p w14:paraId="07A6574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Ducted-NG</w:t>
            </w:r>
          </w:p>
        </w:tc>
      </w:tr>
      <w:tr w:rsidR="0090630A" w:rsidRPr="008A17B5" w14:paraId="31AA9B3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3510EF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7B6F48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50CF31E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LPG gas non-ducted</w:t>
            </w:r>
          </w:p>
        </w:tc>
        <w:tc>
          <w:tcPr>
            <w:tcW w:w="2432" w:type="dxa"/>
            <w:tcBorders>
              <w:top w:val="single" w:sz="4" w:space="0" w:color="auto"/>
              <w:bottom w:val="single" w:sz="4" w:space="0" w:color="auto"/>
            </w:tcBorders>
            <w:noWrap/>
            <w:hideMark/>
          </w:tcPr>
          <w:p w14:paraId="37BB90B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Space: Flued -LPG</w:t>
            </w:r>
          </w:p>
        </w:tc>
      </w:tr>
      <w:tr w:rsidR="0090630A" w:rsidRPr="008A17B5" w14:paraId="034D5F5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9122AD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90205A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6D9F63E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LPG gas non-ducted</w:t>
            </w:r>
          </w:p>
        </w:tc>
        <w:tc>
          <w:tcPr>
            <w:tcW w:w="2432" w:type="dxa"/>
            <w:tcBorders>
              <w:top w:val="single" w:sz="4" w:space="0" w:color="auto"/>
              <w:bottom w:val="single" w:sz="4" w:space="0" w:color="auto"/>
            </w:tcBorders>
            <w:noWrap/>
            <w:hideMark/>
          </w:tcPr>
          <w:p w14:paraId="16C79FE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Space: Unflued -LPG</w:t>
            </w:r>
          </w:p>
        </w:tc>
      </w:tr>
      <w:tr w:rsidR="0090630A" w:rsidRPr="008A17B5" w14:paraId="3E9E90F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A5070D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B04C95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51ACB6B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Wood Heaters</w:t>
            </w:r>
          </w:p>
        </w:tc>
        <w:tc>
          <w:tcPr>
            <w:tcW w:w="2432" w:type="dxa"/>
            <w:tcBorders>
              <w:top w:val="single" w:sz="4" w:space="0" w:color="auto"/>
              <w:bottom w:val="single" w:sz="4" w:space="0" w:color="auto"/>
            </w:tcBorders>
            <w:noWrap/>
            <w:hideMark/>
          </w:tcPr>
          <w:p w14:paraId="69E984F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Wood-Combustion</w:t>
            </w:r>
          </w:p>
        </w:tc>
      </w:tr>
      <w:tr w:rsidR="0090630A" w:rsidRPr="008A17B5" w14:paraId="3331E7D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42CCF3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61554C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1B6154A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Wood Heaters</w:t>
            </w:r>
          </w:p>
        </w:tc>
        <w:tc>
          <w:tcPr>
            <w:tcW w:w="2432" w:type="dxa"/>
            <w:tcBorders>
              <w:top w:val="single" w:sz="4" w:space="0" w:color="auto"/>
              <w:bottom w:val="single" w:sz="4" w:space="0" w:color="auto"/>
            </w:tcBorders>
            <w:noWrap/>
            <w:hideMark/>
          </w:tcPr>
          <w:p w14:paraId="7FF9F4D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Wood-Open fire</w:t>
            </w:r>
          </w:p>
        </w:tc>
      </w:tr>
      <w:tr w:rsidR="0090630A" w:rsidRPr="008A17B5" w14:paraId="1A82024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C971A5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BDB28A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Space cooling equipment</w:t>
            </w:r>
          </w:p>
        </w:tc>
        <w:tc>
          <w:tcPr>
            <w:tcW w:w="2693" w:type="dxa"/>
            <w:tcBorders>
              <w:top w:val="single" w:sz="4" w:space="0" w:color="auto"/>
              <w:bottom w:val="single" w:sz="4" w:space="0" w:color="auto"/>
            </w:tcBorders>
            <w:noWrap/>
            <w:hideMark/>
          </w:tcPr>
          <w:p w14:paraId="51B3FB8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Fans</w:t>
            </w:r>
          </w:p>
        </w:tc>
        <w:tc>
          <w:tcPr>
            <w:tcW w:w="2432" w:type="dxa"/>
            <w:tcBorders>
              <w:top w:val="single" w:sz="4" w:space="0" w:color="auto"/>
              <w:bottom w:val="single" w:sz="4" w:space="0" w:color="auto"/>
            </w:tcBorders>
            <w:noWrap/>
            <w:hideMark/>
          </w:tcPr>
          <w:p w14:paraId="00C4D73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Fans</w:t>
            </w:r>
          </w:p>
        </w:tc>
      </w:tr>
      <w:tr w:rsidR="0090630A" w:rsidRPr="008A17B5" w14:paraId="7963706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89EEDD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417E48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Heating Equipment</w:t>
            </w:r>
          </w:p>
        </w:tc>
        <w:tc>
          <w:tcPr>
            <w:tcW w:w="2693" w:type="dxa"/>
            <w:tcBorders>
              <w:top w:val="single" w:sz="4" w:space="0" w:color="auto"/>
              <w:bottom w:val="single" w:sz="4" w:space="0" w:color="auto"/>
            </w:tcBorders>
            <w:noWrap/>
            <w:hideMark/>
          </w:tcPr>
          <w:p w14:paraId="33A6075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resistive</w:t>
            </w:r>
          </w:p>
        </w:tc>
        <w:tc>
          <w:tcPr>
            <w:tcW w:w="2432" w:type="dxa"/>
            <w:tcBorders>
              <w:top w:val="single" w:sz="4" w:space="0" w:color="auto"/>
              <w:bottom w:val="single" w:sz="4" w:space="0" w:color="auto"/>
            </w:tcBorders>
            <w:noWrap/>
            <w:hideMark/>
          </w:tcPr>
          <w:p w14:paraId="03734D2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Resistive-Secondary</w:t>
            </w:r>
          </w:p>
        </w:tc>
      </w:tr>
      <w:tr w:rsidR="0090630A" w:rsidRPr="008A17B5" w14:paraId="737BA6C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6DC6287"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Appliances</w:t>
            </w:r>
          </w:p>
        </w:tc>
        <w:tc>
          <w:tcPr>
            <w:tcW w:w="2403" w:type="dxa"/>
            <w:tcBorders>
              <w:top w:val="single" w:sz="4" w:space="0" w:color="auto"/>
              <w:bottom w:val="single" w:sz="4" w:space="0" w:color="auto"/>
            </w:tcBorders>
            <w:noWrap/>
            <w:hideMark/>
          </w:tcPr>
          <w:p w14:paraId="7FBCD4F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0A42242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2671B6B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RF1</w:t>
            </w:r>
          </w:p>
        </w:tc>
      </w:tr>
      <w:tr w:rsidR="0090630A" w:rsidRPr="008A17B5" w14:paraId="439E2F3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9BA1CB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3EDC05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72F904E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563ED5D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RF2</w:t>
            </w:r>
          </w:p>
        </w:tc>
      </w:tr>
      <w:tr w:rsidR="0090630A" w:rsidRPr="008A17B5" w14:paraId="3CD5D39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685F48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C0189B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620D530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3436FEB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RF3</w:t>
            </w:r>
          </w:p>
        </w:tc>
      </w:tr>
      <w:tr w:rsidR="0090630A" w:rsidRPr="008A17B5" w14:paraId="501CB86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24563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70DA6C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61C3C56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2E78172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RF4</w:t>
            </w:r>
          </w:p>
        </w:tc>
      </w:tr>
      <w:tr w:rsidR="0090630A" w:rsidRPr="008A17B5" w14:paraId="6C2D667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8DB896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9333EE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5E0057B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4E31EBB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RF5</w:t>
            </w:r>
          </w:p>
        </w:tc>
      </w:tr>
      <w:tr w:rsidR="0090630A" w:rsidRPr="008A17B5" w14:paraId="11A2FEB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4C17F1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E343E6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254A30E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2A4419E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RF5B</w:t>
            </w:r>
          </w:p>
        </w:tc>
      </w:tr>
      <w:tr w:rsidR="0090630A" w:rsidRPr="008A17B5" w14:paraId="25A6414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512DB7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F796EE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60A00FC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778ADF5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RF5S</w:t>
            </w:r>
          </w:p>
        </w:tc>
      </w:tr>
      <w:tr w:rsidR="0090630A" w:rsidRPr="008A17B5" w14:paraId="705CA9E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624123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0DADF3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47B2B6F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Refrigerators</w:t>
            </w:r>
          </w:p>
        </w:tc>
        <w:tc>
          <w:tcPr>
            <w:tcW w:w="2432" w:type="dxa"/>
            <w:tcBorders>
              <w:top w:val="single" w:sz="4" w:space="0" w:color="auto"/>
              <w:bottom w:val="single" w:sz="4" w:space="0" w:color="auto"/>
            </w:tcBorders>
            <w:noWrap/>
            <w:hideMark/>
          </w:tcPr>
          <w:p w14:paraId="2E222E7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RF5T</w:t>
            </w:r>
          </w:p>
        </w:tc>
      </w:tr>
      <w:tr w:rsidR="0090630A" w:rsidRPr="008A17B5" w14:paraId="486EE27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DEEB84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A1FEF2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7625AA7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Freezers</w:t>
            </w:r>
          </w:p>
        </w:tc>
        <w:tc>
          <w:tcPr>
            <w:tcW w:w="2432" w:type="dxa"/>
            <w:tcBorders>
              <w:top w:val="single" w:sz="4" w:space="0" w:color="auto"/>
              <w:bottom w:val="single" w:sz="4" w:space="0" w:color="auto"/>
            </w:tcBorders>
            <w:noWrap/>
            <w:hideMark/>
          </w:tcPr>
          <w:p w14:paraId="1E0888A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RF6C</w:t>
            </w:r>
          </w:p>
        </w:tc>
      </w:tr>
      <w:tr w:rsidR="0090630A" w:rsidRPr="008A17B5" w14:paraId="3FED96C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0F2650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E1B15D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002281F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Freezers</w:t>
            </w:r>
          </w:p>
        </w:tc>
        <w:tc>
          <w:tcPr>
            <w:tcW w:w="2432" w:type="dxa"/>
            <w:tcBorders>
              <w:top w:val="single" w:sz="4" w:space="0" w:color="auto"/>
              <w:bottom w:val="single" w:sz="4" w:space="0" w:color="auto"/>
            </w:tcBorders>
            <w:noWrap/>
            <w:hideMark/>
          </w:tcPr>
          <w:p w14:paraId="46E0FA4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RF6U</w:t>
            </w:r>
          </w:p>
        </w:tc>
      </w:tr>
      <w:tr w:rsidR="0090630A" w:rsidRPr="008A17B5" w14:paraId="18BD6AA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8BE78F6"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E3323F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6AF7E08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Freezers</w:t>
            </w:r>
          </w:p>
        </w:tc>
        <w:tc>
          <w:tcPr>
            <w:tcW w:w="2432" w:type="dxa"/>
            <w:tcBorders>
              <w:top w:val="single" w:sz="4" w:space="0" w:color="auto"/>
              <w:bottom w:val="single" w:sz="4" w:space="0" w:color="auto"/>
            </w:tcBorders>
            <w:noWrap/>
            <w:hideMark/>
          </w:tcPr>
          <w:p w14:paraId="426E339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RF7</w:t>
            </w:r>
          </w:p>
        </w:tc>
      </w:tr>
      <w:tr w:rsidR="0090630A" w:rsidRPr="008A17B5" w14:paraId="022F5B6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5B0E00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D90680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07F4BB4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Dishwashers</w:t>
            </w:r>
          </w:p>
        </w:tc>
        <w:tc>
          <w:tcPr>
            <w:tcW w:w="2432" w:type="dxa"/>
            <w:tcBorders>
              <w:top w:val="single" w:sz="4" w:space="0" w:color="auto"/>
              <w:bottom w:val="single" w:sz="4" w:space="0" w:color="auto"/>
            </w:tcBorders>
            <w:noWrap/>
            <w:hideMark/>
          </w:tcPr>
          <w:p w14:paraId="52C2471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DW</w:t>
            </w:r>
          </w:p>
        </w:tc>
      </w:tr>
      <w:tr w:rsidR="0090630A" w:rsidRPr="008A17B5" w14:paraId="16386CC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DD29B3E"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39A7A0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1848740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Clothes washers</w:t>
            </w:r>
          </w:p>
        </w:tc>
        <w:tc>
          <w:tcPr>
            <w:tcW w:w="2432" w:type="dxa"/>
            <w:tcBorders>
              <w:top w:val="single" w:sz="4" w:space="0" w:color="auto"/>
              <w:bottom w:val="single" w:sz="4" w:space="0" w:color="auto"/>
            </w:tcBorders>
            <w:noWrap/>
            <w:hideMark/>
          </w:tcPr>
          <w:p w14:paraId="2E97F25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CW-F</w:t>
            </w:r>
          </w:p>
        </w:tc>
      </w:tr>
      <w:tr w:rsidR="0090630A" w:rsidRPr="008A17B5" w14:paraId="6900BA3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DB246E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B576E6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3434294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Clothes washers</w:t>
            </w:r>
          </w:p>
        </w:tc>
        <w:tc>
          <w:tcPr>
            <w:tcW w:w="2432" w:type="dxa"/>
            <w:tcBorders>
              <w:top w:val="single" w:sz="4" w:space="0" w:color="auto"/>
              <w:bottom w:val="single" w:sz="4" w:space="0" w:color="auto"/>
            </w:tcBorders>
            <w:noWrap/>
            <w:hideMark/>
          </w:tcPr>
          <w:p w14:paraId="501FA4C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CW-T</w:t>
            </w:r>
          </w:p>
        </w:tc>
      </w:tr>
      <w:tr w:rsidR="0090630A" w:rsidRPr="008A17B5" w14:paraId="55E7228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BF5712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201D6F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 xml:space="preserve">White goods  </w:t>
            </w:r>
          </w:p>
        </w:tc>
        <w:tc>
          <w:tcPr>
            <w:tcW w:w="2693" w:type="dxa"/>
            <w:tcBorders>
              <w:top w:val="single" w:sz="4" w:space="0" w:color="auto"/>
              <w:bottom w:val="single" w:sz="4" w:space="0" w:color="auto"/>
            </w:tcBorders>
            <w:noWrap/>
            <w:hideMark/>
          </w:tcPr>
          <w:p w14:paraId="4BA031E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Clothes dryers</w:t>
            </w:r>
          </w:p>
        </w:tc>
        <w:tc>
          <w:tcPr>
            <w:tcW w:w="2432" w:type="dxa"/>
            <w:tcBorders>
              <w:top w:val="single" w:sz="4" w:space="0" w:color="auto"/>
              <w:bottom w:val="single" w:sz="4" w:space="0" w:color="auto"/>
            </w:tcBorders>
            <w:noWrap/>
            <w:hideMark/>
          </w:tcPr>
          <w:p w14:paraId="5BA7F82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CD</w:t>
            </w:r>
          </w:p>
        </w:tc>
      </w:tr>
      <w:tr w:rsidR="0090630A" w:rsidRPr="008A17B5" w14:paraId="57DD50F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F250172"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69B528C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 xml:space="preserve">White goods  </w:t>
            </w:r>
          </w:p>
        </w:tc>
        <w:tc>
          <w:tcPr>
            <w:tcW w:w="2693" w:type="dxa"/>
            <w:tcBorders>
              <w:top w:val="single" w:sz="4" w:space="0" w:color="auto"/>
              <w:bottom w:val="single" w:sz="4" w:space="0" w:color="auto"/>
            </w:tcBorders>
            <w:noWrap/>
            <w:hideMark/>
          </w:tcPr>
          <w:p w14:paraId="65EB8874"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Refrigerators</w:t>
            </w:r>
          </w:p>
        </w:tc>
        <w:tc>
          <w:tcPr>
            <w:tcW w:w="2432" w:type="dxa"/>
            <w:tcBorders>
              <w:top w:val="single" w:sz="4" w:space="0" w:color="auto"/>
              <w:bottom w:val="single" w:sz="4" w:space="0" w:color="auto"/>
            </w:tcBorders>
            <w:noWrap/>
            <w:hideMark/>
          </w:tcPr>
          <w:p w14:paraId="17DEC2A1"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RF-Drink</w:t>
            </w:r>
          </w:p>
        </w:tc>
      </w:tr>
      <w:tr w:rsidR="0090630A" w:rsidRPr="008A17B5" w14:paraId="3F5AFAE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077C93A"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6E6FAA6E"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 xml:space="preserve">White goods  </w:t>
            </w:r>
          </w:p>
        </w:tc>
        <w:tc>
          <w:tcPr>
            <w:tcW w:w="2693" w:type="dxa"/>
            <w:tcBorders>
              <w:top w:val="single" w:sz="4" w:space="0" w:color="auto"/>
              <w:bottom w:val="single" w:sz="4" w:space="0" w:color="auto"/>
            </w:tcBorders>
            <w:noWrap/>
            <w:hideMark/>
          </w:tcPr>
          <w:p w14:paraId="4CEA4189"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Refrigerators</w:t>
            </w:r>
          </w:p>
        </w:tc>
        <w:tc>
          <w:tcPr>
            <w:tcW w:w="2432" w:type="dxa"/>
            <w:tcBorders>
              <w:top w:val="single" w:sz="4" w:space="0" w:color="auto"/>
              <w:bottom w:val="single" w:sz="4" w:space="0" w:color="auto"/>
            </w:tcBorders>
            <w:noWrap/>
            <w:hideMark/>
          </w:tcPr>
          <w:p w14:paraId="51E0FD1C"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RF-Wine</w:t>
            </w:r>
          </w:p>
        </w:tc>
      </w:tr>
      <w:tr w:rsidR="0090630A" w:rsidRPr="008A17B5" w14:paraId="7317A26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0595B8C"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Lighting</w:t>
            </w:r>
          </w:p>
        </w:tc>
        <w:tc>
          <w:tcPr>
            <w:tcW w:w="2403" w:type="dxa"/>
            <w:tcBorders>
              <w:top w:val="single" w:sz="4" w:space="0" w:color="auto"/>
              <w:bottom w:val="single" w:sz="4" w:space="0" w:color="auto"/>
            </w:tcBorders>
            <w:noWrap/>
            <w:hideMark/>
          </w:tcPr>
          <w:p w14:paraId="1F19D09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3C641CA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MV incandescent</w:t>
            </w:r>
          </w:p>
        </w:tc>
        <w:tc>
          <w:tcPr>
            <w:tcW w:w="2432" w:type="dxa"/>
            <w:tcBorders>
              <w:top w:val="single" w:sz="4" w:space="0" w:color="auto"/>
              <w:bottom w:val="single" w:sz="4" w:space="0" w:color="auto"/>
            </w:tcBorders>
            <w:noWrap/>
            <w:hideMark/>
          </w:tcPr>
          <w:p w14:paraId="67AD014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MV incandescent</w:t>
            </w:r>
          </w:p>
        </w:tc>
      </w:tr>
      <w:tr w:rsidR="0090630A" w:rsidRPr="008A17B5" w14:paraId="556A837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CBDB1B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458909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14AF4D6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MV halogen</w:t>
            </w:r>
          </w:p>
        </w:tc>
        <w:tc>
          <w:tcPr>
            <w:tcW w:w="2432" w:type="dxa"/>
            <w:tcBorders>
              <w:top w:val="single" w:sz="4" w:space="0" w:color="auto"/>
              <w:bottom w:val="single" w:sz="4" w:space="0" w:color="auto"/>
            </w:tcBorders>
            <w:noWrap/>
            <w:hideMark/>
          </w:tcPr>
          <w:p w14:paraId="2439B89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MV halogen</w:t>
            </w:r>
          </w:p>
        </w:tc>
      </w:tr>
      <w:tr w:rsidR="0090630A" w:rsidRPr="008A17B5" w14:paraId="56CDBE78"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416E0C"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327C70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380C584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ELV halogen</w:t>
            </w:r>
          </w:p>
        </w:tc>
        <w:tc>
          <w:tcPr>
            <w:tcW w:w="2432" w:type="dxa"/>
            <w:tcBorders>
              <w:top w:val="single" w:sz="4" w:space="0" w:color="auto"/>
              <w:bottom w:val="single" w:sz="4" w:space="0" w:color="auto"/>
            </w:tcBorders>
            <w:noWrap/>
            <w:hideMark/>
          </w:tcPr>
          <w:p w14:paraId="4CA4513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ELV halogen</w:t>
            </w:r>
          </w:p>
        </w:tc>
      </w:tr>
      <w:tr w:rsidR="0090630A" w:rsidRPr="008A17B5" w14:paraId="5B1B29C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E10E09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8855A1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0EDD547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CFL</w:t>
            </w:r>
          </w:p>
        </w:tc>
        <w:tc>
          <w:tcPr>
            <w:tcW w:w="2432" w:type="dxa"/>
            <w:tcBorders>
              <w:top w:val="single" w:sz="4" w:space="0" w:color="auto"/>
              <w:bottom w:val="single" w:sz="4" w:space="0" w:color="auto"/>
            </w:tcBorders>
            <w:noWrap/>
            <w:hideMark/>
          </w:tcPr>
          <w:p w14:paraId="5BFEDAC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CFL</w:t>
            </w:r>
          </w:p>
        </w:tc>
      </w:tr>
      <w:tr w:rsidR="0090630A" w:rsidRPr="008A17B5" w14:paraId="10E95E8D"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C1EA75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F0570B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0EC30A3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Linear fluorescent</w:t>
            </w:r>
          </w:p>
        </w:tc>
        <w:tc>
          <w:tcPr>
            <w:tcW w:w="2432" w:type="dxa"/>
            <w:tcBorders>
              <w:top w:val="single" w:sz="4" w:space="0" w:color="auto"/>
              <w:bottom w:val="single" w:sz="4" w:space="0" w:color="auto"/>
            </w:tcBorders>
            <w:noWrap/>
            <w:hideMark/>
          </w:tcPr>
          <w:p w14:paraId="6B6B5D5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Linear fluorescent</w:t>
            </w:r>
          </w:p>
        </w:tc>
      </w:tr>
      <w:tr w:rsidR="0090630A" w:rsidRPr="008A17B5" w14:paraId="48668F2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3DD0FA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2AF527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Lighting</w:t>
            </w:r>
          </w:p>
        </w:tc>
        <w:tc>
          <w:tcPr>
            <w:tcW w:w="2693" w:type="dxa"/>
            <w:tcBorders>
              <w:top w:val="single" w:sz="4" w:space="0" w:color="auto"/>
              <w:bottom w:val="single" w:sz="4" w:space="0" w:color="auto"/>
            </w:tcBorders>
            <w:noWrap/>
            <w:hideMark/>
          </w:tcPr>
          <w:p w14:paraId="0AFC5BC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LED</w:t>
            </w:r>
          </w:p>
        </w:tc>
        <w:tc>
          <w:tcPr>
            <w:tcW w:w="2432" w:type="dxa"/>
            <w:tcBorders>
              <w:top w:val="single" w:sz="4" w:space="0" w:color="auto"/>
              <w:bottom w:val="single" w:sz="4" w:space="0" w:color="auto"/>
            </w:tcBorders>
            <w:noWrap/>
            <w:hideMark/>
          </w:tcPr>
          <w:p w14:paraId="0E5AB1E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LED</w:t>
            </w:r>
          </w:p>
        </w:tc>
      </w:tr>
      <w:tr w:rsidR="0090630A" w:rsidRPr="008A17B5" w14:paraId="0537AB3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18EAE86"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Cooking</w:t>
            </w:r>
          </w:p>
        </w:tc>
        <w:tc>
          <w:tcPr>
            <w:tcW w:w="2403" w:type="dxa"/>
            <w:tcBorders>
              <w:top w:val="single" w:sz="4" w:space="0" w:color="auto"/>
              <w:bottom w:val="single" w:sz="4" w:space="0" w:color="auto"/>
            </w:tcBorders>
            <w:noWrap/>
            <w:hideMark/>
          </w:tcPr>
          <w:p w14:paraId="79CA1EF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5A131D8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Uprights</w:t>
            </w:r>
          </w:p>
        </w:tc>
        <w:tc>
          <w:tcPr>
            <w:tcW w:w="2432" w:type="dxa"/>
            <w:tcBorders>
              <w:top w:val="single" w:sz="4" w:space="0" w:color="auto"/>
              <w:bottom w:val="single" w:sz="4" w:space="0" w:color="auto"/>
            </w:tcBorders>
            <w:noWrap/>
            <w:hideMark/>
          </w:tcPr>
          <w:p w14:paraId="2A61CE6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 - Elec</w:t>
            </w:r>
          </w:p>
        </w:tc>
      </w:tr>
      <w:tr w:rsidR="0090630A" w:rsidRPr="008A17B5" w14:paraId="575E870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3AF60F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A28190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2F561DC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Cooktops</w:t>
            </w:r>
          </w:p>
        </w:tc>
        <w:tc>
          <w:tcPr>
            <w:tcW w:w="2432" w:type="dxa"/>
            <w:tcBorders>
              <w:top w:val="single" w:sz="4" w:space="0" w:color="auto"/>
              <w:bottom w:val="single" w:sz="4" w:space="0" w:color="auto"/>
            </w:tcBorders>
            <w:noWrap/>
            <w:hideMark/>
          </w:tcPr>
          <w:p w14:paraId="15C23B0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 - Elec</w:t>
            </w:r>
          </w:p>
        </w:tc>
      </w:tr>
      <w:tr w:rsidR="0090630A" w:rsidRPr="008A17B5" w14:paraId="51D2346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06F066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E56C9E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028DA81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Ovens</w:t>
            </w:r>
          </w:p>
        </w:tc>
        <w:tc>
          <w:tcPr>
            <w:tcW w:w="2432" w:type="dxa"/>
            <w:tcBorders>
              <w:top w:val="single" w:sz="4" w:space="0" w:color="auto"/>
              <w:bottom w:val="single" w:sz="4" w:space="0" w:color="auto"/>
            </w:tcBorders>
            <w:noWrap/>
            <w:hideMark/>
          </w:tcPr>
          <w:p w14:paraId="0F768B7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 - Elec</w:t>
            </w:r>
          </w:p>
        </w:tc>
      </w:tr>
      <w:tr w:rsidR="0090630A" w:rsidRPr="008A17B5" w14:paraId="2D78196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830EC7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7EB9E8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052D044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Uprights</w:t>
            </w:r>
          </w:p>
        </w:tc>
        <w:tc>
          <w:tcPr>
            <w:tcW w:w="2432" w:type="dxa"/>
            <w:tcBorders>
              <w:top w:val="single" w:sz="4" w:space="0" w:color="auto"/>
              <w:bottom w:val="single" w:sz="4" w:space="0" w:color="auto"/>
            </w:tcBorders>
            <w:noWrap/>
            <w:hideMark/>
          </w:tcPr>
          <w:p w14:paraId="2B09AE7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 - NG</w:t>
            </w:r>
          </w:p>
        </w:tc>
      </w:tr>
      <w:tr w:rsidR="0090630A" w:rsidRPr="008A17B5" w14:paraId="4CA8B6A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3734108"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792CE1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45F8F75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Cooktops</w:t>
            </w:r>
          </w:p>
        </w:tc>
        <w:tc>
          <w:tcPr>
            <w:tcW w:w="2432" w:type="dxa"/>
            <w:tcBorders>
              <w:top w:val="single" w:sz="4" w:space="0" w:color="auto"/>
              <w:bottom w:val="single" w:sz="4" w:space="0" w:color="auto"/>
            </w:tcBorders>
            <w:noWrap/>
            <w:hideMark/>
          </w:tcPr>
          <w:p w14:paraId="7B3573C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 - NG</w:t>
            </w:r>
          </w:p>
        </w:tc>
      </w:tr>
      <w:tr w:rsidR="0090630A" w:rsidRPr="008A17B5" w14:paraId="6387E0D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F74C2A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D5D005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33E240B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Ovens</w:t>
            </w:r>
          </w:p>
        </w:tc>
        <w:tc>
          <w:tcPr>
            <w:tcW w:w="2432" w:type="dxa"/>
            <w:tcBorders>
              <w:top w:val="single" w:sz="4" w:space="0" w:color="auto"/>
              <w:bottom w:val="single" w:sz="4" w:space="0" w:color="auto"/>
            </w:tcBorders>
            <w:noWrap/>
            <w:hideMark/>
          </w:tcPr>
          <w:p w14:paraId="09D8F6F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 - NG</w:t>
            </w:r>
          </w:p>
        </w:tc>
      </w:tr>
      <w:tr w:rsidR="0090630A" w:rsidRPr="008A17B5" w14:paraId="300448A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ECA446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0AF974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4B4C94D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Uprights</w:t>
            </w:r>
          </w:p>
        </w:tc>
        <w:tc>
          <w:tcPr>
            <w:tcW w:w="2432" w:type="dxa"/>
            <w:tcBorders>
              <w:top w:val="single" w:sz="4" w:space="0" w:color="auto"/>
              <w:bottom w:val="single" w:sz="4" w:space="0" w:color="auto"/>
            </w:tcBorders>
            <w:noWrap/>
            <w:hideMark/>
          </w:tcPr>
          <w:p w14:paraId="53F66EC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Upright - LPG</w:t>
            </w:r>
          </w:p>
        </w:tc>
      </w:tr>
      <w:tr w:rsidR="0090630A" w:rsidRPr="008A17B5" w14:paraId="60DEF83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F649E7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21F121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3D06E42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Cooktops</w:t>
            </w:r>
          </w:p>
        </w:tc>
        <w:tc>
          <w:tcPr>
            <w:tcW w:w="2432" w:type="dxa"/>
            <w:tcBorders>
              <w:top w:val="single" w:sz="4" w:space="0" w:color="auto"/>
              <w:bottom w:val="single" w:sz="4" w:space="0" w:color="auto"/>
            </w:tcBorders>
            <w:noWrap/>
            <w:hideMark/>
          </w:tcPr>
          <w:p w14:paraId="4C6BDBE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Cooktop - LPG</w:t>
            </w:r>
          </w:p>
        </w:tc>
      </w:tr>
      <w:tr w:rsidR="0090630A" w:rsidRPr="008A17B5" w14:paraId="3122EF7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4E4452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43D720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644BA13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Ovens</w:t>
            </w:r>
          </w:p>
        </w:tc>
        <w:tc>
          <w:tcPr>
            <w:tcW w:w="2432" w:type="dxa"/>
            <w:tcBorders>
              <w:top w:val="single" w:sz="4" w:space="0" w:color="auto"/>
              <w:bottom w:val="single" w:sz="4" w:space="0" w:color="auto"/>
            </w:tcBorders>
            <w:noWrap/>
            <w:hideMark/>
          </w:tcPr>
          <w:p w14:paraId="4473FFA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Oven - LPG</w:t>
            </w:r>
          </w:p>
        </w:tc>
      </w:tr>
      <w:tr w:rsidR="0090630A" w:rsidRPr="008A17B5" w14:paraId="7ED7BD3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448E37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B4A6FF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Cooking Products</w:t>
            </w:r>
          </w:p>
        </w:tc>
        <w:tc>
          <w:tcPr>
            <w:tcW w:w="2693" w:type="dxa"/>
            <w:tcBorders>
              <w:top w:val="single" w:sz="4" w:space="0" w:color="auto"/>
              <w:bottom w:val="single" w:sz="4" w:space="0" w:color="auto"/>
            </w:tcBorders>
            <w:noWrap/>
            <w:hideMark/>
          </w:tcPr>
          <w:p w14:paraId="11B74C7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Microwave</w:t>
            </w:r>
          </w:p>
        </w:tc>
        <w:tc>
          <w:tcPr>
            <w:tcW w:w="2432" w:type="dxa"/>
            <w:tcBorders>
              <w:top w:val="single" w:sz="4" w:space="0" w:color="auto"/>
              <w:bottom w:val="single" w:sz="4" w:space="0" w:color="auto"/>
            </w:tcBorders>
            <w:noWrap/>
            <w:hideMark/>
          </w:tcPr>
          <w:p w14:paraId="3FFD98B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Microwave</w:t>
            </w:r>
          </w:p>
        </w:tc>
      </w:tr>
      <w:tr w:rsidR="0090630A" w:rsidRPr="008A17B5" w14:paraId="2C2DED3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5834EBC"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Water heating</w:t>
            </w:r>
          </w:p>
        </w:tc>
        <w:tc>
          <w:tcPr>
            <w:tcW w:w="2403" w:type="dxa"/>
            <w:tcBorders>
              <w:top w:val="single" w:sz="4" w:space="0" w:color="auto"/>
              <w:bottom w:val="single" w:sz="4" w:space="0" w:color="auto"/>
            </w:tcBorders>
            <w:noWrap/>
            <w:hideMark/>
          </w:tcPr>
          <w:p w14:paraId="0970551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57D488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Small</w:t>
            </w:r>
          </w:p>
        </w:tc>
        <w:tc>
          <w:tcPr>
            <w:tcW w:w="2432" w:type="dxa"/>
            <w:tcBorders>
              <w:top w:val="single" w:sz="4" w:space="0" w:color="auto"/>
              <w:bottom w:val="single" w:sz="4" w:space="0" w:color="auto"/>
            </w:tcBorders>
            <w:noWrap/>
            <w:hideMark/>
          </w:tcPr>
          <w:p w14:paraId="2254D9A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Small</w:t>
            </w:r>
          </w:p>
        </w:tc>
      </w:tr>
      <w:tr w:rsidR="0090630A" w:rsidRPr="008A17B5" w14:paraId="7E80DD9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8F2879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B48643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7338E92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Med/Large</w:t>
            </w:r>
          </w:p>
        </w:tc>
        <w:tc>
          <w:tcPr>
            <w:tcW w:w="2432" w:type="dxa"/>
            <w:tcBorders>
              <w:top w:val="single" w:sz="4" w:space="0" w:color="auto"/>
              <w:bottom w:val="single" w:sz="4" w:space="0" w:color="auto"/>
            </w:tcBorders>
            <w:noWrap/>
            <w:hideMark/>
          </w:tcPr>
          <w:p w14:paraId="69550A8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Med</w:t>
            </w:r>
          </w:p>
        </w:tc>
      </w:tr>
      <w:tr w:rsidR="0090630A" w:rsidRPr="008A17B5" w14:paraId="4D86EFF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0C1C4D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4A8738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1D6591B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Med/Large</w:t>
            </w:r>
          </w:p>
        </w:tc>
        <w:tc>
          <w:tcPr>
            <w:tcW w:w="2432" w:type="dxa"/>
            <w:tcBorders>
              <w:top w:val="single" w:sz="4" w:space="0" w:color="auto"/>
              <w:bottom w:val="single" w:sz="4" w:space="0" w:color="auto"/>
            </w:tcBorders>
            <w:noWrap/>
            <w:hideMark/>
          </w:tcPr>
          <w:p w14:paraId="5C94A4E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Large</w:t>
            </w:r>
          </w:p>
        </w:tc>
      </w:tr>
      <w:tr w:rsidR="0090630A" w:rsidRPr="008A17B5" w14:paraId="23AD595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CB0732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83D8CC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5C4DCB2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Small</w:t>
            </w:r>
          </w:p>
        </w:tc>
        <w:tc>
          <w:tcPr>
            <w:tcW w:w="2432" w:type="dxa"/>
            <w:tcBorders>
              <w:top w:val="single" w:sz="4" w:space="0" w:color="auto"/>
              <w:bottom w:val="single" w:sz="4" w:space="0" w:color="auto"/>
            </w:tcBorders>
            <w:noWrap/>
            <w:hideMark/>
          </w:tcPr>
          <w:p w14:paraId="2F77D82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EIWH</w:t>
            </w:r>
          </w:p>
        </w:tc>
      </w:tr>
      <w:tr w:rsidR="0090630A" w:rsidRPr="008A17B5" w14:paraId="32F6462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C4854E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DED67D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67B5D27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storage (mains)</w:t>
            </w:r>
          </w:p>
        </w:tc>
        <w:tc>
          <w:tcPr>
            <w:tcW w:w="2432" w:type="dxa"/>
            <w:tcBorders>
              <w:top w:val="single" w:sz="4" w:space="0" w:color="auto"/>
              <w:bottom w:val="single" w:sz="4" w:space="0" w:color="auto"/>
            </w:tcBorders>
            <w:noWrap/>
            <w:hideMark/>
          </w:tcPr>
          <w:p w14:paraId="4556EE0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GSWH - NG</w:t>
            </w:r>
          </w:p>
        </w:tc>
      </w:tr>
      <w:tr w:rsidR="0090630A" w:rsidRPr="008A17B5" w14:paraId="253FD48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CED33A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2E4964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6668D4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storage (LPG)</w:t>
            </w:r>
          </w:p>
        </w:tc>
        <w:tc>
          <w:tcPr>
            <w:tcW w:w="2432" w:type="dxa"/>
            <w:tcBorders>
              <w:top w:val="single" w:sz="4" w:space="0" w:color="auto"/>
              <w:bottom w:val="single" w:sz="4" w:space="0" w:color="auto"/>
            </w:tcBorders>
            <w:noWrap/>
            <w:hideMark/>
          </w:tcPr>
          <w:p w14:paraId="17474C1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GSWH - LPG</w:t>
            </w:r>
          </w:p>
        </w:tc>
      </w:tr>
      <w:tr w:rsidR="0090630A" w:rsidRPr="008A17B5" w14:paraId="0AFDF23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CC8BFF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C78614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1138F41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instant (mains)</w:t>
            </w:r>
          </w:p>
        </w:tc>
        <w:tc>
          <w:tcPr>
            <w:tcW w:w="2432" w:type="dxa"/>
            <w:tcBorders>
              <w:top w:val="single" w:sz="4" w:space="0" w:color="auto"/>
              <w:bottom w:val="single" w:sz="4" w:space="0" w:color="auto"/>
            </w:tcBorders>
            <w:noWrap/>
            <w:hideMark/>
          </w:tcPr>
          <w:p w14:paraId="50F9675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GIWH - NG</w:t>
            </w:r>
          </w:p>
        </w:tc>
      </w:tr>
      <w:tr w:rsidR="0090630A" w:rsidRPr="008A17B5" w14:paraId="6C2692B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B41BC4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3E11EF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5E6E2A3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Gas instant (LPG)</w:t>
            </w:r>
          </w:p>
        </w:tc>
        <w:tc>
          <w:tcPr>
            <w:tcW w:w="2432" w:type="dxa"/>
            <w:tcBorders>
              <w:top w:val="single" w:sz="4" w:space="0" w:color="auto"/>
              <w:bottom w:val="single" w:sz="4" w:space="0" w:color="auto"/>
            </w:tcBorders>
            <w:noWrap/>
            <w:hideMark/>
          </w:tcPr>
          <w:p w14:paraId="4356988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GIWH - LPG</w:t>
            </w:r>
          </w:p>
        </w:tc>
      </w:tr>
      <w:tr w:rsidR="0090630A" w:rsidRPr="008A17B5" w14:paraId="5BC74F7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ED7533E"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5A1469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571D08B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electric</w:t>
            </w:r>
          </w:p>
        </w:tc>
        <w:tc>
          <w:tcPr>
            <w:tcW w:w="2432" w:type="dxa"/>
            <w:tcBorders>
              <w:top w:val="single" w:sz="4" w:space="0" w:color="auto"/>
              <w:bottom w:val="single" w:sz="4" w:space="0" w:color="auto"/>
            </w:tcBorders>
            <w:noWrap/>
            <w:hideMark/>
          </w:tcPr>
          <w:p w14:paraId="0FE4E8E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SEWH Z1</w:t>
            </w:r>
          </w:p>
        </w:tc>
      </w:tr>
      <w:tr w:rsidR="0090630A" w:rsidRPr="008A17B5" w14:paraId="2F2D2ED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83F690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3AC4C1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03EFEA7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electric</w:t>
            </w:r>
          </w:p>
        </w:tc>
        <w:tc>
          <w:tcPr>
            <w:tcW w:w="2432" w:type="dxa"/>
            <w:tcBorders>
              <w:top w:val="single" w:sz="4" w:space="0" w:color="auto"/>
              <w:bottom w:val="single" w:sz="4" w:space="0" w:color="auto"/>
            </w:tcBorders>
            <w:noWrap/>
            <w:hideMark/>
          </w:tcPr>
          <w:p w14:paraId="2601D3F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SEWH Z2</w:t>
            </w:r>
          </w:p>
        </w:tc>
      </w:tr>
      <w:tr w:rsidR="0090630A" w:rsidRPr="008A17B5" w14:paraId="0A6534F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36B3AA8"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3B63A9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0F27A9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electric</w:t>
            </w:r>
          </w:p>
        </w:tc>
        <w:tc>
          <w:tcPr>
            <w:tcW w:w="2432" w:type="dxa"/>
            <w:tcBorders>
              <w:top w:val="single" w:sz="4" w:space="0" w:color="auto"/>
              <w:bottom w:val="single" w:sz="4" w:space="0" w:color="auto"/>
            </w:tcBorders>
            <w:noWrap/>
            <w:hideMark/>
          </w:tcPr>
          <w:p w14:paraId="6154B9B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SEWH Z3</w:t>
            </w:r>
          </w:p>
        </w:tc>
      </w:tr>
      <w:tr w:rsidR="0090630A" w:rsidRPr="008A17B5" w14:paraId="1883EEC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7ADA3E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B7582E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62C85C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electric</w:t>
            </w:r>
          </w:p>
        </w:tc>
        <w:tc>
          <w:tcPr>
            <w:tcW w:w="2432" w:type="dxa"/>
            <w:tcBorders>
              <w:top w:val="single" w:sz="4" w:space="0" w:color="auto"/>
              <w:bottom w:val="single" w:sz="4" w:space="0" w:color="auto"/>
            </w:tcBorders>
            <w:noWrap/>
            <w:hideMark/>
          </w:tcPr>
          <w:p w14:paraId="6516032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SEWH Z4</w:t>
            </w:r>
          </w:p>
        </w:tc>
      </w:tr>
      <w:tr w:rsidR="0090630A" w:rsidRPr="008A17B5" w14:paraId="01AA3CB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86BE23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DD2525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08AD9ED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 pump</w:t>
            </w:r>
          </w:p>
        </w:tc>
        <w:tc>
          <w:tcPr>
            <w:tcW w:w="2432" w:type="dxa"/>
            <w:tcBorders>
              <w:top w:val="single" w:sz="4" w:space="0" w:color="auto"/>
              <w:bottom w:val="single" w:sz="4" w:space="0" w:color="auto"/>
            </w:tcBorders>
            <w:noWrap/>
            <w:hideMark/>
          </w:tcPr>
          <w:p w14:paraId="07B3394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HPWH Z1</w:t>
            </w:r>
          </w:p>
        </w:tc>
      </w:tr>
      <w:tr w:rsidR="0090630A" w:rsidRPr="008A17B5" w14:paraId="4D2090E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AE7974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1A3B9D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211C545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 pump</w:t>
            </w:r>
          </w:p>
        </w:tc>
        <w:tc>
          <w:tcPr>
            <w:tcW w:w="2432" w:type="dxa"/>
            <w:tcBorders>
              <w:top w:val="single" w:sz="4" w:space="0" w:color="auto"/>
              <w:bottom w:val="single" w:sz="4" w:space="0" w:color="auto"/>
            </w:tcBorders>
            <w:noWrap/>
            <w:hideMark/>
          </w:tcPr>
          <w:p w14:paraId="56DBE65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HPWH Z2</w:t>
            </w:r>
          </w:p>
        </w:tc>
      </w:tr>
      <w:tr w:rsidR="0090630A" w:rsidRPr="008A17B5" w14:paraId="5B3CE22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5643DC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1A2837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729A181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 pump</w:t>
            </w:r>
          </w:p>
        </w:tc>
        <w:tc>
          <w:tcPr>
            <w:tcW w:w="2432" w:type="dxa"/>
            <w:tcBorders>
              <w:top w:val="single" w:sz="4" w:space="0" w:color="auto"/>
              <w:bottom w:val="single" w:sz="4" w:space="0" w:color="auto"/>
            </w:tcBorders>
            <w:noWrap/>
            <w:hideMark/>
          </w:tcPr>
          <w:p w14:paraId="1C9A019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HPWH Z3</w:t>
            </w:r>
          </w:p>
        </w:tc>
      </w:tr>
      <w:tr w:rsidR="0090630A" w:rsidRPr="008A17B5" w14:paraId="3F9EBC1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9BC4D7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7F434D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4E9B931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 pump</w:t>
            </w:r>
          </w:p>
        </w:tc>
        <w:tc>
          <w:tcPr>
            <w:tcW w:w="2432" w:type="dxa"/>
            <w:tcBorders>
              <w:top w:val="single" w:sz="4" w:space="0" w:color="auto"/>
              <w:bottom w:val="single" w:sz="4" w:space="0" w:color="auto"/>
            </w:tcBorders>
            <w:noWrap/>
            <w:hideMark/>
          </w:tcPr>
          <w:p w14:paraId="4167A12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HPWH Z4</w:t>
            </w:r>
          </w:p>
        </w:tc>
      </w:tr>
      <w:tr w:rsidR="0090630A" w:rsidRPr="008A17B5" w14:paraId="6ADD12A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7A2DDE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E26CF9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41F5A47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Heat pump</w:t>
            </w:r>
          </w:p>
        </w:tc>
        <w:tc>
          <w:tcPr>
            <w:tcW w:w="2432" w:type="dxa"/>
            <w:tcBorders>
              <w:top w:val="single" w:sz="4" w:space="0" w:color="auto"/>
              <w:bottom w:val="single" w:sz="4" w:space="0" w:color="auto"/>
            </w:tcBorders>
            <w:noWrap/>
            <w:hideMark/>
          </w:tcPr>
          <w:p w14:paraId="07B2A12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HPWH Z5</w:t>
            </w:r>
          </w:p>
        </w:tc>
      </w:tr>
      <w:tr w:rsidR="0090630A" w:rsidRPr="008A17B5" w14:paraId="4903273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E22A24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1B894C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13049F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24937BD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Z1 - NG</w:t>
            </w:r>
          </w:p>
        </w:tc>
      </w:tr>
      <w:tr w:rsidR="0090630A" w:rsidRPr="008A17B5" w14:paraId="1A590C5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904850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D7151A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5F55B51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76118CF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Z2 - NG</w:t>
            </w:r>
          </w:p>
        </w:tc>
      </w:tr>
      <w:tr w:rsidR="0090630A" w:rsidRPr="008A17B5" w14:paraId="050490D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53B12C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64C972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6350008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0F31CFF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Z3 - NG</w:t>
            </w:r>
          </w:p>
        </w:tc>
      </w:tr>
      <w:tr w:rsidR="0090630A" w:rsidRPr="008A17B5" w14:paraId="7F65F3F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B35A54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4137E5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2AE1F99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3A30DB9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Z4 - NG</w:t>
            </w:r>
          </w:p>
        </w:tc>
      </w:tr>
      <w:tr w:rsidR="0090630A" w:rsidRPr="008A17B5" w14:paraId="2668377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54E4EF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83703D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619A05F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6CE4F3C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Z1 - LPG</w:t>
            </w:r>
          </w:p>
        </w:tc>
      </w:tr>
      <w:tr w:rsidR="0090630A" w:rsidRPr="008A17B5" w14:paraId="7ECDE17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723952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B1D243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2802931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05D2B09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Z2 - LPG</w:t>
            </w:r>
          </w:p>
        </w:tc>
      </w:tr>
      <w:tr w:rsidR="0090630A" w:rsidRPr="008A17B5" w14:paraId="174F02C8"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B4F135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3A6596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7FC0D25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2351E1C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Z3 - LPG</w:t>
            </w:r>
          </w:p>
        </w:tc>
      </w:tr>
      <w:tr w:rsidR="0090630A" w:rsidRPr="008A17B5" w14:paraId="088DFF1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D2A7FA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2712BE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7AAEE44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Solar gas</w:t>
            </w:r>
          </w:p>
        </w:tc>
        <w:tc>
          <w:tcPr>
            <w:tcW w:w="2432" w:type="dxa"/>
            <w:tcBorders>
              <w:top w:val="single" w:sz="4" w:space="0" w:color="auto"/>
              <w:bottom w:val="single" w:sz="4" w:space="0" w:color="auto"/>
            </w:tcBorders>
            <w:noWrap/>
            <w:hideMark/>
          </w:tcPr>
          <w:p w14:paraId="22789F8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SGWH Z4 - LPG</w:t>
            </w:r>
          </w:p>
        </w:tc>
      </w:tr>
      <w:tr w:rsidR="0090630A" w:rsidRPr="008A17B5" w14:paraId="19C3849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A804D3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71FA08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535E61E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Wood</w:t>
            </w:r>
          </w:p>
        </w:tc>
        <w:tc>
          <w:tcPr>
            <w:tcW w:w="2432" w:type="dxa"/>
            <w:tcBorders>
              <w:top w:val="single" w:sz="4" w:space="0" w:color="auto"/>
              <w:bottom w:val="single" w:sz="4" w:space="0" w:color="auto"/>
            </w:tcBorders>
            <w:noWrap/>
            <w:hideMark/>
          </w:tcPr>
          <w:p w14:paraId="66DF260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Wetbacks</w:t>
            </w:r>
          </w:p>
        </w:tc>
      </w:tr>
      <w:tr w:rsidR="0090630A" w:rsidRPr="008A17B5" w14:paraId="1DC938B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CC31DE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45E05F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0617F50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Small</w:t>
            </w:r>
          </w:p>
        </w:tc>
        <w:tc>
          <w:tcPr>
            <w:tcW w:w="2432" w:type="dxa"/>
            <w:tcBorders>
              <w:top w:val="single" w:sz="4" w:space="0" w:color="auto"/>
              <w:bottom w:val="single" w:sz="4" w:space="0" w:color="auto"/>
            </w:tcBorders>
            <w:noWrap/>
            <w:hideMark/>
          </w:tcPr>
          <w:p w14:paraId="601EEF2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Small NZ</w:t>
            </w:r>
          </w:p>
        </w:tc>
      </w:tr>
      <w:tr w:rsidR="0090630A" w:rsidRPr="008A17B5" w14:paraId="714F812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B92330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2BD60C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7635763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Med/Large</w:t>
            </w:r>
          </w:p>
        </w:tc>
        <w:tc>
          <w:tcPr>
            <w:tcW w:w="2432" w:type="dxa"/>
            <w:tcBorders>
              <w:top w:val="single" w:sz="4" w:space="0" w:color="auto"/>
              <w:bottom w:val="single" w:sz="4" w:space="0" w:color="auto"/>
            </w:tcBorders>
            <w:noWrap/>
            <w:hideMark/>
          </w:tcPr>
          <w:p w14:paraId="7C0545B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Med NZ</w:t>
            </w:r>
          </w:p>
        </w:tc>
      </w:tr>
      <w:tr w:rsidR="0090630A" w:rsidRPr="008A17B5" w14:paraId="34DF38E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21B682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0775AB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Hot water heaters</w:t>
            </w:r>
          </w:p>
        </w:tc>
        <w:tc>
          <w:tcPr>
            <w:tcW w:w="2693" w:type="dxa"/>
            <w:tcBorders>
              <w:top w:val="single" w:sz="4" w:space="0" w:color="auto"/>
              <w:bottom w:val="single" w:sz="4" w:space="0" w:color="auto"/>
            </w:tcBorders>
            <w:noWrap/>
            <w:hideMark/>
          </w:tcPr>
          <w:p w14:paraId="3DDEE67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Electric Water - Med/Large</w:t>
            </w:r>
          </w:p>
        </w:tc>
        <w:tc>
          <w:tcPr>
            <w:tcW w:w="2432" w:type="dxa"/>
            <w:tcBorders>
              <w:top w:val="single" w:sz="4" w:space="0" w:color="auto"/>
              <w:bottom w:val="single" w:sz="4" w:space="0" w:color="auto"/>
            </w:tcBorders>
            <w:noWrap/>
            <w:hideMark/>
          </w:tcPr>
          <w:p w14:paraId="2B3BEC2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ESWH Large NZ</w:t>
            </w:r>
          </w:p>
        </w:tc>
      </w:tr>
      <w:tr w:rsidR="0090630A" w:rsidRPr="008A17B5" w14:paraId="29230F3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961016"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Appliances</w:t>
            </w:r>
          </w:p>
        </w:tc>
        <w:tc>
          <w:tcPr>
            <w:tcW w:w="2403" w:type="dxa"/>
            <w:tcBorders>
              <w:top w:val="single" w:sz="4" w:space="0" w:color="auto"/>
              <w:bottom w:val="single" w:sz="4" w:space="0" w:color="auto"/>
            </w:tcBorders>
            <w:noWrap/>
            <w:hideMark/>
          </w:tcPr>
          <w:p w14:paraId="01F421F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0DC7D1E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Elec</w:t>
            </w:r>
          </w:p>
        </w:tc>
        <w:tc>
          <w:tcPr>
            <w:tcW w:w="2432" w:type="dxa"/>
            <w:tcBorders>
              <w:top w:val="single" w:sz="4" w:space="0" w:color="auto"/>
              <w:bottom w:val="single" w:sz="4" w:space="0" w:color="auto"/>
            </w:tcBorders>
            <w:noWrap/>
            <w:hideMark/>
          </w:tcPr>
          <w:p w14:paraId="45CB73B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Pump</w:t>
            </w:r>
          </w:p>
        </w:tc>
      </w:tr>
      <w:tr w:rsidR="0090630A" w:rsidRPr="008A17B5" w14:paraId="22500A9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10AB13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23DE3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2B4E634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Elec</w:t>
            </w:r>
          </w:p>
        </w:tc>
        <w:tc>
          <w:tcPr>
            <w:tcW w:w="2432" w:type="dxa"/>
            <w:tcBorders>
              <w:top w:val="single" w:sz="4" w:space="0" w:color="auto"/>
              <w:bottom w:val="single" w:sz="4" w:space="0" w:color="auto"/>
            </w:tcBorders>
            <w:noWrap/>
            <w:hideMark/>
          </w:tcPr>
          <w:p w14:paraId="794334D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Heating-HP</w:t>
            </w:r>
          </w:p>
        </w:tc>
      </w:tr>
      <w:tr w:rsidR="0090630A" w:rsidRPr="008A17B5" w14:paraId="3F89F3C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3B2B93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A77561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3F2E2FF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NG</w:t>
            </w:r>
          </w:p>
        </w:tc>
        <w:tc>
          <w:tcPr>
            <w:tcW w:w="2432" w:type="dxa"/>
            <w:tcBorders>
              <w:top w:val="single" w:sz="4" w:space="0" w:color="auto"/>
              <w:bottom w:val="single" w:sz="4" w:space="0" w:color="auto"/>
            </w:tcBorders>
            <w:noWrap/>
            <w:hideMark/>
          </w:tcPr>
          <w:p w14:paraId="69F38D8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Heating-Gas</w:t>
            </w:r>
          </w:p>
        </w:tc>
      </w:tr>
      <w:tr w:rsidR="0090630A" w:rsidRPr="008A17B5" w14:paraId="7AADAA1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A59CA7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1B8573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27F7F1F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Elec</w:t>
            </w:r>
          </w:p>
        </w:tc>
        <w:tc>
          <w:tcPr>
            <w:tcW w:w="2432" w:type="dxa"/>
            <w:tcBorders>
              <w:top w:val="single" w:sz="4" w:space="0" w:color="auto"/>
              <w:bottom w:val="single" w:sz="4" w:space="0" w:color="auto"/>
            </w:tcBorders>
            <w:noWrap/>
            <w:hideMark/>
          </w:tcPr>
          <w:p w14:paraId="6E096D2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Heating-Solar (pumps)</w:t>
            </w:r>
          </w:p>
        </w:tc>
      </w:tr>
      <w:tr w:rsidR="0090630A" w:rsidRPr="008A17B5" w14:paraId="04B8403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3631948"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BCDD2C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621BB3E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Elec</w:t>
            </w:r>
          </w:p>
        </w:tc>
        <w:tc>
          <w:tcPr>
            <w:tcW w:w="2432" w:type="dxa"/>
            <w:tcBorders>
              <w:top w:val="single" w:sz="4" w:space="0" w:color="auto"/>
              <w:bottom w:val="single" w:sz="4" w:space="0" w:color="auto"/>
            </w:tcBorders>
            <w:noWrap/>
            <w:hideMark/>
          </w:tcPr>
          <w:p w14:paraId="5BD13A5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Spa-Elec</w:t>
            </w:r>
          </w:p>
        </w:tc>
      </w:tr>
      <w:tr w:rsidR="0090630A" w:rsidRPr="008A17B5" w14:paraId="580EBC2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B84A70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B083C4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25FCC13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NG</w:t>
            </w:r>
          </w:p>
        </w:tc>
        <w:tc>
          <w:tcPr>
            <w:tcW w:w="2432" w:type="dxa"/>
            <w:tcBorders>
              <w:top w:val="single" w:sz="4" w:space="0" w:color="auto"/>
              <w:bottom w:val="single" w:sz="4" w:space="0" w:color="auto"/>
            </w:tcBorders>
            <w:noWrap/>
            <w:hideMark/>
          </w:tcPr>
          <w:p w14:paraId="6C8C290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Spa-Gas</w:t>
            </w:r>
          </w:p>
        </w:tc>
      </w:tr>
      <w:tr w:rsidR="0090630A" w:rsidRPr="008A17B5" w14:paraId="75EF28B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855BA8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BE19F0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399E2B5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Equipment - Elec</w:t>
            </w:r>
          </w:p>
        </w:tc>
        <w:tc>
          <w:tcPr>
            <w:tcW w:w="2432" w:type="dxa"/>
            <w:tcBorders>
              <w:top w:val="single" w:sz="4" w:space="0" w:color="auto"/>
              <w:bottom w:val="single" w:sz="4" w:space="0" w:color="auto"/>
            </w:tcBorders>
            <w:noWrap/>
            <w:hideMark/>
          </w:tcPr>
          <w:p w14:paraId="03F1FFC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Pool Chlorine Cells</w:t>
            </w:r>
          </w:p>
        </w:tc>
      </w:tr>
      <w:tr w:rsidR="0090630A" w:rsidRPr="008A17B5" w14:paraId="351A3D9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FA257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17BFB3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0C60E3E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Pumps</w:t>
            </w:r>
          </w:p>
        </w:tc>
        <w:tc>
          <w:tcPr>
            <w:tcW w:w="2432" w:type="dxa"/>
            <w:tcBorders>
              <w:top w:val="single" w:sz="4" w:space="0" w:color="auto"/>
              <w:bottom w:val="single" w:sz="4" w:space="0" w:color="auto"/>
            </w:tcBorders>
            <w:noWrap/>
            <w:hideMark/>
          </w:tcPr>
          <w:p w14:paraId="7C1462A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Water Pumps</w:t>
            </w:r>
          </w:p>
        </w:tc>
      </w:tr>
      <w:tr w:rsidR="0090630A" w:rsidRPr="008A17B5" w14:paraId="5834895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AB95E5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463ED1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488B76E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Battery chargers</w:t>
            </w:r>
          </w:p>
        </w:tc>
        <w:tc>
          <w:tcPr>
            <w:tcW w:w="2432" w:type="dxa"/>
            <w:tcBorders>
              <w:top w:val="single" w:sz="4" w:space="0" w:color="auto"/>
              <w:bottom w:val="single" w:sz="4" w:space="0" w:color="auto"/>
            </w:tcBorders>
            <w:noWrap/>
            <w:hideMark/>
          </w:tcPr>
          <w:p w14:paraId="295C625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Battery chargers-mobility</w:t>
            </w:r>
          </w:p>
        </w:tc>
      </w:tr>
      <w:tr w:rsidR="0090630A" w:rsidRPr="008A17B5" w14:paraId="0D569C2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85356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B5F959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1CFB0A4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Battery chargers</w:t>
            </w:r>
          </w:p>
        </w:tc>
        <w:tc>
          <w:tcPr>
            <w:tcW w:w="2432" w:type="dxa"/>
            <w:tcBorders>
              <w:top w:val="single" w:sz="4" w:space="0" w:color="auto"/>
              <w:bottom w:val="single" w:sz="4" w:space="0" w:color="auto"/>
            </w:tcBorders>
            <w:noWrap/>
            <w:hideMark/>
          </w:tcPr>
          <w:p w14:paraId="65C68E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Battery chargers</w:t>
            </w:r>
          </w:p>
        </w:tc>
      </w:tr>
      <w:tr w:rsidR="0090630A" w:rsidRPr="008A17B5" w14:paraId="2D00A3A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EB02B4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77815D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34EB6A1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Miscellaneous</w:t>
            </w:r>
          </w:p>
        </w:tc>
        <w:tc>
          <w:tcPr>
            <w:tcW w:w="2432" w:type="dxa"/>
            <w:tcBorders>
              <w:top w:val="single" w:sz="4" w:space="0" w:color="auto"/>
              <w:bottom w:val="single" w:sz="4" w:space="0" w:color="auto"/>
            </w:tcBorders>
            <w:noWrap/>
            <w:hideMark/>
          </w:tcPr>
          <w:p w14:paraId="4651038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Kitchen Appliances</w:t>
            </w:r>
          </w:p>
        </w:tc>
      </w:tr>
      <w:tr w:rsidR="0090630A" w:rsidRPr="008A17B5" w14:paraId="7310696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C9379E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0B7DE1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78D0166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Miscellaneous</w:t>
            </w:r>
          </w:p>
        </w:tc>
        <w:tc>
          <w:tcPr>
            <w:tcW w:w="2432" w:type="dxa"/>
            <w:tcBorders>
              <w:top w:val="single" w:sz="4" w:space="0" w:color="auto"/>
              <w:bottom w:val="single" w:sz="4" w:space="0" w:color="auto"/>
            </w:tcBorders>
            <w:noWrap/>
            <w:hideMark/>
          </w:tcPr>
          <w:p w14:paraId="61F79B5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miscellaneous</w:t>
            </w:r>
          </w:p>
        </w:tc>
      </w:tr>
      <w:tr w:rsidR="0090630A" w:rsidRPr="008A17B5" w14:paraId="70BBBE0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7A8386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B87E8A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57F4714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Miscellaneous</w:t>
            </w:r>
          </w:p>
        </w:tc>
        <w:tc>
          <w:tcPr>
            <w:tcW w:w="2432" w:type="dxa"/>
            <w:tcBorders>
              <w:top w:val="single" w:sz="4" w:space="0" w:color="auto"/>
              <w:bottom w:val="single" w:sz="4" w:space="0" w:color="auto"/>
            </w:tcBorders>
            <w:noWrap/>
            <w:hideMark/>
          </w:tcPr>
          <w:p w14:paraId="57ABB14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standby</w:t>
            </w:r>
          </w:p>
        </w:tc>
      </w:tr>
      <w:tr w:rsidR="0090630A" w:rsidRPr="008A17B5" w14:paraId="4E924B7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D756A2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C765E1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Other Equipment</w:t>
            </w:r>
          </w:p>
        </w:tc>
        <w:tc>
          <w:tcPr>
            <w:tcW w:w="2693" w:type="dxa"/>
            <w:tcBorders>
              <w:top w:val="single" w:sz="4" w:space="0" w:color="auto"/>
              <w:bottom w:val="single" w:sz="4" w:space="0" w:color="auto"/>
            </w:tcBorders>
            <w:noWrap/>
            <w:hideMark/>
          </w:tcPr>
          <w:p w14:paraId="740579C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Class 2 Common Areas</w:t>
            </w:r>
          </w:p>
        </w:tc>
        <w:tc>
          <w:tcPr>
            <w:tcW w:w="2432" w:type="dxa"/>
            <w:tcBorders>
              <w:top w:val="single" w:sz="4" w:space="0" w:color="auto"/>
              <w:bottom w:val="single" w:sz="4" w:space="0" w:color="auto"/>
            </w:tcBorders>
            <w:noWrap/>
            <w:hideMark/>
          </w:tcPr>
          <w:p w14:paraId="111E32D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Class 2 Common Areas</w:t>
            </w:r>
          </w:p>
        </w:tc>
      </w:tr>
      <w:tr w:rsidR="0090630A" w:rsidRPr="008A17B5" w14:paraId="59F550FC"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D66AFE8"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Appliances</w:t>
            </w:r>
          </w:p>
        </w:tc>
        <w:tc>
          <w:tcPr>
            <w:tcW w:w="2403" w:type="dxa"/>
            <w:tcBorders>
              <w:top w:val="single" w:sz="4" w:space="0" w:color="auto"/>
              <w:bottom w:val="single" w:sz="4" w:space="0" w:color="auto"/>
            </w:tcBorders>
            <w:noWrap/>
            <w:hideMark/>
          </w:tcPr>
          <w:p w14:paraId="47774BA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469DD62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Television - composite average</w:t>
            </w:r>
          </w:p>
        </w:tc>
        <w:tc>
          <w:tcPr>
            <w:tcW w:w="2432" w:type="dxa"/>
            <w:tcBorders>
              <w:top w:val="single" w:sz="4" w:space="0" w:color="auto"/>
              <w:bottom w:val="single" w:sz="4" w:space="0" w:color="auto"/>
            </w:tcBorders>
            <w:noWrap/>
            <w:hideMark/>
          </w:tcPr>
          <w:p w14:paraId="302D6E8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TV-CRT</w:t>
            </w:r>
          </w:p>
        </w:tc>
      </w:tr>
      <w:tr w:rsidR="0090630A" w:rsidRPr="008A17B5" w14:paraId="76B27538"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330B2A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E41B79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6A2CBAF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Television - composite average</w:t>
            </w:r>
          </w:p>
        </w:tc>
        <w:tc>
          <w:tcPr>
            <w:tcW w:w="2432" w:type="dxa"/>
            <w:tcBorders>
              <w:top w:val="single" w:sz="4" w:space="0" w:color="auto"/>
              <w:bottom w:val="single" w:sz="4" w:space="0" w:color="auto"/>
            </w:tcBorders>
            <w:noWrap/>
            <w:hideMark/>
          </w:tcPr>
          <w:p w14:paraId="510CE4C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TV-LCD</w:t>
            </w:r>
          </w:p>
        </w:tc>
      </w:tr>
      <w:tr w:rsidR="0090630A" w:rsidRPr="008A17B5" w14:paraId="68D1BFA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747E30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BDC420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2BDCF36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Television - composite average</w:t>
            </w:r>
          </w:p>
        </w:tc>
        <w:tc>
          <w:tcPr>
            <w:tcW w:w="2432" w:type="dxa"/>
            <w:tcBorders>
              <w:top w:val="single" w:sz="4" w:space="0" w:color="auto"/>
              <w:bottom w:val="single" w:sz="4" w:space="0" w:color="auto"/>
            </w:tcBorders>
            <w:noWrap/>
            <w:hideMark/>
          </w:tcPr>
          <w:p w14:paraId="5671DA5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TV-OLED</w:t>
            </w:r>
          </w:p>
        </w:tc>
      </w:tr>
      <w:tr w:rsidR="0090630A" w:rsidRPr="008A17B5" w14:paraId="63B447A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1B23C2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DBAF09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47ABFEA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Television - composite average</w:t>
            </w:r>
          </w:p>
        </w:tc>
        <w:tc>
          <w:tcPr>
            <w:tcW w:w="2432" w:type="dxa"/>
            <w:tcBorders>
              <w:top w:val="single" w:sz="4" w:space="0" w:color="auto"/>
              <w:bottom w:val="single" w:sz="4" w:space="0" w:color="auto"/>
            </w:tcBorders>
            <w:noWrap/>
            <w:hideMark/>
          </w:tcPr>
          <w:p w14:paraId="2C55694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TV-Plasma</w:t>
            </w:r>
          </w:p>
        </w:tc>
      </w:tr>
      <w:tr w:rsidR="0090630A" w:rsidRPr="008A17B5" w14:paraId="2A30349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62E4F8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9ADB0C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6764A29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Television - composite average</w:t>
            </w:r>
          </w:p>
        </w:tc>
        <w:tc>
          <w:tcPr>
            <w:tcW w:w="2432" w:type="dxa"/>
            <w:tcBorders>
              <w:top w:val="single" w:sz="4" w:space="0" w:color="auto"/>
              <w:bottom w:val="single" w:sz="4" w:space="0" w:color="auto"/>
            </w:tcBorders>
            <w:noWrap/>
            <w:hideMark/>
          </w:tcPr>
          <w:p w14:paraId="1ABEF0F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TV-Projection</w:t>
            </w:r>
          </w:p>
        </w:tc>
      </w:tr>
      <w:tr w:rsidR="0090630A" w:rsidRPr="008A17B5" w14:paraId="30C9AFD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65D4E8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49B7A0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2BA5FDB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Set-top box - free-to-air</w:t>
            </w:r>
          </w:p>
        </w:tc>
        <w:tc>
          <w:tcPr>
            <w:tcW w:w="2432" w:type="dxa"/>
            <w:tcBorders>
              <w:top w:val="single" w:sz="4" w:space="0" w:color="auto"/>
              <w:bottom w:val="single" w:sz="4" w:space="0" w:color="auto"/>
            </w:tcBorders>
            <w:noWrap/>
            <w:hideMark/>
          </w:tcPr>
          <w:p w14:paraId="1A0444A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STB - FTA</w:t>
            </w:r>
          </w:p>
        </w:tc>
      </w:tr>
      <w:tr w:rsidR="0090630A" w:rsidRPr="008A17B5" w14:paraId="1D2D42E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46B1B9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C0EB6A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3B81874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Set-top box - subscription</w:t>
            </w:r>
          </w:p>
        </w:tc>
        <w:tc>
          <w:tcPr>
            <w:tcW w:w="2432" w:type="dxa"/>
            <w:tcBorders>
              <w:top w:val="single" w:sz="4" w:space="0" w:color="auto"/>
              <w:bottom w:val="single" w:sz="4" w:space="0" w:color="auto"/>
            </w:tcBorders>
            <w:noWrap/>
            <w:hideMark/>
          </w:tcPr>
          <w:p w14:paraId="733040A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STB - STV</w:t>
            </w:r>
          </w:p>
        </w:tc>
      </w:tr>
      <w:tr w:rsidR="0090630A" w:rsidRPr="008A17B5" w14:paraId="5786FDE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C6C51A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286A88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52FB0F2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Video players and media recorders</w:t>
            </w:r>
          </w:p>
        </w:tc>
        <w:tc>
          <w:tcPr>
            <w:tcW w:w="2432" w:type="dxa"/>
            <w:tcBorders>
              <w:top w:val="single" w:sz="4" w:space="0" w:color="auto"/>
              <w:bottom w:val="single" w:sz="4" w:space="0" w:color="auto"/>
            </w:tcBorders>
            <w:noWrap/>
            <w:hideMark/>
          </w:tcPr>
          <w:p w14:paraId="0480AD5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DVD/Blu-ray players</w:t>
            </w:r>
          </w:p>
        </w:tc>
      </w:tr>
      <w:tr w:rsidR="0090630A" w:rsidRPr="008A17B5" w14:paraId="7A5EF8A9"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0C8820D"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73230D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3B87CB1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Video players and media recorders</w:t>
            </w:r>
          </w:p>
        </w:tc>
        <w:tc>
          <w:tcPr>
            <w:tcW w:w="2432" w:type="dxa"/>
            <w:tcBorders>
              <w:top w:val="single" w:sz="4" w:space="0" w:color="auto"/>
              <w:bottom w:val="single" w:sz="4" w:space="0" w:color="auto"/>
            </w:tcBorders>
            <w:noWrap/>
            <w:hideMark/>
          </w:tcPr>
          <w:p w14:paraId="63882E2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VCRs</w:t>
            </w:r>
          </w:p>
        </w:tc>
      </w:tr>
      <w:tr w:rsidR="0090630A" w:rsidRPr="008A17B5" w14:paraId="29D457F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876669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14A06E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6FF8465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Video players and media recorders</w:t>
            </w:r>
          </w:p>
        </w:tc>
        <w:tc>
          <w:tcPr>
            <w:tcW w:w="2432" w:type="dxa"/>
            <w:tcBorders>
              <w:top w:val="single" w:sz="4" w:space="0" w:color="auto"/>
              <w:bottom w:val="single" w:sz="4" w:space="0" w:color="auto"/>
            </w:tcBorders>
            <w:noWrap/>
            <w:hideMark/>
          </w:tcPr>
          <w:p w14:paraId="22AEE00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HDD Video Recorders &amp; Media Players</w:t>
            </w:r>
          </w:p>
        </w:tc>
      </w:tr>
      <w:tr w:rsidR="0090630A" w:rsidRPr="008A17B5" w14:paraId="0906757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23F4ACA"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124F9B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628D464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Home entertainment - other (mostly audio equipment)</w:t>
            </w:r>
          </w:p>
        </w:tc>
        <w:tc>
          <w:tcPr>
            <w:tcW w:w="2432" w:type="dxa"/>
            <w:tcBorders>
              <w:top w:val="single" w:sz="4" w:space="0" w:color="auto"/>
              <w:bottom w:val="single" w:sz="4" w:space="0" w:color="auto"/>
            </w:tcBorders>
            <w:noWrap/>
            <w:hideMark/>
          </w:tcPr>
          <w:p w14:paraId="60CF3A8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Audio/Home Theatre</w:t>
            </w:r>
          </w:p>
        </w:tc>
      </w:tr>
      <w:tr w:rsidR="0090630A" w:rsidRPr="008A17B5" w14:paraId="0EE2BD5D"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7D41C5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F4FD02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33F0675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Game consoles</w:t>
            </w:r>
          </w:p>
        </w:tc>
        <w:tc>
          <w:tcPr>
            <w:tcW w:w="2432" w:type="dxa"/>
            <w:tcBorders>
              <w:top w:val="single" w:sz="4" w:space="0" w:color="auto"/>
              <w:bottom w:val="single" w:sz="4" w:space="0" w:color="auto"/>
            </w:tcBorders>
            <w:noWrap/>
            <w:hideMark/>
          </w:tcPr>
          <w:p w14:paraId="28BA51D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Game consoles</w:t>
            </w:r>
          </w:p>
        </w:tc>
      </w:tr>
      <w:tr w:rsidR="0090630A" w:rsidRPr="008A17B5" w14:paraId="4980F39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B874FDC"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10F71C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488DBF3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Home entertainment - other (mostly audio equipment)</w:t>
            </w:r>
          </w:p>
        </w:tc>
        <w:tc>
          <w:tcPr>
            <w:tcW w:w="2432" w:type="dxa"/>
            <w:tcBorders>
              <w:top w:val="single" w:sz="4" w:space="0" w:color="auto"/>
              <w:bottom w:val="single" w:sz="4" w:space="0" w:color="auto"/>
            </w:tcBorders>
            <w:noWrap/>
            <w:hideMark/>
          </w:tcPr>
          <w:p w14:paraId="00EE1AA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 HE</w:t>
            </w:r>
          </w:p>
        </w:tc>
      </w:tr>
      <w:tr w:rsidR="0090630A" w:rsidRPr="008A17B5" w14:paraId="0DCE05D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30D1AC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8C846F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165643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Computers - desktop</w:t>
            </w:r>
          </w:p>
        </w:tc>
        <w:tc>
          <w:tcPr>
            <w:tcW w:w="2432" w:type="dxa"/>
            <w:tcBorders>
              <w:top w:val="single" w:sz="4" w:space="0" w:color="auto"/>
              <w:bottom w:val="single" w:sz="4" w:space="0" w:color="auto"/>
            </w:tcBorders>
            <w:noWrap/>
            <w:hideMark/>
          </w:tcPr>
          <w:p w14:paraId="0669397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PC - Separate Monitor</w:t>
            </w:r>
          </w:p>
        </w:tc>
      </w:tr>
      <w:tr w:rsidR="0090630A" w:rsidRPr="008A17B5" w14:paraId="06A3097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3C1BAE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A2C0E8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773720D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Computers - desktop</w:t>
            </w:r>
          </w:p>
        </w:tc>
        <w:tc>
          <w:tcPr>
            <w:tcW w:w="2432" w:type="dxa"/>
            <w:tcBorders>
              <w:top w:val="single" w:sz="4" w:space="0" w:color="auto"/>
              <w:bottom w:val="single" w:sz="4" w:space="0" w:color="auto"/>
            </w:tcBorders>
            <w:noWrap/>
            <w:hideMark/>
          </w:tcPr>
          <w:p w14:paraId="18F4E93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PC - Integrated Monitor</w:t>
            </w:r>
          </w:p>
        </w:tc>
      </w:tr>
      <w:tr w:rsidR="0090630A" w:rsidRPr="008A17B5" w14:paraId="5E0A4D6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7AE0B9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AFE998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0453F64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Computers - laptop</w:t>
            </w:r>
          </w:p>
        </w:tc>
        <w:tc>
          <w:tcPr>
            <w:tcW w:w="2432" w:type="dxa"/>
            <w:tcBorders>
              <w:top w:val="single" w:sz="4" w:space="0" w:color="auto"/>
              <w:bottom w:val="single" w:sz="4" w:space="0" w:color="auto"/>
            </w:tcBorders>
            <w:noWrap/>
            <w:hideMark/>
          </w:tcPr>
          <w:p w14:paraId="241BEAC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PC - Notebook</w:t>
            </w:r>
          </w:p>
        </w:tc>
      </w:tr>
      <w:tr w:rsidR="0090630A" w:rsidRPr="008A17B5" w14:paraId="2688BA4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C4826FC"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70C5EB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009ABC7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Monitors (used with desktop computers)</w:t>
            </w:r>
          </w:p>
        </w:tc>
        <w:tc>
          <w:tcPr>
            <w:tcW w:w="2432" w:type="dxa"/>
            <w:tcBorders>
              <w:top w:val="single" w:sz="4" w:space="0" w:color="auto"/>
              <w:bottom w:val="single" w:sz="4" w:space="0" w:color="auto"/>
            </w:tcBorders>
            <w:noWrap/>
            <w:hideMark/>
          </w:tcPr>
          <w:p w14:paraId="4B3E0D1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Monitors</w:t>
            </w:r>
          </w:p>
        </w:tc>
      </w:tr>
      <w:tr w:rsidR="0090630A" w:rsidRPr="008A17B5" w14:paraId="0AADD95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65EADA0"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937B4A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491B641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Wireless/Wired networked device</w:t>
            </w:r>
          </w:p>
        </w:tc>
        <w:tc>
          <w:tcPr>
            <w:tcW w:w="2432" w:type="dxa"/>
            <w:tcBorders>
              <w:top w:val="single" w:sz="4" w:space="0" w:color="auto"/>
              <w:bottom w:val="single" w:sz="4" w:space="0" w:color="auto"/>
            </w:tcBorders>
            <w:noWrap/>
            <w:hideMark/>
          </w:tcPr>
          <w:p w14:paraId="3ADB508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Routers, Access Points, Modems, Switches, etc</w:t>
            </w:r>
          </w:p>
        </w:tc>
      </w:tr>
      <w:tr w:rsidR="0090630A" w:rsidRPr="008A17B5" w14:paraId="5C3E68F0"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A768C5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0F3650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5477EC4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Miscellaneous IT equipment</w:t>
            </w:r>
          </w:p>
        </w:tc>
        <w:tc>
          <w:tcPr>
            <w:tcW w:w="2432" w:type="dxa"/>
            <w:tcBorders>
              <w:top w:val="single" w:sz="4" w:space="0" w:color="auto"/>
              <w:bottom w:val="single" w:sz="4" w:space="0" w:color="auto"/>
            </w:tcBorders>
            <w:noWrap/>
            <w:hideMark/>
          </w:tcPr>
          <w:p w14:paraId="17B029C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Drives, other</w:t>
            </w:r>
          </w:p>
        </w:tc>
      </w:tr>
      <w:tr w:rsidR="0090630A" w:rsidRPr="008A17B5" w14:paraId="46D7285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14CB63F"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6F880C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IT&amp;HE</w:t>
            </w:r>
          </w:p>
        </w:tc>
        <w:tc>
          <w:tcPr>
            <w:tcW w:w="2693" w:type="dxa"/>
            <w:tcBorders>
              <w:top w:val="single" w:sz="4" w:space="0" w:color="auto"/>
              <w:bottom w:val="single" w:sz="4" w:space="0" w:color="auto"/>
            </w:tcBorders>
            <w:noWrap/>
            <w:hideMark/>
          </w:tcPr>
          <w:p w14:paraId="16712FB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Miscellaneous IT equipment</w:t>
            </w:r>
          </w:p>
        </w:tc>
        <w:tc>
          <w:tcPr>
            <w:tcW w:w="2432" w:type="dxa"/>
            <w:tcBorders>
              <w:top w:val="single" w:sz="4" w:space="0" w:color="auto"/>
              <w:bottom w:val="single" w:sz="4" w:space="0" w:color="auto"/>
            </w:tcBorders>
            <w:noWrap/>
            <w:hideMark/>
          </w:tcPr>
          <w:p w14:paraId="0F40DFD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Printers/MFDs, Fax</w:t>
            </w:r>
          </w:p>
        </w:tc>
      </w:tr>
      <w:tr w:rsidR="0090630A" w:rsidRPr="008A17B5" w14:paraId="33CD765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732B1F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7EE3662A"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IT&amp;HE</w:t>
            </w:r>
          </w:p>
        </w:tc>
        <w:tc>
          <w:tcPr>
            <w:tcW w:w="2693" w:type="dxa"/>
            <w:tcBorders>
              <w:top w:val="single" w:sz="4" w:space="0" w:color="auto"/>
              <w:bottom w:val="single" w:sz="4" w:space="0" w:color="auto"/>
            </w:tcBorders>
            <w:noWrap/>
            <w:hideMark/>
          </w:tcPr>
          <w:p w14:paraId="74D353FD"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Wireless/Wired networked device</w:t>
            </w:r>
          </w:p>
        </w:tc>
        <w:tc>
          <w:tcPr>
            <w:tcW w:w="2432" w:type="dxa"/>
            <w:tcBorders>
              <w:top w:val="single" w:sz="4" w:space="0" w:color="auto"/>
              <w:bottom w:val="single" w:sz="4" w:space="0" w:color="auto"/>
            </w:tcBorders>
            <w:noWrap/>
            <w:hideMark/>
          </w:tcPr>
          <w:p w14:paraId="6A49FF21"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Broadband Terminal</w:t>
            </w:r>
          </w:p>
        </w:tc>
      </w:tr>
      <w:tr w:rsidR="0090630A" w:rsidRPr="008A17B5" w14:paraId="0E3FCBC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C40FFC1"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14A07265"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IT&amp;HE</w:t>
            </w:r>
          </w:p>
        </w:tc>
        <w:tc>
          <w:tcPr>
            <w:tcW w:w="2693" w:type="dxa"/>
            <w:tcBorders>
              <w:top w:val="single" w:sz="4" w:space="0" w:color="auto"/>
              <w:bottom w:val="single" w:sz="4" w:space="0" w:color="auto"/>
            </w:tcBorders>
            <w:noWrap/>
            <w:hideMark/>
          </w:tcPr>
          <w:p w14:paraId="6A515A17"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Home entertainment - other (mostly audio equipment)</w:t>
            </w:r>
          </w:p>
        </w:tc>
        <w:tc>
          <w:tcPr>
            <w:tcW w:w="2432" w:type="dxa"/>
            <w:tcBorders>
              <w:top w:val="single" w:sz="4" w:space="0" w:color="auto"/>
              <w:bottom w:val="single" w:sz="4" w:space="0" w:color="auto"/>
            </w:tcBorders>
            <w:noWrap/>
            <w:hideMark/>
          </w:tcPr>
          <w:p w14:paraId="4DFA168C"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Smart Speaker/Display</w:t>
            </w:r>
          </w:p>
        </w:tc>
      </w:tr>
      <w:tr w:rsidR="0090630A" w:rsidRPr="008A17B5" w14:paraId="11176D55"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07A7A99" w14:textId="77777777" w:rsidR="0090630A" w:rsidRPr="008A17B5" w:rsidRDefault="0090630A" w:rsidP="00F07B90">
            <w:pPr>
              <w:keepNext w:val="0"/>
              <w:keepLines w:val="0"/>
              <w:widowControl w:val="0"/>
              <w:spacing w:before="0" w:after="0"/>
              <w:ind w:left="0" w:right="0"/>
              <w:rPr>
                <w:rFonts w:eastAsia="Times New Roman" w:cs="Calibri"/>
                <w:lang w:eastAsia="en-AU"/>
              </w:rPr>
            </w:pPr>
            <w:r w:rsidRPr="008A17B5">
              <w:rPr>
                <w:rFonts w:eastAsia="Times New Roman" w:cs="Calibri"/>
                <w:lang w:eastAsia="en-AU"/>
              </w:rPr>
              <w:t>Generation</w:t>
            </w:r>
          </w:p>
        </w:tc>
        <w:tc>
          <w:tcPr>
            <w:tcW w:w="2403" w:type="dxa"/>
            <w:tcBorders>
              <w:top w:val="single" w:sz="4" w:space="0" w:color="auto"/>
              <w:bottom w:val="single" w:sz="4" w:space="0" w:color="auto"/>
            </w:tcBorders>
            <w:noWrap/>
            <w:hideMark/>
          </w:tcPr>
          <w:p w14:paraId="35BE147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58245E7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w:t>
            </w:r>
          </w:p>
        </w:tc>
        <w:tc>
          <w:tcPr>
            <w:tcW w:w="2432" w:type="dxa"/>
            <w:tcBorders>
              <w:top w:val="single" w:sz="4" w:space="0" w:color="auto"/>
              <w:bottom w:val="single" w:sz="4" w:space="0" w:color="auto"/>
            </w:tcBorders>
            <w:noWrap/>
            <w:hideMark/>
          </w:tcPr>
          <w:p w14:paraId="0647F1E4"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 - Z1</w:t>
            </w:r>
          </w:p>
        </w:tc>
      </w:tr>
      <w:tr w:rsidR="0090630A" w:rsidRPr="008A17B5" w14:paraId="42A4A2B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AC9FD84"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420F8E2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69CDB99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w:t>
            </w:r>
          </w:p>
        </w:tc>
        <w:tc>
          <w:tcPr>
            <w:tcW w:w="2432" w:type="dxa"/>
            <w:tcBorders>
              <w:top w:val="single" w:sz="4" w:space="0" w:color="auto"/>
              <w:bottom w:val="single" w:sz="4" w:space="0" w:color="auto"/>
            </w:tcBorders>
            <w:noWrap/>
            <w:hideMark/>
          </w:tcPr>
          <w:p w14:paraId="1456025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 - Z2</w:t>
            </w:r>
          </w:p>
        </w:tc>
      </w:tr>
      <w:tr w:rsidR="0090630A" w:rsidRPr="008A17B5" w14:paraId="34D3BAF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102270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AA049B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42394D0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w:t>
            </w:r>
          </w:p>
        </w:tc>
        <w:tc>
          <w:tcPr>
            <w:tcW w:w="2432" w:type="dxa"/>
            <w:tcBorders>
              <w:top w:val="single" w:sz="4" w:space="0" w:color="auto"/>
              <w:bottom w:val="single" w:sz="4" w:space="0" w:color="auto"/>
            </w:tcBorders>
            <w:noWrap/>
            <w:hideMark/>
          </w:tcPr>
          <w:p w14:paraId="2B4C9A9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 - Z3</w:t>
            </w:r>
          </w:p>
        </w:tc>
      </w:tr>
      <w:tr w:rsidR="0090630A" w:rsidRPr="008A17B5" w14:paraId="25556B0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9B9933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F508E6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7072CEF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w:t>
            </w:r>
          </w:p>
        </w:tc>
        <w:tc>
          <w:tcPr>
            <w:tcW w:w="2432" w:type="dxa"/>
            <w:tcBorders>
              <w:top w:val="single" w:sz="4" w:space="0" w:color="auto"/>
              <w:bottom w:val="single" w:sz="4" w:space="0" w:color="auto"/>
            </w:tcBorders>
            <w:noWrap/>
            <w:hideMark/>
          </w:tcPr>
          <w:p w14:paraId="7F7ACE9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2kW - Z4</w:t>
            </w:r>
          </w:p>
        </w:tc>
      </w:tr>
      <w:tr w:rsidR="0090630A" w:rsidRPr="008A17B5" w14:paraId="0A7300A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8F7A71C"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FD2C6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4416C4F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w:t>
            </w:r>
          </w:p>
        </w:tc>
        <w:tc>
          <w:tcPr>
            <w:tcW w:w="2432" w:type="dxa"/>
            <w:tcBorders>
              <w:top w:val="single" w:sz="4" w:space="0" w:color="auto"/>
              <w:bottom w:val="single" w:sz="4" w:space="0" w:color="auto"/>
            </w:tcBorders>
            <w:noWrap/>
            <w:hideMark/>
          </w:tcPr>
          <w:p w14:paraId="3890149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 - Z1</w:t>
            </w:r>
          </w:p>
        </w:tc>
      </w:tr>
      <w:tr w:rsidR="0090630A" w:rsidRPr="008A17B5" w14:paraId="6A699F5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8EC1287"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38FB06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0A6FB79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w:t>
            </w:r>
          </w:p>
        </w:tc>
        <w:tc>
          <w:tcPr>
            <w:tcW w:w="2432" w:type="dxa"/>
            <w:tcBorders>
              <w:top w:val="single" w:sz="4" w:space="0" w:color="auto"/>
              <w:bottom w:val="single" w:sz="4" w:space="0" w:color="auto"/>
            </w:tcBorders>
            <w:noWrap/>
            <w:hideMark/>
          </w:tcPr>
          <w:p w14:paraId="7AE2D09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 - Z2</w:t>
            </w:r>
          </w:p>
        </w:tc>
      </w:tr>
      <w:tr w:rsidR="0090630A" w:rsidRPr="008A17B5" w14:paraId="7725C55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1131FD3"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5B8E395"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20FF7D6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w:t>
            </w:r>
          </w:p>
        </w:tc>
        <w:tc>
          <w:tcPr>
            <w:tcW w:w="2432" w:type="dxa"/>
            <w:tcBorders>
              <w:top w:val="single" w:sz="4" w:space="0" w:color="auto"/>
              <w:bottom w:val="single" w:sz="4" w:space="0" w:color="auto"/>
            </w:tcBorders>
            <w:noWrap/>
            <w:hideMark/>
          </w:tcPr>
          <w:p w14:paraId="047AD40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 - Z3</w:t>
            </w:r>
          </w:p>
        </w:tc>
      </w:tr>
      <w:tr w:rsidR="0090630A" w:rsidRPr="008A17B5" w14:paraId="44C3006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F0FC96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1BAD925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6CD3D01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w:t>
            </w:r>
          </w:p>
        </w:tc>
        <w:tc>
          <w:tcPr>
            <w:tcW w:w="2432" w:type="dxa"/>
            <w:tcBorders>
              <w:top w:val="single" w:sz="4" w:space="0" w:color="auto"/>
              <w:bottom w:val="single" w:sz="4" w:space="0" w:color="auto"/>
            </w:tcBorders>
            <w:noWrap/>
            <w:hideMark/>
          </w:tcPr>
          <w:p w14:paraId="14E232C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4kW - Z4</w:t>
            </w:r>
          </w:p>
        </w:tc>
      </w:tr>
      <w:tr w:rsidR="0090630A" w:rsidRPr="008A17B5" w14:paraId="496491B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7F2DF16"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0B6511E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3F6CACA0"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w:t>
            </w:r>
          </w:p>
        </w:tc>
        <w:tc>
          <w:tcPr>
            <w:tcW w:w="2432" w:type="dxa"/>
            <w:tcBorders>
              <w:top w:val="single" w:sz="4" w:space="0" w:color="auto"/>
              <w:bottom w:val="single" w:sz="4" w:space="0" w:color="auto"/>
            </w:tcBorders>
            <w:noWrap/>
            <w:hideMark/>
          </w:tcPr>
          <w:p w14:paraId="47274A9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 - Z1</w:t>
            </w:r>
          </w:p>
        </w:tc>
      </w:tr>
      <w:tr w:rsidR="0090630A" w:rsidRPr="008A17B5" w14:paraId="51225C1E"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236E8AE"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F8934D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4DBC65C8"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w:t>
            </w:r>
          </w:p>
        </w:tc>
        <w:tc>
          <w:tcPr>
            <w:tcW w:w="2432" w:type="dxa"/>
            <w:tcBorders>
              <w:top w:val="single" w:sz="4" w:space="0" w:color="auto"/>
              <w:bottom w:val="single" w:sz="4" w:space="0" w:color="auto"/>
            </w:tcBorders>
            <w:noWrap/>
            <w:hideMark/>
          </w:tcPr>
          <w:p w14:paraId="4F998F7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 - Z2</w:t>
            </w:r>
          </w:p>
        </w:tc>
      </w:tr>
      <w:tr w:rsidR="0090630A" w:rsidRPr="008A17B5" w14:paraId="1E9B285D"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E34BD19"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3847258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1C775D6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w:t>
            </w:r>
          </w:p>
        </w:tc>
        <w:tc>
          <w:tcPr>
            <w:tcW w:w="2432" w:type="dxa"/>
            <w:tcBorders>
              <w:top w:val="single" w:sz="4" w:space="0" w:color="auto"/>
              <w:bottom w:val="single" w:sz="4" w:space="0" w:color="auto"/>
            </w:tcBorders>
            <w:noWrap/>
            <w:hideMark/>
          </w:tcPr>
          <w:p w14:paraId="2A47C69C"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 - Z3</w:t>
            </w:r>
          </w:p>
        </w:tc>
      </w:tr>
      <w:tr w:rsidR="0090630A" w:rsidRPr="008A17B5" w14:paraId="5FFE2478"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1683B85"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6C03EF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283BBDC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w:t>
            </w:r>
          </w:p>
        </w:tc>
        <w:tc>
          <w:tcPr>
            <w:tcW w:w="2432" w:type="dxa"/>
            <w:tcBorders>
              <w:top w:val="single" w:sz="4" w:space="0" w:color="auto"/>
              <w:bottom w:val="single" w:sz="4" w:space="0" w:color="auto"/>
            </w:tcBorders>
            <w:noWrap/>
            <w:hideMark/>
          </w:tcPr>
          <w:p w14:paraId="16EB67E9"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6kW - Z4</w:t>
            </w:r>
          </w:p>
        </w:tc>
      </w:tr>
      <w:tr w:rsidR="0090630A" w:rsidRPr="008A17B5" w14:paraId="161C8F8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3C9ECBB"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48B934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599EFB3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w:t>
            </w:r>
          </w:p>
        </w:tc>
        <w:tc>
          <w:tcPr>
            <w:tcW w:w="2432" w:type="dxa"/>
            <w:tcBorders>
              <w:top w:val="single" w:sz="4" w:space="0" w:color="auto"/>
              <w:bottom w:val="single" w:sz="4" w:space="0" w:color="auto"/>
            </w:tcBorders>
            <w:noWrap/>
            <w:hideMark/>
          </w:tcPr>
          <w:p w14:paraId="43184BB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 - Z1</w:t>
            </w:r>
          </w:p>
        </w:tc>
      </w:tr>
      <w:tr w:rsidR="0090630A" w:rsidRPr="008A17B5" w14:paraId="561B5CCB"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60BC14A6"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2A710AE2"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4DBB4D21"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w:t>
            </w:r>
          </w:p>
        </w:tc>
        <w:tc>
          <w:tcPr>
            <w:tcW w:w="2432" w:type="dxa"/>
            <w:tcBorders>
              <w:top w:val="single" w:sz="4" w:space="0" w:color="auto"/>
              <w:bottom w:val="single" w:sz="4" w:space="0" w:color="auto"/>
            </w:tcBorders>
            <w:noWrap/>
            <w:hideMark/>
          </w:tcPr>
          <w:p w14:paraId="258ABA57"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 - Z2</w:t>
            </w:r>
          </w:p>
        </w:tc>
      </w:tr>
      <w:tr w:rsidR="0090630A" w:rsidRPr="008A17B5" w14:paraId="79176B52"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2C3B2A2"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58A8D75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605A841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w:t>
            </w:r>
          </w:p>
        </w:tc>
        <w:tc>
          <w:tcPr>
            <w:tcW w:w="2432" w:type="dxa"/>
            <w:tcBorders>
              <w:top w:val="single" w:sz="4" w:space="0" w:color="auto"/>
              <w:bottom w:val="single" w:sz="4" w:space="0" w:color="auto"/>
            </w:tcBorders>
            <w:noWrap/>
            <w:hideMark/>
          </w:tcPr>
          <w:p w14:paraId="0B8B465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 - Z3</w:t>
            </w:r>
          </w:p>
        </w:tc>
      </w:tr>
      <w:tr w:rsidR="0090630A" w:rsidRPr="008A17B5" w14:paraId="1714499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127D2D9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749C20E"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13A67DA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w:t>
            </w:r>
          </w:p>
        </w:tc>
        <w:tc>
          <w:tcPr>
            <w:tcW w:w="2432" w:type="dxa"/>
            <w:tcBorders>
              <w:top w:val="single" w:sz="4" w:space="0" w:color="auto"/>
              <w:bottom w:val="single" w:sz="4" w:space="0" w:color="auto"/>
            </w:tcBorders>
            <w:noWrap/>
            <w:hideMark/>
          </w:tcPr>
          <w:p w14:paraId="752E94ED"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10kW - Z4</w:t>
            </w:r>
          </w:p>
        </w:tc>
      </w:tr>
      <w:tr w:rsidR="0090630A" w:rsidRPr="008A17B5" w14:paraId="2283C8DF"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00576173"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33423279"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w:t>
            </w:r>
          </w:p>
        </w:tc>
        <w:tc>
          <w:tcPr>
            <w:tcW w:w="2693" w:type="dxa"/>
            <w:tcBorders>
              <w:top w:val="single" w:sz="4" w:space="0" w:color="auto"/>
              <w:bottom w:val="single" w:sz="4" w:space="0" w:color="auto"/>
            </w:tcBorders>
            <w:noWrap/>
            <w:hideMark/>
          </w:tcPr>
          <w:p w14:paraId="0D97208E"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w:t>
            </w:r>
          </w:p>
        </w:tc>
        <w:tc>
          <w:tcPr>
            <w:tcW w:w="2432" w:type="dxa"/>
            <w:tcBorders>
              <w:top w:val="single" w:sz="4" w:space="0" w:color="auto"/>
              <w:bottom w:val="single" w:sz="4" w:space="0" w:color="auto"/>
            </w:tcBorders>
            <w:noWrap/>
            <w:hideMark/>
          </w:tcPr>
          <w:p w14:paraId="79C8AC38"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 - Z1</w:t>
            </w:r>
          </w:p>
        </w:tc>
      </w:tr>
      <w:tr w:rsidR="0090630A" w:rsidRPr="008A17B5" w14:paraId="7DEAC76A"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4BDD579"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71B36137"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w:t>
            </w:r>
          </w:p>
        </w:tc>
        <w:tc>
          <w:tcPr>
            <w:tcW w:w="2693" w:type="dxa"/>
            <w:tcBorders>
              <w:top w:val="single" w:sz="4" w:space="0" w:color="auto"/>
              <w:bottom w:val="single" w:sz="4" w:space="0" w:color="auto"/>
            </w:tcBorders>
            <w:noWrap/>
            <w:hideMark/>
          </w:tcPr>
          <w:p w14:paraId="09A56828"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w:t>
            </w:r>
          </w:p>
        </w:tc>
        <w:tc>
          <w:tcPr>
            <w:tcW w:w="2432" w:type="dxa"/>
            <w:tcBorders>
              <w:top w:val="single" w:sz="4" w:space="0" w:color="auto"/>
              <w:bottom w:val="single" w:sz="4" w:space="0" w:color="auto"/>
            </w:tcBorders>
            <w:noWrap/>
            <w:hideMark/>
          </w:tcPr>
          <w:p w14:paraId="29996CAC"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 - Z2</w:t>
            </w:r>
          </w:p>
        </w:tc>
      </w:tr>
      <w:tr w:rsidR="0090630A" w:rsidRPr="008A17B5" w14:paraId="58DA472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2F131E8"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6A14699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w:t>
            </w:r>
          </w:p>
        </w:tc>
        <w:tc>
          <w:tcPr>
            <w:tcW w:w="2693" w:type="dxa"/>
            <w:tcBorders>
              <w:top w:val="single" w:sz="4" w:space="0" w:color="auto"/>
              <w:bottom w:val="single" w:sz="4" w:space="0" w:color="auto"/>
            </w:tcBorders>
            <w:noWrap/>
            <w:hideMark/>
          </w:tcPr>
          <w:p w14:paraId="2C24D886"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w:t>
            </w:r>
          </w:p>
        </w:tc>
        <w:tc>
          <w:tcPr>
            <w:tcW w:w="2432" w:type="dxa"/>
            <w:tcBorders>
              <w:top w:val="single" w:sz="4" w:space="0" w:color="auto"/>
              <w:bottom w:val="single" w:sz="4" w:space="0" w:color="auto"/>
            </w:tcBorders>
            <w:noWrap/>
            <w:hideMark/>
          </w:tcPr>
          <w:p w14:paraId="1C934567"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 - Z3</w:t>
            </w:r>
          </w:p>
        </w:tc>
      </w:tr>
      <w:tr w:rsidR="0090630A" w:rsidRPr="008A17B5" w14:paraId="76C956F6"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48E868A0"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1702AA94"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w:t>
            </w:r>
          </w:p>
        </w:tc>
        <w:tc>
          <w:tcPr>
            <w:tcW w:w="2693" w:type="dxa"/>
            <w:tcBorders>
              <w:top w:val="single" w:sz="4" w:space="0" w:color="auto"/>
              <w:bottom w:val="single" w:sz="4" w:space="0" w:color="auto"/>
            </w:tcBorders>
            <w:noWrap/>
            <w:hideMark/>
          </w:tcPr>
          <w:p w14:paraId="5C56AB2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w:t>
            </w:r>
          </w:p>
        </w:tc>
        <w:tc>
          <w:tcPr>
            <w:tcW w:w="2432" w:type="dxa"/>
            <w:tcBorders>
              <w:top w:val="single" w:sz="4" w:space="0" w:color="auto"/>
              <w:bottom w:val="single" w:sz="4" w:space="0" w:color="auto"/>
            </w:tcBorders>
            <w:noWrap/>
            <w:hideMark/>
          </w:tcPr>
          <w:p w14:paraId="03F2057E"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PV &gt;10kW - Z4</w:t>
            </w:r>
          </w:p>
        </w:tc>
      </w:tr>
      <w:tr w:rsidR="0090630A" w:rsidRPr="008A17B5" w14:paraId="5187AD7D"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51A114E"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7416B393"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25F4113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NZ</w:t>
            </w:r>
          </w:p>
        </w:tc>
        <w:tc>
          <w:tcPr>
            <w:tcW w:w="2432" w:type="dxa"/>
            <w:tcBorders>
              <w:top w:val="single" w:sz="4" w:space="0" w:color="auto"/>
              <w:bottom w:val="single" w:sz="4" w:space="0" w:color="auto"/>
            </w:tcBorders>
            <w:noWrap/>
            <w:hideMark/>
          </w:tcPr>
          <w:p w14:paraId="1F45BD9B"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 NZ1</w:t>
            </w:r>
          </w:p>
        </w:tc>
      </w:tr>
      <w:tr w:rsidR="0090630A" w:rsidRPr="008A17B5" w14:paraId="214559E4"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5D176781" w14:textId="77777777" w:rsidR="0090630A" w:rsidRPr="008A17B5" w:rsidRDefault="0090630A" w:rsidP="00F07B90">
            <w:pPr>
              <w:keepNext w:val="0"/>
              <w:keepLines w:val="0"/>
              <w:widowControl w:val="0"/>
              <w:spacing w:before="0" w:after="0"/>
              <w:ind w:left="0" w:right="0"/>
              <w:rPr>
                <w:rFonts w:eastAsia="Times New Roman" w:cs="Calibri"/>
                <w:lang w:eastAsia="en-AU"/>
              </w:rPr>
            </w:pPr>
          </w:p>
        </w:tc>
        <w:tc>
          <w:tcPr>
            <w:tcW w:w="2403" w:type="dxa"/>
            <w:tcBorders>
              <w:top w:val="single" w:sz="4" w:space="0" w:color="auto"/>
              <w:bottom w:val="single" w:sz="4" w:space="0" w:color="auto"/>
            </w:tcBorders>
            <w:noWrap/>
            <w:hideMark/>
          </w:tcPr>
          <w:p w14:paraId="65EAAA8F"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w:t>
            </w:r>
          </w:p>
        </w:tc>
        <w:tc>
          <w:tcPr>
            <w:tcW w:w="2693" w:type="dxa"/>
            <w:tcBorders>
              <w:top w:val="single" w:sz="4" w:space="0" w:color="auto"/>
              <w:bottom w:val="single" w:sz="4" w:space="0" w:color="auto"/>
            </w:tcBorders>
            <w:noWrap/>
            <w:hideMark/>
          </w:tcPr>
          <w:p w14:paraId="769E22F6"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NZ</w:t>
            </w:r>
          </w:p>
        </w:tc>
        <w:tc>
          <w:tcPr>
            <w:tcW w:w="2432" w:type="dxa"/>
            <w:tcBorders>
              <w:top w:val="single" w:sz="4" w:space="0" w:color="auto"/>
              <w:bottom w:val="single" w:sz="4" w:space="0" w:color="auto"/>
            </w:tcBorders>
            <w:noWrap/>
            <w:hideMark/>
          </w:tcPr>
          <w:p w14:paraId="2BB0309A" w14:textId="77777777" w:rsidR="0090630A" w:rsidRPr="008A17B5" w:rsidRDefault="0090630A" w:rsidP="00F07B90">
            <w:pPr>
              <w:keepNext w:val="0"/>
              <w:keepLines w:val="0"/>
              <w:widowControl w:val="0"/>
              <w:spacing w:before="0" w:after="0"/>
              <w:ind w:left="0" w:right="0"/>
              <w:rPr>
                <w:rFonts w:eastAsia="Times New Roman" w:cs="Calibri"/>
                <w:color w:val="000000"/>
                <w:lang w:eastAsia="en-AU"/>
              </w:rPr>
            </w:pPr>
            <w:r w:rsidRPr="008A17B5">
              <w:rPr>
                <w:rFonts w:eastAsia="Times New Roman" w:cs="Calibri"/>
                <w:color w:val="000000"/>
                <w:lang w:eastAsia="en-AU"/>
              </w:rPr>
              <w:t>PV - NZ2</w:t>
            </w:r>
          </w:p>
        </w:tc>
      </w:tr>
      <w:tr w:rsidR="0090630A" w:rsidRPr="008A17B5" w14:paraId="1C9236D8"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7C96406A"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2B321261"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BSS</w:t>
            </w:r>
          </w:p>
        </w:tc>
        <w:tc>
          <w:tcPr>
            <w:tcW w:w="2693" w:type="dxa"/>
            <w:tcBorders>
              <w:top w:val="single" w:sz="4" w:space="0" w:color="auto"/>
              <w:bottom w:val="single" w:sz="4" w:space="0" w:color="auto"/>
            </w:tcBorders>
            <w:noWrap/>
            <w:hideMark/>
          </w:tcPr>
          <w:p w14:paraId="3AF7CE0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Batt Storage</w:t>
            </w:r>
          </w:p>
        </w:tc>
        <w:tc>
          <w:tcPr>
            <w:tcW w:w="2432" w:type="dxa"/>
            <w:tcBorders>
              <w:top w:val="single" w:sz="4" w:space="0" w:color="auto"/>
              <w:bottom w:val="single" w:sz="4" w:space="0" w:color="auto"/>
            </w:tcBorders>
            <w:noWrap/>
            <w:hideMark/>
          </w:tcPr>
          <w:p w14:paraId="4FA8DF7A"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 - Retrofit - S1</w:t>
            </w:r>
          </w:p>
        </w:tc>
      </w:tr>
      <w:tr w:rsidR="0090630A" w:rsidRPr="008A17B5" w14:paraId="0D1625E3"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04EC90C"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59839D43"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BSS</w:t>
            </w:r>
          </w:p>
        </w:tc>
        <w:tc>
          <w:tcPr>
            <w:tcW w:w="2693" w:type="dxa"/>
            <w:tcBorders>
              <w:top w:val="single" w:sz="4" w:space="0" w:color="auto"/>
              <w:bottom w:val="single" w:sz="4" w:space="0" w:color="auto"/>
            </w:tcBorders>
            <w:noWrap/>
            <w:hideMark/>
          </w:tcPr>
          <w:p w14:paraId="2934ED41"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Batt Storage</w:t>
            </w:r>
          </w:p>
        </w:tc>
        <w:tc>
          <w:tcPr>
            <w:tcW w:w="2432" w:type="dxa"/>
            <w:tcBorders>
              <w:top w:val="single" w:sz="4" w:space="0" w:color="auto"/>
              <w:bottom w:val="single" w:sz="4" w:space="0" w:color="auto"/>
            </w:tcBorders>
            <w:noWrap/>
            <w:hideMark/>
          </w:tcPr>
          <w:p w14:paraId="6E7EAF40"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 - Retrofit - S2</w:t>
            </w:r>
          </w:p>
        </w:tc>
      </w:tr>
      <w:tr w:rsidR="0090630A" w:rsidRPr="008A17B5" w14:paraId="5DCA2FD7"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25B81DDA"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235E0A5D"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BSS</w:t>
            </w:r>
          </w:p>
        </w:tc>
        <w:tc>
          <w:tcPr>
            <w:tcW w:w="2693" w:type="dxa"/>
            <w:tcBorders>
              <w:top w:val="single" w:sz="4" w:space="0" w:color="auto"/>
              <w:bottom w:val="single" w:sz="4" w:space="0" w:color="auto"/>
            </w:tcBorders>
            <w:noWrap/>
            <w:hideMark/>
          </w:tcPr>
          <w:p w14:paraId="69C06747"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Batt Storage</w:t>
            </w:r>
          </w:p>
        </w:tc>
        <w:tc>
          <w:tcPr>
            <w:tcW w:w="2432" w:type="dxa"/>
            <w:tcBorders>
              <w:top w:val="single" w:sz="4" w:space="0" w:color="auto"/>
              <w:bottom w:val="single" w:sz="4" w:space="0" w:color="auto"/>
            </w:tcBorders>
            <w:noWrap/>
            <w:hideMark/>
          </w:tcPr>
          <w:p w14:paraId="1546F24D"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 - Integrated - S1</w:t>
            </w:r>
          </w:p>
        </w:tc>
      </w:tr>
      <w:tr w:rsidR="0090630A" w:rsidRPr="001A5005" w14:paraId="56623411" w14:textId="77777777" w:rsidTr="00377CC1">
        <w:tblPrEx>
          <w:tblBorders>
            <w:top w:val="none" w:sz="0" w:space="0" w:color="auto"/>
            <w:bottom w:val="none" w:sz="0" w:space="0" w:color="auto"/>
          </w:tblBorders>
        </w:tblPrEx>
        <w:trPr>
          <w:trHeight w:val="300"/>
        </w:trPr>
        <w:tc>
          <w:tcPr>
            <w:tcW w:w="1533" w:type="dxa"/>
            <w:tcBorders>
              <w:top w:val="single" w:sz="4" w:space="0" w:color="auto"/>
              <w:bottom w:val="single" w:sz="4" w:space="0" w:color="auto"/>
            </w:tcBorders>
            <w:noWrap/>
            <w:hideMark/>
          </w:tcPr>
          <w:p w14:paraId="309A29F7"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p>
        </w:tc>
        <w:tc>
          <w:tcPr>
            <w:tcW w:w="2403" w:type="dxa"/>
            <w:tcBorders>
              <w:top w:val="single" w:sz="4" w:space="0" w:color="auto"/>
              <w:bottom w:val="single" w:sz="4" w:space="0" w:color="auto"/>
            </w:tcBorders>
            <w:noWrap/>
            <w:hideMark/>
          </w:tcPr>
          <w:p w14:paraId="2548C0EC"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BSS</w:t>
            </w:r>
          </w:p>
        </w:tc>
        <w:tc>
          <w:tcPr>
            <w:tcW w:w="2693" w:type="dxa"/>
            <w:tcBorders>
              <w:top w:val="single" w:sz="4" w:space="0" w:color="auto"/>
              <w:bottom w:val="single" w:sz="4" w:space="0" w:color="auto"/>
            </w:tcBorders>
            <w:noWrap/>
            <w:hideMark/>
          </w:tcPr>
          <w:p w14:paraId="731DEF8E"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Batt Storage</w:t>
            </w:r>
          </w:p>
        </w:tc>
        <w:tc>
          <w:tcPr>
            <w:tcW w:w="2432" w:type="dxa"/>
            <w:tcBorders>
              <w:top w:val="single" w:sz="4" w:space="0" w:color="auto"/>
              <w:bottom w:val="single" w:sz="4" w:space="0" w:color="auto"/>
            </w:tcBorders>
            <w:noWrap/>
            <w:hideMark/>
          </w:tcPr>
          <w:p w14:paraId="5E7C01E9"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BS - Integrated - S2</w:t>
            </w:r>
          </w:p>
        </w:tc>
      </w:tr>
      <w:tr w:rsidR="0090630A" w:rsidRPr="004960D8" w14:paraId="4824D599" w14:textId="77777777" w:rsidTr="00377CC1">
        <w:tblPrEx>
          <w:tblBorders>
            <w:top w:val="none" w:sz="0" w:space="0" w:color="auto"/>
            <w:bottom w:val="none" w:sz="0" w:space="0" w:color="auto"/>
          </w:tblBorders>
          <w:tblLook w:val="04A0" w:firstRow="1" w:lastRow="0" w:firstColumn="1" w:lastColumn="0" w:noHBand="0" w:noVBand="1"/>
        </w:tblPrEx>
        <w:trPr>
          <w:trHeight w:val="300"/>
        </w:trPr>
        <w:tc>
          <w:tcPr>
            <w:tcW w:w="1533" w:type="dxa"/>
            <w:tcBorders>
              <w:top w:val="single" w:sz="4" w:space="0" w:color="auto"/>
              <w:bottom w:val="nil"/>
            </w:tcBorders>
            <w:noWrap/>
            <w:hideMark/>
          </w:tcPr>
          <w:p w14:paraId="107443A6"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Transport</w:t>
            </w:r>
          </w:p>
        </w:tc>
        <w:tc>
          <w:tcPr>
            <w:tcW w:w="2403" w:type="dxa"/>
            <w:tcBorders>
              <w:top w:val="single" w:sz="4" w:space="0" w:color="auto"/>
              <w:bottom w:val="nil"/>
            </w:tcBorders>
            <w:noWrap/>
            <w:hideMark/>
          </w:tcPr>
          <w:p w14:paraId="5753F81E"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Electric vehicle</w:t>
            </w:r>
          </w:p>
        </w:tc>
        <w:tc>
          <w:tcPr>
            <w:tcW w:w="2693" w:type="dxa"/>
            <w:tcBorders>
              <w:top w:val="single" w:sz="4" w:space="0" w:color="auto"/>
              <w:bottom w:val="nil"/>
            </w:tcBorders>
            <w:noWrap/>
            <w:hideMark/>
          </w:tcPr>
          <w:p w14:paraId="4B62754F"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EV</w:t>
            </w:r>
          </w:p>
        </w:tc>
        <w:tc>
          <w:tcPr>
            <w:tcW w:w="2432" w:type="dxa"/>
            <w:tcBorders>
              <w:top w:val="single" w:sz="4" w:space="0" w:color="auto"/>
              <w:bottom w:val="nil"/>
            </w:tcBorders>
            <w:noWrap/>
            <w:hideMark/>
          </w:tcPr>
          <w:p w14:paraId="1B3B2C72" w14:textId="77777777" w:rsidR="0090630A" w:rsidRPr="008A17B5" w:rsidRDefault="0090630A" w:rsidP="00F07B90">
            <w:pPr>
              <w:keepNext w:val="0"/>
              <w:keepLines w:val="0"/>
              <w:widowControl w:val="0"/>
              <w:spacing w:before="0" w:after="0"/>
              <w:ind w:left="0" w:right="0"/>
              <w:rPr>
                <w:rFonts w:eastAsia="Times New Roman" w:cs="Calibri"/>
                <w:color w:val="0070C0"/>
                <w:lang w:eastAsia="en-AU"/>
              </w:rPr>
            </w:pPr>
            <w:r w:rsidRPr="008A17B5">
              <w:rPr>
                <w:rFonts w:eastAsia="Times New Roman" w:cs="Calibri"/>
                <w:color w:val="0070C0"/>
                <w:lang w:eastAsia="en-AU"/>
              </w:rPr>
              <w:t>Electric vehicle</w:t>
            </w:r>
          </w:p>
        </w:tc>
      </w:tr>
    </w:tbl>
    <w:p w14:paraId="482333A9" w14:textId="77777777" w:rsidR="0090630A" w:rsidRDefault="0090630A" w:rsidP="0090630A">
      <w:pPr>
        <w:pStyle w:val="Table"/>
        <w:ind w:firstLine="720"/>
      </w:pPr>
      <w:r>
        <w:t xml:space="preserve">Note: New products, groups categories and end-uses for RBS 2.0 are shown in </w:t>
      </w:r>
      <w:r w:rsidRPr="006D4380">
        <w:rPr>
          <w:color w:val="0070C0"/>
        </w:rPr>
        <w:t>blue</w:t>
      </w:r>
      <w:r>
        <w:t xml:space="preserve"> </w:t>
      </w:r>
    </w:p>
    <w:p w14:paraId="5A5B2C05" w14:textId="224289E5" w:rsidR="0090630A" w:rsidRDefault="0090630A" w:rsidP="0090630A"/>
    <w:p w14:paraId="6DB0D79A" w14:textId="77777777" w:rsidR="0090630A" w:rsidRPr="00377CC1" w:rsidRDefault="0090630A" w:rsidP="00377CC1"/>
    <w:p w14:paraId="2A5D2149" w14:textId="75E6AFAB" w:rsidR="00470E3E" w:rsidRPr="0035191F" w:rsidRDefault="00470E3E" w:rsidP="00A1321B"/>
    <w:bookmarkEnd w:id="33"/>
    <w:bookmarkEnd w:id="34"/>
    <w:p w14:paraId="41C571BF" w14:textId="77777777" w:rsidR="00227ACC" w:rsidRPr="005665BC" w:rsidRDefault="00227ACC" w:rsidP="00063A98"/>
    <w:sectPr w:rsidR="00227ACC" w:rsidRPr="005665BC" w:rsidSect="007D6891">
      <w:footerReference w:type="default" r:id="rId42"/>
      <w:pgSz w:w="11906" w:h="16838"/>
      <w:pgMar w:top="1440" w:right="1332" w:bottom="1440" w:left="133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91FD8" w14:textId="77777777" w:rsidR="009256D8" w:rsidRDefault="009256D8" w:rsidP="00EE7D8C">
      <w:pPr>
        <w:spacing w:after="0" w:line="240" w:lineRule="auto"/>
      </w:pPr>
      <w:r>
        <w:separator/>
      </w:r>
    </w:p>
  </w:endnote>
  <w:endnote w:type="continuationSeparator" w:id="0">
    <w:p w14:paraId="45D24291" w14:textId="77777777" w:rsidR="009256D8" w:rsidRDefault="009256D8" w:rsidP="00EE7D8C">
      <w:pPr>
        <w:spacing w:after="0" w:line="240" w:lineRule="auto"/>
      </w:pPr>
      <w:r>
        <w:continuationSeparator/>
      </w:r>
    </w:p>
  </w:endnote>
  <w:endnote w:type="continuationNotice" w:id="1">
    <w:p w14:paraId="62B4B86B" w14:textId="77777777" w:rsidR="009256D8" w:rsidRDefault="009256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248406"/>
      <w:docPartObj>
        <w:docPartGallery w:val="Page Numbers (Bottom of Page)"/>
        <w:docPartUnique/>
      </w:docPartObj>
    </w:sdtPr>
    <w:sdtEndPr/>
    <w:sdtContent>
      <w:p w14:paraId="0FA9F2FA" w14:textId="77777777" w:rsidR="009256D8" w:rsidRDefault="009256D8" w:rsidP="00812082">
        <w:pPr>
          <w:pStyle w:val="Footer"/>
          <w:ind w:right="-33"/>
          <w:jc w:val="right"/>
        </w:pPr>
        <w:r>
          <w:rPr>
            <w:noProof/>
            <w:sz w:val="20"/>
            <w:lang w:eastAsia="en-AU"/>
          </w:rPr>
          <w:drawing>
            <wp:anchor distT="0" distB="0" distL="114300" distR="114300" simplePos="0" relativeHeight="251658241" behindDoc="0" locked="0" layoutInCell="1" allowOverlap="1" wp14:anchorId="3965416D" wp14:editId="7C8BC2B1">
              <wp:simplePos x="0" y="0"/>
              <wp:positionH relativeFrom="margin">
                <wp:posOffset>494665</wp:posOffset>
              </wp:positionH>
              <wp:positionV relativeFrom="paragraph">
                <wp:posOffset>93345</wp:posOffset>
              </wp:positionV>
              <wp:extent cx="1742440" cy="273685"/>
              <wp:effectExtent l="0" t="0" r="0" b="0"/>
              <wp:wrapNone/>
              <wp:docPr id="11" name="Picture 11"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82">
          <w:rPr>
            <w:color w:val="F79646" w:themeColor="accent6"/>
          </w:rPr>
          <w:fldChar w:fldCharType="begin"/>
        </w:r>
        <w:r w:rsidRPr="00812082">
          <w:rPr>
            <w:color w:val="F79646" w:themeColor="accent6"/>
          </w:rPr>
          <w:instrText xml:space="preserve"> PAGE   \* MERGEFORMAT </w:instrText>
        </w:r>
        <w:r w:rsidRPr="00812082">
          <w:rPr>
            <w:color w:val="F79646" w:themeColor="accent6"/>
          </w:rPr>
          <w:fldChar w:fldCharType="separate"/>
        </w:r>
        <w:r w:rsidR="000C3710">
          <w:rPr>
            <w:noProof/>
            <w:color w:val="F79646" w:themeColor="accent6"/>
          </w:rPr>
          <w:t>i</w:t>
        </w:r>
        <w:r w:rsidRPr="00812082">
          <w:rPr>
            <w:color w:val="F79646" w:themeColor="accent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4BDE" w14:textId="77777777" w:rsidR="009256D8" w:rsidRDefault="009256D8" w:rsidP="00DE0195">
    <w:pPr>
      <w:pStyle w:val="FooterAddress"/>
    </w:pPr>
    <w:r>
      <w:t>655 Jacksons Track</w:t>
    </w:r>
  </w:p>
  <w:p w14:paraId="3AF95B2A" w14:textId="77777777" w:rsidR="009256D8" w:rsidRDefault="009256D8" w:rsidP="00DE0195">
    <w:pPr>
      <w:pStyle w:val="FooterAddress"/>
    </w:pPr>
    <w:r>
      <w:t>Jindivick, Victoria 3818</w:t>
    </w:r>
  </w:p>
  <w:p w14:paraId="0B2B3A18" w14:textId="77777777" w:rsidR="009256D8" w:rsidRDefault="009256D8" w:rsidP="00DE0195">
    <w:pPr>
      <w:pStyle w:val="FooterAddress"/>
    </w:pPr>
    <w:r>
      <w:t>Australia</w:t>
    </w:r>
  </w:p>
  <w:p w14:paraId="14606A69" w14:textId="77777777" w:rsidR="009256D8" w:rsidRDefault="009256D8" w:rsidP="00DE0195">
    <w:pPr>
      <w:pStyle w:val="FooterAddress"/>
    </w:pPr>
    <w:r>
      <w:t>ABN: 18 090 579 365</w:t>
    </w:r>
  </w:p>
  <w:p w14:paraId="51DF00C1" w14:textId="77777777" w:rsidR="009256D8" w:rsidRDefault="009256D8" w:rsidP="00DE0195">
    <w:pPr>
      <w:pStyle w:val="FooterAddress"/>
    </w:pPr>
    <w:r>
      <w:t>Tel: +61 (0)3 5628 5449</w:t>
    </w:r>
  </w:p>
  <w:p w14:paraId="732CD84F" w14:textId="77777777" w:rsidR="009256D8" w:rsidRDefault="009256D8" w:rsidP="00DE0195">
    <w:pPr>
      <w:pStyle w:val="FooterAddress"/>
    </w:pPr>
    <w:r>
      <w:t>Mob: +61 (0)414 347 329</w:t>
    </w:r>
  </w:p>
  <w:p w14:paraId="1A7333A1" w14:textId="77777777" w:rsidR="009256D8" w:rsidRDefault="009256D8" w:rsidP="00DE0195">
    <w:pPr>
      <w:pStyle w:val="FooterAddress"/>
    </w:pPr>
    <w:r>
      <w:t xml:space="preserve">Email: </w:t>
    </w:r>
    <w:hyperlink r:id="rId1" w:history="1">
      <w:r w:rsidRPr="00546F1B">
        <w:rPr>
          <w:rStyle w:val="Hyperlink"/>
        </w:rPr>
        <w:t>paul@energyconsult.com.au</w:t>
      </w:r>
    </w:hyperlink>
  </w:p>
  <w:p w14:paraId="509074BD" w14:textId="77777777" w:rsidR="009256D8" w:rsidRDefault="009256D8" w:rsidP="00A62DF2">
    <w:pPr>
      <w:pStyle w:val="Footer"/>
      <w:ind w:right="-33"/>
      <w:jc w:val="right"/>
    </w:pPr>
  </w:p>
  <w:p w14:paraId="50DB5AEA" w14:textId="77777777" w:rsidR="009256D8" w:rsidRDefault="009256D8" w:rsidP="00812082">
    <w:pPr>
      <w:pStyle w:val="Footer"/>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009267"/>
      <w:docPartObj>
        <w:docPartGallery w:val="Page Numbers (Bottom of Page)"/>
        <w:docPartUnique/>
      </w:docPartObj>
    </w:sdtPr>
    <w:sdtEndPr/>
    <w:sdtContent>
      <w:p w14:paraId="4A19777D" w14:textId="77777777" w:rsidR="009256D8" w:rsidRDefault="009256D8" w:rsidP="00A62DF2">
        <w:pPr>
          <w:pStyle w:val="Footer"/>
          <w:ind w:right="-33"/>
          <w:jc w:val="right"/>
        </w:pPr>
        <w:r>
          <w:rPr>
            <w:noProof/>
            <w:sz w:val="20"/>
            <w:lang w:eastAsia="en-AU"/>
          </w:rPr>
          <w:drawing>
            <wp:anchor distT="0" distB="0" distL="114300" distR="114300" simplePos="0" relativeHeight="251658240" behindDoc="0" locked="0" layoutInCell="1" allowOverlap="1" wp14:anchorId="18B9072D" wp14:editId="0D54FB07">
              <wp:simplePos x="0" y="0"/>
              <wp:positionH relativeFrom="margin">
                <wp:align>left</wp:align>
              </wp:positionH>
              <wp:positionV relativeFrom="paragraph">
                <wp:posOffset>8255</wp:posOffset>
              </wp:positionV>
              <wp:extent cx="1742440" cy="273685"/>
              <wp:effectExtent l="0" t="0" r="0" b="0"/>
              <wp:wrapNone/>
              <wp:docPr id="3" name="Picture 3"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DF2">
          <w:rPr>
            <w:color w:val="F79646" w:themeColor="accent6"/>
          </w:rPr>
          <w:fldChar w:fldCharType="begin"/>
        </w:r>
        <w:r w:rsidRPr="00A62DF2">
          <w:rPr>
            <w:color w:val="F79646" w:themeColor="accent6"/>
          </w:rPr>
          <w:instrText xml:space="preserve"> PAGE   \* MERGEFORMAT </w:instrText>
        </w:r>
        <w:r w:rsidRPr="00A62DF2">
          <w:rPr>
            <w:color w:val="F79646" w:themeColor="accent6"/>
          </w:rPr>
          <w:fldChar w:fldCharType="separate"/>
        </w:r>
        <w:r>
          <w:rPr>
            <w:noProof/>
            <w:color w:val="F79646" w:themeColor="accent6"/>
          </w:rPr>
          <w:t>2</w:t>
        </w:r>
        <w:r w:rsidRPr="00A62DF2">
          <w:rPr>
            <w:color w:val="F79646" w:themeColor="accent6"/>
          </w:rPr>
          <w:fldChar w:fldCharType="end"/>
        </w:r>
      </w:p>
    </w:sdtContent>
  </w:sdt>
  <w:p w14:paraId="4E09CF80" w14:textId="77777777" w:rsidR="009256D8" w:rsidRDefault="009256D8" w:rsidP="00812082">
    <w:pPr>
      <w:pStyle w:val="Footer"/>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186830"/>
      <w:docPartObj>
        <w:docPartGallery w:val="Page Numbers (Bottom of Page)"/>
        <w:docPartUnique/>
      </w:docPartObj>
    </w:sdtPr>
    <w:sdtEndPr/>
    <w:sdtContent>
      <w:p w14:paraId="2ED8A942" w14:textId="77777777" w:rsidR="009256D8" w:rsidRDefault="009256D8" w:rsidP="00812082">
        <w:pPr>
          <w:pStyle w:val="Footer"/>
          <w:ind w:right="-33"/>
          <w:jc w:val="right"/>
        </w:pPr>
        <w:r>
          <w:rPr>
            <w:noProof/>
            <w:sz w:val="20"/>
            <w:lang w:eastAsia="en-AU"/>
          </w:rPr>
          <w:drawing>
            <wp:anchor distT="0" distB="0" distL="114300" distR="114300" simplePos="0" relativeHeight="251658242" behindDoc="0" locked="0" layoutInCell="1" allowOverlap="1" wp14:anchorId="751C7EDA" wp14:editId="613B6B1A">
              <wp:simplePos x="0" y="0"/>
              <wp:positionH relativeFrom="margin">
                <wp:align>left</wp:align>
              </wp:positionH>
              <wp:positionV relativeFrom="paragraph">
                <wp:posOffset>82104</wp:posOffset>
              </wp:positionV>
              <wp:extent cx="1742440" cy="273685"/>
              <wp:effectExtent l="0" t="0" r="0" b="0"/>
              <wp:wrapNone/>
              <wp:docPr id="8" name="Picture 8"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82">
          <w:rPr>
            <w:color w:val="F79646" w:themeColor="accent6"/>
          </w:rPr>
          <w:fldChar w:fldCharType="begin"/>
        </w:r>
        <w:r w:rsidRPr="00812082">
          <w:rPr>
            <w:color w:val="F79646" w:themeColor="accent6"/>
          </w:rPr>
          <w:instrText xml:space="preserve"> PAGE   \* MERGEFORMAT </w:instrText>
        </w:r>
        <w:r w:rsidRPr="00812082">
          <w:rPr>
            <w:color w:val="F79646" w:themeColor="accent6"/>
          </w:rPr>
          <w:fldChar w:fldCharType="separate"/>
        </w:r>
        <w:r w:rsidR="000C3710">
          <w:rPr>
            <w:noProof/>
            <w:color w:val="F79646" w:themeColor="accent6"/>
          </w:rPr>
          <w:t>19</w:t>
        </w:r>
        <w:r w:rsidRPr="00812082">
          <w:rPr>
            <w:color w:val="F79646" w:themeColor="accent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1C00C" w14:textId="77777777" w:rsidR="009256D8" w:rsidRDefault="009256D8" w:rsidP="00EE7D8C">
      <w:pPr>
        <w:spacing w:after="0" w:line="240" w:lineRule="auto"/>
      </w:pPr>
      <w:r>
        <w:separator/>
      </w:r>
    </w:p>
  </w:footnote>
  <w:footnote w:type="continuationSeparator" w:id="0">
    <w:p w14:paraId="299C45F4" w14:textId="77777777" w:rsidR="009256D8" w:rsidRDefault="009256D8" w:rsidP="00EE7D8C">
      <w:pPr>
        <w:spacing w:after="0" w:line="240" w:lineRule="auto"/>
      </w:pPr>
      <w:r>
        <w:continuationSeparator/>
      </w:r>
    </w:p>
  </w:footnote>
  <w:footnote w:type="continuationNotice" w:id="1">
    <w:p w14:paraId="579A2D8B" w14:textId="77777777" w:rsidR="009256D8" w:rsidRDefault="009256D8">
      <w:pPr>
        <w:spacing w:before="0" w:after="0" w:line="240" w:lineRule="auto"/>
      </w:pPr>
    </w:p>
  </w:footnote>
  <w:footnote w:id="2">
    <w:p w14:paraId="3BE69432" w14:textId="18B6154A" w:rsidR="009256D8" w:rsidRDefault="009256D8">
      <w:pPr>
        <w:pStyle w:val="FootnoteText"/>
      </w:pPr>
      <w:r>
        <w:rPr>
          <w:rStyle w:val="FootnoteReference"/>
        </w:rPr>
        <w:footnoteRef/>
      </w:r>
      <w:r>
        <w:t xml:space="preserve"> See  </w:t>
      </w:r>
      <w:hyperlink r:id="rId1" w:history="1">
        <w:r>
          <w:rPr>
            <w:rStyle w:val="Hyperlink"/>
          </w:rPr>
          <w:t>https://www.eeca.govt.nz/assets/EECA-Resources/Product-regulations/Sales-data-tool-user-guide.pdf</w:t>
        </w:r>
      </w:hyperlink>
    </w:p>
  </w:footnote>
  <w:footnote w:id="3">
    <w:p w14:paraId="619CFF20" w14:textId="1ABCD425" w:rsidR="009256D8" w:rsidRDefault="009256D8">
      <w:pPr>
        <w:pStyle w:val="FootnoteText"/>
      </w:pPr>
      <w:r>
        <w:rPr>
          <w:rStyle w:val="FootnoteReference"/>
        </w:rPr>
        <w:footnoteRef/>
      </w:r>
      <w:r>
        <w:t xml:space="preserve"> Spring and autumn</w:t>
      </w:r>
    </w:p>
  </w:footnote>
  <w:footnote w:id="4">
    <w:p w14:paraId="273A8F8E" w14:textId="3543C875" w:rsidR="009256D8" w:rsidRDefault="009256D8">
      <w:pPr>
        <w:pStyle w:val="FootnoteText"/>
      </w:pPr>
      <w:r>
        <w:rPr>
          <w:rStyle w:val="FootnoteReference"/>
        </w:rPr>
        <w:footnoteRef/>
      </w:r>
      <w:r>
        <w:t xml:space="preserve"> Note: It is recognised that interval meters operate in 30-minute increments and some stakeholders have expressed interest in ½ hour profiles but there is insufficient increase in accuracy to move to ½ hourly profiles. See the discussion in </w:t>
      </w:r>
      <w:r>
        <w:fldChar w:fldCharType="begin"/>
      </w:r>
      <w:r>
        <w:instrText xml:space="preserve"> REF _Ref47977484 \h </w:instrText>
      </w:r>
      <w:r>
        <w:fldChar w:fldCharType="separate"/>
      </w:r>
      <w:r>
        <w:t>Detailed Enhancement Methodology and Approach</w:t>
      </w:r>
      <w:r>
        <w:fldChar w:fldCharType="end"/>
      </w:r>
      <w:r>
        <w:t xml:space="preserve"> on page </w:t>
      </w:r>
      <w:r>
        <w:fldChar w:fldCharType="begin"/>
      </w:r>
      <w:r>
        <w:instrText xml:space="preserve"> PAGEREF _Ref47969025 \h </w:instrText>
      </w:r>
      <w:r>
        <w:fldChar w:fldCharType="separate"/>
      </w:r>
      <w:r>
        <w:rPr>
          <w:noProof/>
        </w:rPr>
        <w:t>17</w:t>
      </w:r>
      <w:r>
        <w:fldChar w:fldCharType="end"/>
      </w:r>
      <w:r>
        <w:t xml:space="preserve">. </w:t>
      </w:r>
    </w:p>
  </w:footnote>
  <w:footnote w:id="5">
    <w:p w14:paraId="5271DCE7" w14:textId="54B44F66" w:rsidR="009256D8" w:rsidRDefault="009256D8">
      <w:pPr>
        <w:pStyle w:val="FootnoteText"/>
      </w:pPr>
      <w:r>
        <w:rPr>
          <w:rStyle w:val="FootnoteReference"/>
        </w:rPr>
        <w:footnoteRef/>
      </w:r>
      <w:r>
        <w:t xml:space="preserve"> Fuel switching scenarios are complicated to model accurately if the alternative products have differing operating lives. If the lives are similar, e.g. 10 and 12 years, then RBS scenario forecasts will be accurate for about half the shortest operating life, but increasingly inaccurate after that. </w:t>
      </w:r>
    </w:p>
  </w:footnote>
  <w:footnote w:id="6">
    <w:p w14:paraId="03FDE73C" w14:textId="5817D6AC" w:rsidR="009256D8" w:rsidRDefault="009256D8">
      <w:pPr>
        <w:pStyle w:val="FootnoteText"/>
      </w:pPr>
      <w:r>
        <w:rPr>
          <w:rStyle w:val="FootnoteReference"/>
        </w:rPr>
        <w:footnoteRef/>
      </w:r>
      <w:r>
        <w:t xml:space="preserve"> Instead of season, month may be used and aggregated to the season</w:t>
      </w:r>
    </w:p>
  </w:footnote>
  <w:footnote w:id="7">
    <w:p w14:paraId="4FBE78DD" w14:textId="035D5257" w:rsidR="009256D8" w:rsidRDefault="009256D8">
      <w:pPr>
        <w:pStyle w:val="FootnoteText"/>
      </w:pPr>
      <w:r>
        <w:rPr>
          <w:rStyle w:val="FootnoteReference"/>
        </w:rPr>
        <w:footnoteRef/>
      </w:r>
      <w:r>
        <w:t xml:space="preserve"> See </w:t>
      </w:r>
      <w:r>
        <w:fldChar w:fldCharType="begin"/>
      </w:r>
      <w:r>
        <w:instrText xml:space="preserve"> PAGEREF _Ref47712053 \h </w:instrText>
      </w:r>
      <w:r>
        <w:fldChar w:fldCharType="separate"/>
      </w:r>
      <w:r>
        <w:rPr>
          <w:noProof/>
        </w:rPr>
        <w:fldChar w:fldCharType="begin"/>
      </w:r>
      <w:r>
        <w:rPr>
          <w:noProof/>
        </w:rPr>
        <w:instrText xml:space="preserve"> REF _Ref47712053 \h </w:instrText>
      </w:r>
      <w:r>
        <w:rPr>
          <w:noProof/>
        </w:rPr>
      </w:r>
      <w:r>
        <w:rPr>
          <w:noProof/>
        </w:rPr>
        <w:fldChar w:fldCharType="separate"/>
      </w:r>
      <w:r>
        <w:t>Appendix A: Underlying RBS1.0 Methodology</w:t>
      </w:r>
      <w:r>
        <w:rPr>
          <w:noProof/>
        </w:rPr>
        <w:fldChar w:fldCharType="end"/>
      </w:r>
      <w:r>
        <w:fldChar w:fldCharType="end"/>
      </w:r>
      <w:r>
        <w:t xml:space="preserve"> for explanation of Aggregator role</w:t>
      </w:r>
    </w:p>
  </w:footnote>
  <w:footnote w:id="8">
    <w:p w14:paraId="34B726DC" w14:textId="77777777" w:rsidR="009256D8" w:rsidRDefault="009256D8" w:rsidP="00470E3E">
      <w:pPr>
        <w:pStyle w:val="FootnoteText"/>
        <w:spacing w:before="60"/>
      </w:pPr>
      <w:r>
        <w:rPr>
          <w:rStyle w:val="FootnoteReference"/>
        </w:rPr>
        <w:footnoteRef/>
      </w:r>
      <w:r>
        <w:t xml:space="preserve"> It should be noted that this approach will provide reasonable estimates of average consumption levels across the population of all dwellings but is not intended to be used as an estimate of the energy use of any specific, individual dwelling, as the consumption of individual dwellings will vary considerably.</w:t>
      </w:r>
    </w:p>
  </w:footnote>
  <w:footnote w:id="9">
    <w:p w14:paraId="715A9618" w14:textId="77777777" w:rsidR="009256D8" w:rsidRDefault="009256D8" w:rsidP="00470E3E">
      <w:pPr>
        <w:pStyle w:val="FootnoteText"/>
        <w:spacing w:before="60"/>
      </w:pPr>
      <w:r>
        <w:rPr>
          <w:rStyle w:val="FootnoteReference"/>
        </w:rPr>
        <w:footnoteRef/>
      </w:r>
      <w:r>
        <w:t xml:space="preserve"> For solar PV systems, similar equations are used for determining energy generation and power demand. These gross amounts are calculated and also combined with other model outputs to determine net generation when required.  Impacts on locality of PV arrays on output and seasonal variations will be considered as required.</w:t>
      </w:r>
    </w:p>
  </w:footnote>
  <w:footnote w:id="10">
    <w:p w14:paraId="3B3CFE32" w14:textId="77777777" w:rsidR="009256D8" w:rsidRDefault="009256D8" w:rsidP="00470E3E">
      <w:pPr>
        <w:pStyle w:val="FootnoteText"/>
        <w:spacing w:before="60"/>
      </w:pPr>
      <w:r>
        <w:rPr>
          <w:rStyle w:val="FootnoteReference"/>
        </w:rPr>
        <w:footnoteRef/>
      </w:r>
      <w:r>
        <w:t xml:space="preserve"> Operating hours for appliances are hours the appliance is used, and efficiency and capacity are changed in more complex equipment that can operate at part loads.</w:t>
      </w:r>
    </w:p>
  </w:footnote>
  <w:footnote w:id="11">
    <w:p w14:paraId="2DF09829" w14:textId="77777777" w:rsidR="009256D8" w:rsidRDefault="009256D8" w:rsidP="00470E3E">
      <w:pPr>
        <w:pStyle w:val="FootnoteText"/>
        <w:spacing w:before="60"/>
      </w:pPr>
      <w:r>
        <w:rPr>
          <w:rStyle w:val="FootnoteReference"/>
        </w:rPr>
        <w:footnoteRef/>
      </w:r>
      <w:r>
        <w:t xml:space="preserve"> The base year was 2012, chosen as it was the year where the most recent and accurate space conditioning usage data was available.</w:t>
      </w:r>
    </w:p>
  </w:footnote>
  <w:footnote w:id="12">
    <w:p w14:paraId="020A2820" w14:textId="77777777" w:rsidR="009256D8" w:rsidRDefault="009256D8" w:rsidP="00470E3E">
      <w:pPr>
        <w:pStyle w:val="FootnoteText"/>
        <w:spacing w:before="60"/>
      </w:pPr>
      <w:r>
        <w:rPr>
          <w:rStyle w:val="FootnoteReference"/>
        </w:rPr>
        <w:footnoteRef/>
      </w:r>
      <w:r>
        <w:t xml:space="preserve"> The “hours of usage” is defined as the operating hours, i.e., the time that the user has switched the unit on.  When relevant, standby hours will be calculated using the non-operating hours.</w:t>
      </w:r>
    </w:p>
  </w:footnote>
  <w:footnote w:id="13">
    <w:p w14:paraId="5AB21530" w14:textId="77777777" w:rsidR="009256D8" w:rsidRDefault="009256D8" w:rsidP="00470E3E">
      <w:pPr>
        <w:pStyle w:val="FootnoteText"/>
        <w:spacing w:before="60"/>
      </w:pPr>
      <w:r>
        <w:rPr>
          <w:rStyle w:val="FootnoteReference"/>
        </w:rPr>
        <w:footnoteRef/>
      </w:r>
      <w:r>
        <w:t xml:space="preserve"> For air conditioners/heat pumps, their efficiency is calculated using a seasonal energy efficiency ratio (SEER) value which takes into account variations in duty cycle or partial load use, so duty cycle was not relevant for this equipment. </w:t>
      </w:r>
    </w:p>
  </w:footnote>
  <w:footnote w:id="14">
    <w:p w14:paraId="7CE3A9CE" w14:textId="77777777" w:rsidR="009256D8" w:rsidRDefault="009256D8" w:rsidP="00470E3E">
      <w:pPr>
        <w:pStyle w:val="FootnoteText"/>
        <w:spacing w:before="60"/>
      </w:pPr>
      <w:r>
        <w:rPr>
          <w:rStyle w:val="FootnoteReference"/>
        </w:rPr>
        <w:footnoteRef/>
      </w:r>
      <w:r>
        <w:t xml:space="preserve"> Further explanation of the calculation of potential maximum demand and of these terms is provided in the Technical Appendix.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0B1C5" w14:textId="34193B42" w:rsidR="009256D8" w:rsidRPr="006154CA" w:rsidRDefault="009256D8" w:rsidP="00812082">
    <w:pPr>
      <w:pStyle w:val="IntenseQuote"/>
    </w:pPr>
    <w:r>
      <w:rPr>
        <w:noProof/>
      </w:rPr>
      <w:fldChar w:fldCharType="begin"/>
    </w:r>
    <w:r>
      <w:rPr>
        <w:noProof/>
      </w:rPr>
      <w:instrText xml:space="preserve"> STYLEREF  "Title Cover"  \* MERGEFORMAT </w:instrText>
    </w:r>
    <w:r>
      <w:rPr>
        <w:noProof/>
      </w:rPr>
      <w:fldChar w:fldCharType="separate"/>
    </w:r>
    <w:r w:rsidR="000C3710">
      <w:rPr>
        <w:noProof/>
      </w:rPr>
      <w:t>RBS2.0 Methodology Report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4414D" w14:textId="77777777" w:rsidR="009256D8" w:rsidRDefault="009256D8" w:rsidP="00DE0195">
    <w:pPr>
      <w:pStyle w:val="Header"/>
    </w:pPr>
  </w:p>
  <w:p w14:paraId="1879F354" w14:textId="77777777" w:rsidR="009256D8" w:rsidRPr="00DE0195" w:rsidRDefault="009256D8" w:rsidP="00DE01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0C02D" w14:textId="77777777" w:rsidR="009256D8" w:rsidRDefault="009256D8" w:rsidP="008A57D5">
    <w:pPr>
      <w:pStyle w:val="IntenseQuote"/>
      <w:ind w:left="720"/>
    </w:pPr>
    <w:r w:rsidRPr="008A57D5">
      <w:t>Market Research – Computer Monitors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1E68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149B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EC31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EAC5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B8CF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1AB0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2E8E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640D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64A1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1226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D2CEC"/>
    <w:multiLevelType w:val="hybridMultilevel"/>
    <w:tmpl w:val="10E6A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6E239F"/>
    <w:multiLevelType w:val="hybridMultilevel"/>
    <w:tmpl w:val="6212C22C"/>
    <w:lvl w:ilvl="0" w:tplc="BA0A959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F602C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5231F8"/>
    <w:multiLevelType w:val="hybridMultilevel"/>
    <w:tmpl w:val="2F0E9378"/>
    <w:lvl w:ilvl="0" w:tplc="46B4E566">
      <w:start w:val="1"/>
      <w:numFmt w:val="bullet"/>
      <w:pStyle w:val="Bullets-Major"/>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55769B6"/>
    <w:multiLevelType w:val="hybridMultilevel"/>
    <w:tmpl w:val="6F38234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5A17C1C"/>
    <w:multiLevelType w:val="hybridMultilevel"/>
    <w:tmpl w:val="47A87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B8003C"/>
    <w:multiLevelType w:val="hybridMultilevel"/>
    <w:tmpl w:val="5F0E1254"/>
    <w:lvl w:ilvl="0" w:tplc="77C09298">
      <w:start w:val="1"/>
      <w:numFmt w:val="bullet"/>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A916F6"/>
    <w:multiLevelType w:val="multilevel"/>
    <w:tmpl w:val="3B6AA080"/>
    <w:lvl w:ilvl="0">
      <w:start w:val="1"/>
      <w:numFmt w:val="bullet"/>
      <w:lvlText w:val=""/>
      <w:lvlJc w:val="left"/>
      <w:pPr>
        <w:ind w:left="1080" w:hanging="360"/>
      </w:pPr>
      <w:rPr>
        <w:rFonts w:ascii="Symbol" w:hAnsi="Symbol" w:hint="default"/>
      </w:rPr>
    </w:lvl>
    <w:lvl w:ilvl="1">
      <w:start w:val="1"/>
      <w:numFmt w:val="decimal"/>
      <w:lvlText w:val="%2."/>
      <w:lvlJc w:val="left"/>
      <w:pPr>
        <w:tabs>
          <w:tab w:val="num" w:pos="666"/>
        </w:tabs>
        <w:ind w:left="666" w:hanging="720"/>
      </w:pPr>
    </w:lvl>
    <w:lvl w:ilvl="2">
      <w:start w:val="1"/>
      <w:numFmt w:val="decimal"/>
      <w:lvlText w:val="%3."/>
      <w:lvlJc w:val="left"/>
      <w:pPr>
        <w:tabs>
          <w:tab w:val="num" w:pos="1386"/>
        </w:tabs>
        <w:ind w:left="1386" w:hanging="720"/>
      </w:pPr>
    </w:lvl>
    <w:lvl w:ilvl="3">
      <w:start w:val="1"/>
      <w:numFmt w:val="decimal"/>
      <w:lvlText w:val="%4."/>
      <w:lvlJc w:val="left"/>
      <w:pPr>
        <w:tabs>
          <w:tab w:val="num" w:pos="2106"/>
        </w:tabs>
        <w:ind w:left="2106" w:hanging="720"/>
      </w:pPr>
    </w:lvl>
    <w:lvl w:ilvl="4">
      <w:start w:val="1"/>
      <w:numFmt w:val="decimal"/>
      <w:lvlText w:val="%5."/>
      <w:lvlJc w:val="left"/>
      <w:pPr>
        <w:tabs>
          <w:tab w:val="num" w:pos="2826"/>
        </w:tabs>
        <w:ind w:left="2826" w:hanging="720"/>
      </w:pPr>
    </w:lvl>
    <w:lvl w:ilvl="5">
      <w:start w:val="1"/>
      <w:numFmt w:val="decimal"/>
      <w:lvlText w:val="%6."/>
      <w:lvlJc w:val="left"/>
      <w:pPr>
        <w:tabs>
          <w:tab w:val="num" w:pos="3546"/>
        </w:tabs>
        <w:ind w:left="3546" w:hanging="720"/>
      </w:pPr>
    </w:lvl>
    <w:lvl w:ilvl="6">
      <w:start w:val="1"/>
      <w:numFmt w:val="decimal"/>
      <w:lvlText w:val="%7."/>
      <w:lvlJc w:val="left"/>
      <w:pPr>
        <w:tabs>
          <w:tab w:val="num" w:pos="4266"/>
        </w:tabs>
        <w:ind w:left="4266" w:hanging="720"/>
      </w:pPr>
    </w:lvl>
    <w:lvl w:ilvl="7">
      <w:start w:val="1"/>
      <w:numFmt w:val="decimal"/>
      <w:lvlText w:val="%8."/>
      <w:lvlJc w:val="left"/>
      <w:pPr>
        <w:tabs>
          <w:tab w:val="num" w:pos="4986"/>
        </w:tabs>
        <w:ind w:left="4986" w:hanging="720"/>
      </w:pPr>
    </w:lvl>
    <w:lvl w:ilvl="8">
      <w:start w:val="1"/>
      <w:numFmt w:val="decimal"/>
      <w:lvlText w:val="%9."/>
      <w:lvlJc w:val="left"/>
      <w:pPr>
        <w:tabs>
          <w:tab w:val="num" w:pos="5706"/>
        </w:tabs>
        <w:ind w:left="5706" w:hanging="720"/>
      </w:pPr>
    </w:lvl>
  </w:abstractNum>
  <w:abstractNum w:abstractNumId="18" w15:restartNumberingAfterBreak="0">
    <w:nsid w:val="21753901"/>
    <w:multiLevelType w:val="hybridMultilevel"/>
    <w:tmpl w:val="22F81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EF4ECD"/>
    <w:multiLevelType w:val="hybridMultilevel"/>
    <w:tmpl w:val="046C000E"/>
    <w:lvl w:ilvl="0" w:tplc="C23648D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B47E9A"/>
    <w:multiLevelType w:val="hybridMultilevel"/>
    <w:tmpl w:val="3C20E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901565B"/>
    <w:multiLevelType w:val="hybridMultilevel"/>
    <w:tmpl w:val="607868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92F30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8D154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F90FC1"/>
    <w:multiLevelType w:val="hybridMultilevel"/>
    <w:tmpl w:val="892CBFA4"/>
    <w:lvl w:ilvl="0" w:tplc="AEB2628C">
      <w:start w:val="1"/>
      <w:numFmt w:val="decimal"/>
      <w:pStyle w:val="Heading1"/>
      <w:lvlText w:val="%1."/>
      <w:lvlJc w:val="left"/>
      <w:pPr>
        <w:ind w:left="1440" w:hanging="144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2F660EE2"/>
    <w:multiLevelType w:val="multilevel"/>
    <w:tmpl w:val="B1966CEA"/>
    <w:lvl w:ilvl="0">
      <w:start w:val="1"/>
      <w:numFmt w:val="bullet"/>
      <w:pStyle w:val="Bullets-Minor"/>
      <w:lvlText w:val=""/>
      <w:lvlJc w:val="left"/>
      <w:pPr>
        <w:ind w:left="1080" w:hanging="360"/>
      </w:pPr>
      <w:rPr>
        <w:rFonts w:ascii="Symbol" w:hAnsi="Symbol" w:hint="default"/>
      </w:rPr>
    </w:lvl>
    <w:lvl w:ilvl="1">
      <w:start w:val="1"/>
      <w:numFmt w:val="decimal"/>
      <w:lvlText w:val="%2."/>
      <w:lvlJc w:val="left"/>
      <w:pPr>
        <w:tabs>
          <w:tab w:val="num" w:pos="666"/>
        </w:tabs>
        <w:ind w:left="666" w:hanging="720"/>
      </w:pPr>
    </w:lvl>
    <w:lvl w:ilvl="2">
      <w:start w:val="1"/>
      <w:numFmt w:val="decimal"/>
      <w:lvlText w:val="%3."/>
      <w:lvlJc w:val="left"/>
      <w:pPr>
        <w:tabs>
          <w:tab w:val="num" w:pos="1386"/>
        </w:tabs>
        <w:ind w:left="1386" w:hanging="720"/>
      </w:pPr>
    </w:lvl>
    <w:lvl w:ilvl="3">
      <w:start w:val="1"/>
      <w:numFmt w:val="decimal"/>
      <w:lvlText w:val="%4."/>
      <w:lvlJc w:val="left"/>
      <w:pPr>
        <w:tabs>
          <w:tab w:val="num" w:pos="2106"/>
        </w:tabs>
        <w:ind w:left="2106" w:hanging="720"/>
      </w:pPr>
    </w:lvl>
    <w:lvl w:ilvl="4">
      <w:start w:val="1"/>
      <w:numFmt w:val="decimal"/>
      <w:lvlText w:val="%5."/>
      <w:lvlJc w:val="left"/>
      <w:pPr>
        <w:tabs>
          <w:tab w:val="num" w:pos="2826"/>
        </w:tabs>
        <w:ind w:left="2826" w:hanging="720"/>
      </w:pPr>
    </w:lvl>
    <w:lvl w:ilvl="5">
      <w:start w:val="1"/>
      <w:numFmt w:val="decimal"/>
      <w:lvlText w:val="%6."/>
      <w:lvlJc w:val="left"/>
      <w:pPr>
        <w:tabs>
          <w:tab w:val="num" w:pos="3546"/>
        </w:tabs>
        <w:ind w:left="3546" w:hanging="720"/>
      </w:pPr>
    </w:lvl>
    <w:lvl w:ilvl="6">
      <w:start w:val="1"/>
      <w:numFmt w:val="decimal"/>
      <w:lvlText w:val="%7."/>
      <w:lvlJc w:val="left"/>
      <w:pPr>
        <w:tabs>
          <w:tab w:val="num" w:pos="4266"/>
        </w:tabs>
        <w:ind w:left="4266" w:hanging="720"/>
      </w:pPr>
    </w:lvl>
    <w:lvl w:ilvl="7">
      <w:start w:val="1"/>
      <w:numFmt w:val="decimal"/>
      <w:lvlText w:val="%8."/>
      <w:lvlJc w:val="left"/>
      <w:pPr>
        <w:tabs>
          <w:tab w:val="num" w:pos="4986"/>
        </w:tabs>
        <w:ind w:left="4986" w:hanging="720"/>
      </w:pPr>
    </w:lvl>
    <w:lvl w:ilvl="8">
      <w:start w:val="1"/>
      <w:numFmt w:val="decimal"/>
      <w:lvlText w:val="%9."/>
      <w:lvlJc w:val="left"/>
      <w:pPr>
        <w:tabs>
          <w:tab w:val="num" w:pos="5706"/>
        </w:tabs>
        <w:ind w:left="5706" w:hanging="720"/>
      </w:pPr>
    </w:lvl>
  </w:abstractNum>
  <w:abstractNum w:abstractNumId="26" w15:restartNumberingAfterBreak="0">
    <w:nsid w:val="32330B3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136DA4"/>
    <w:multiLevelType w:val="hybridMultilevel"/>
    <w:tmpl w:val="72382CEA"/>
    <w:lvl w:ilvl="0" w:tplc="9264A9A2">
      <w:start w:val="1"/>
      <w:numFmt w:val="bullet"/>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175D3A"/>
    <w:multiLevelType w:val="hybridMultilevel"/>
    <w:tmpl w:val="1924E2D4"/>
    <w:lvl w:ilvl="0" w:tplc="FF8C435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9B50E96"/>
    <w:multiLevelType w:val="hybridMultilevel"/>
    <w:tmpl w:val="92EC017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3CEF5E22"/>
    <w:multiLevelType w:val="hybridMultilevel"/>
    <w:tmpl w:val="B0263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D27E8A"/>
    <w:multiLevelType w:val="hybridMultilevel"/>
    <w:tmpl w:val="86E6B95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ECF0F83"/>
    <w:multiLevelType w:val="hybridMultilevel"/>
    <w:tmpl w:val="EC76F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512575"/>
    <w:multiLevelType w:val="multilevel"/>
    <w:tmpl w:val="FF9236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5"/>
      <w:numFmt w:val="upperLetter"/>
      <w:pStyle w:val="Heading7"/>
      <w:lvlText w:val="%7"/>
      <w:lvlJc w:val="left"/>
      <w:pPr>
        <w:ind w:left="2520" w:hanging="25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50173B"/>
    <w:multiLevelType w:val="hybridMultilevel"/>
    <w:tmpl w:val="1B6EB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AA40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C4541DC"/>
    <w:multiLevelType w:val="hybridMultilevel"/>
    <w:tmpl w:val="C2F0F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3"/>
  </w:num>
  <w:num w:numId="13">
    <w:abstractNumId w:val="13"/>
  </w:num>
  <w:num w:numId="14">
    <w:abstractNumId w:val="17"/>
  </w:num>
  <w:num w:numId="15">
    <w:abstractNumId w:val="31"/>
  </w:num>
  <w:num w:numId="16">
    <w:abstractNumId w:val="20"/>
  </w:num>
  <w:num w:numId="17">
    <w:abstractNumId w:val="36"/>
  </w:num>
  <w:num w:numId="18">
    <w:abstractNumId w:val="10"/>
  </w:num>
  <w:num w:numId="19">
    <w:abstractNumId w:val="30"/>
  </w:num>
  <w:num w:numId="20">
    <w:abstractNumId w:val="15"/>
  </w:num>
  <w:num w:numId="21">
    <w:abstractNumId w:val="32"/>
  </w:num>
  <w:num w:numId="22">
    <w:abstractNumId w:val="29"/>
  </w:num>
  <w:num w:numId="23">
    <w:abstractNumId w:val="28"/>
  </w:num>
  <w:num w:numId="24">
    <w:abstractNumId w:val="27"/>
  </w:num>
  <w:num w:numId="25">
    <w:abstractNumId w:val="16"/>
  </w:num>
  <w:num w:numId="26">
    <w:abstractNumId w:val="18"/>
  </w:num>
  <w:num w:numId="27">
    <w:abstractNumId w:val="14"/>
  </w:num>
  <w:num w:numId="28">
    <w:abstractNumId w:val="35"/>
  </w:num>
  <w:num w:numId="29">
    <w:abstractNumId w:val="12"/>
  </w:num>
  <w:num w:numId="30">
    <w:abstractNumId w:val="34"/>
  </w:num>
  <w:num w:numId="31">
    <w:abstractNumId w:val="26"/>
  </w:num>
  <w:num w:numId="32">
    <w:abstractNumId w:val="22"/>
  </w:num>
  <w:num w:numId="33">
    <w:abstractNumId w:val="23"/>
  </w:num>
  <w:num w:numId="34">
    <w:abstractNumId w:val="21"/>
  </w:num>
  <w:num w:numId="35">
    <w:abstractNumId w:val="25"/>
  </w:num>
  <w:num w:numId="36">
    <w:abstractNumId w:val="11"/>
  </w:num>
  <w:num w:numId="3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U0N7E0tTSyMDG3MDBQ0lEKTi0uzszPAykwN6gFAMznGo0tAAAA"/>
  </w:docVars>
  <w:rsids>
    <w:rsidRoot w:val="00C14E37"/>
    <w:rsid w:val="000001F9"/>
    <w:rsid w:val="00002571"/>
    <w:rsid w:val="000026E7"/>
    <w:rsid w:val="00003B15"/>
    <w:rsid w:val="00003DA8"/>
    <w:rsid w:val="00004ED8"/>
    <w:rsid w:val="00004F34"/>
    <w:rsid w:val="00005CB5"/>
    <w:rsid w:val="00006B22"/>
    <w:rsid w:val="00007037"/>
    <w:rsid w:val="00007CA8"/>
    <w:rsid w:val="00010AF0"/>
    <w:rsid w:val="000113A1"/>
    <w:rsid w:val="00011D70"/>
    <w:rsid w:val="00012F38"/>
    <w:rsid w:val="00013F42"/>
    <w:rsid w:val="0001412B"/>
    <w:rsid w:val="00014991"/>
    <w:rsid w:val="0001705C"/>
    <w:rsid w:val="000172EE"/>
    <w:rsid w:val="000209CA"/>
    <w:rsid w:val="0002105F"/>
    <w:rsid w:val="00021429"/>
    <w:rsid w:val="00022225"/>
    <w:rsid w:val="000223F6"/>
    <w:rsid w:val="000251F0"/>
    <w:rsid w:val="00025A1A"/>
    <w:rsid w:val="00027333"/>
    <w:rsid w:val="00027AB9"/>
    <w:rsid w:val="00027C49"/>
    <w:rsid w:val="000305EA"/>
    <w:rsid w:val="00030EC4"/>
    <w:rsid w:val="000316E3"/>
    <w:rsid w:val="000324C9"/>
    <w:rsid w:val="00032B74"/>
    <w:rsid w:val="00032B8B"/>
    <w:rsid w:val="0003342C"/>
    <w:rsid w:val="000339ED"/>
    <w:rsid w:val="0003568C"/>
    <w:rsid w:val="00035C7F"/>
    <w:rsid w:val="00036BDD"/>
    <w:rsid w:val="00036EAC"/>
    <w:rsid w:val="000374C3"/>
    <w:rsid w:val="00037673"/>
    <w:rsid w:val="00037A09"/>
    <w:rsid w:val="000406D8"/>
    <w:rsid w:val="00040797"/>
    <w:rsid w:val="00040E70"/>
    <w:rsid w:val="00041235"/>
    <w:rsid w:val="00042F8A"/>
    <w:rsid w:val="00042FEA"/>
    <w:rsid w:val="00043D69"/>
    <w:rsid w:val="00043DD3"/>
    <w:rsid w:val="00044A98"/>
    <w:rsid w:val="00044DA2"/>
    <w:rsid w:val="00044DAC"/>
    <w:rsid w:val="00045174"/>
    <w:rsid w:val="00045724"/>
    <w:rsid w:val="00047158"/>
    <w:rsid w:val="000504AB"/>
    <w:rsid w:val="00051514"/>
    <w:rsid w:val="00051D6D"/>
    <w:rsid w:val="00051DDF"/>
    <w:rsid w:val="00052876"/>
    <w:rsid w:val="00053500"/>
    <w:rsid w:val="00053AFB"/>
    <w:rsid w:val="00054347"/>
    <w:rsid w:val="000543AE"/>
    <w:rsid w:val="00057694"/>
    <w:rsid w:val="000577EE"/>
    <w:rsid w:val="00057869"/>
    <w:rsid w:val="000603C8"/>
    <w:rsid w:val="000610DE"/>
    <w:rsid w:val="00062411"/>
    <w:rsid w:val="000624C6"/>
    <w:rsid w:val="000639B1"/>
    <w:rsid w:val="00063A98"/>
    <w:rsid w:val="00064386"/>
    <w:rsid w:val="0006628B"/>
    <w:rsid w:val="00066518"/>
    <w:rsid w:val="000670E2"/>
    <w:rsid w:val="0007059C"/>
    <w:rsid w:val="00070763"/>
    <w:rsid w:val="00071C71"/>
    <w:rsid w:val="0007306B"/>
    <w:rsid w:val="0007374D"/>
    <w:rsid w:val="00076B95"/>
    <w:rsid w:val="0007777E"/>
    <w:rsid w:val="00080946"/>
    <w:rsid w:val="000814D5"/>
    <w:rsid w:val="0008200D"/>
    <w:rsid w:val="00082E14"/>
    <w:rsid w:val="00082F99"/>
    <w:rsid w:val="00084955"/>
    <w:rsid w:val="00085BF8"/>
    <w:rsid w:val="00085FC6"/>
    <w:rsid w:val="0008776B"/>
    <w:rsid w:val="00090287"/>
    <w:rsid w:val="000906F0"/>
    <w:rsid w:val="00091A50"/>
    <w:rsid w:val="00091CF8"/>
    <w:rsid w:val="00093737"/>
    <w:rsid w:val="0009489A"/>
    <w:rsid w:val="00094FB9"/>
    <w:rsid w:val="000971B8"/>
    <w:rsid w:val="000A0A2E"/>
    <w:rsid w:val="000A102A"/>
    <w:rsid w:val="000A1192"/>
    <w:rsid w:val="000A20BE"/>
    <w:rsid w:val="000A2CD9"/>
    <w:rsid w:val="000A35B9"/>
    <w:rsid w:val="000A374F"/>
    <w:rsid w:val="000A7ED8"/>
    <w:rsid w:val="000B01E6"/>
    <w:rsid w:val="000B1710"/>
    <w:rsid w:val="000B1AC7"/>
    <w:rsid w:val="000B1BE1"/>
    <w:rsid w:val="000B2F59"/>
    <w:rsid w:val="000B3A04"/>
    <w:rsid w:val="000B443E"/>
    <w:rsid w:val="000B4531"/>
    <w:rsid w:val="000B5045"/>
    <w:rsid w:val="000B5052"/>
    <w:rsid w:val="000B5B40"/>
    <w:rsid w:val="000B5CC2"/>
    <w:rsid w:val="000B6002"/>
    <w:rsid w:val="000B6AED"/>
    <w:rsid w:val="000B7BC1"/>
    <w:rsid w:val="000C0211"/>
    <w:rsid w:val="000C1BD7"/>
    <w:rsid w:val="000C29F6"/>
    <w:rsid w:val="000C3704"/>
    <w:rsid w:val="000C3710"/>
    <w:rsid w:val="000C3C9A"/>
    <w:rsid w:val="000C40CA"/>
    <w:rsid w:val="000C4171"/>
    <w:rsid w:val="000C7617"/>
    <w:rsid w:val="000D00B8"/>
    <w:rsid w:val="000D0589"/>
    <w:rsid w:val="000D0AB1"/>
    <w:rsid w:val="000D34D2"/>
    <w:rsid w:val="000D3A66"/>
    <w:rsid w:val="000D491A"/>
    <w:rsid w:val="000D4F86"/>
    <w:rsid w:val="000D5846"/>
    <w:rsid w:val="000D5AB6"/>
    <w:rsid w:val="000D794F"/>
    <w:rsid w:val="000E034F"/>
    <w:rsid w:val="000E0C35"/>
    <w:rsid w:val="000E1C37"/>
    <w:rsid w:val="000E2098"/>
    <w:rsid w:val="000E34A2"/>
    <w:rsid w:val="000E49D9"/>
    <w:rsid w:val="000E4F90"/>
    <w:rsid w:val="000E5938"/>
    <w:rsid w:val="000E59C0"/>
    <w:rsid w:val="000E6610"/>
    <w:rsid w:val="000F29A1"/>
    <w:rsid w:val="000F338E"/>
    <w:rsid w:val="000F66C3"/>
    <w:rsid w:val="000F750E"/>
    <w:rsid w:val="000F7820"/>
    <w:rsid w:val="00100DC4"/>
    <w:rsid w:val="00102495"/>
    <w:rsid w:val="00102EFB"/>
    <w:rsid w:val="00104379"/>
    <w:rsid w:val="00104468"/>
    <w:rsid w:val="00104502"/>
    <w:rsid w:val="001052FF"/>
    <w:rsid w:val="00105EA5"/>
    <w:rsid w:val="0010685C"/>
    <w:rsid w:val="00106B61"/>
    <w:rsid w:val="001073D7"/>
    <w:rsid w:val="0011000B"/>
    <w:rsid w:val="00111787"/>
    <w:rsid w:val="00111CCB"/>
    <w:rsid w:val="00111E6D"/>
    <w:rsid w:val="001144BB"/>
    <w:rsid w:val="00114A4F"/>
    <w:rsid w:val="00114D9A"/>
    <w:rsid w:val="00115212"/>
    <w:rsid w:val="0011527F"/>
    <w:rsid w:val="001154C5"/>
    <w:rsid w:val="00116A7E"/>
    <w:rsid w:val="00120597"/>
    <w:rsid w:val="00121579"/>
    <w:rsid w:val="00121EC8"/>
    <w:rsid w:val="00121FA3"/>
    <w:rsid w:val="00123174"/>
    <w:rsid w:val="001238AA"/>
    <w:rsid w:val="00124242"/>
    <w:rsid w:val="00124467"/>
    <w:rsid w:val="00124EE8"/>
    <w:rsid w:val="001250D5"/>
    <w:rsid w:val="001251EB"/>
    <w:rsid w:val="00126E89"/>
    <w:rsid w:val="001271B3"/>
    <w:rsid w:val="0012753F"/>
    <w:rsid w:val="00127609"/>
    <w:rsid w:val="0013322D"/>
    <w:rsid w:val="0013380A"/>
    <w:rsid w:val="00133A75"/>
    <w:rsid w:val="001345FE"/>
    <w:rsid w:val="00134879"/>
    <w:rsid w:val="00134CE0"/>
    <w:rsid w:val="001355AC"/>
    <w:rsid w:val="0014000C"/>
    <w:rsid w:val="0014103E"/>
    <w:rsid w:val="00141551"/>
    <w:rsid w:val="001417DB"/>
    <w:rsid w:val="00142188"/>
    <w:rsid w:val="001421B0"/>
    <w:rsid w:val="00142607"/>
    <w:rsid w:val="00143CA4"/>
    <w:rsid w:val="00144B82"/>
    <w:rsid w:val="00145EDE"/>
    <w:rsid w:val="00150DC2"/>
    <w:rsid w:val="00151AEF"/>
    <w:rsid w:val="00153804"/>
    <w:rsid w:val="001551F9"/>
    <w:rsid w:val="00155CFA"/>
    <w:rsid w:val="00155E6A"/>
    <w:rsid w:val="00156887"/>
    <w:rsid w:val="001576DD"/>
    <w:rsid w:val="00157C75"/>
    <w:rsid w:val="001607D4"/>
    <w:rsid w:val="001610D8"/>
    <w:rsid w:val="0016114D"/>
    <w:rsid w:val="0016149D"/>
    <w:rsid w:val="00161681"/>
    <w:rsid w:val="00161A94"/>
    <w:rsid w:val="00163BA1"/>
    <w:rsid w:val="00163F7E"/>
    <w:rsid w:val="0016415D"/>
    <w:rsid w:val="00164CAA"/>
    <w:rsid w:val="00166CFA"/>
    <w:rsid w:val="00167AC5"/>
    <w:rsid w:val="00167BE3"/>
    <w:rsid w:val="00170177"/>
    <w:rsid w:val="00170566"/>
    <w:rsid w:val="00170EB8"/>
    <w:rsid w:val="00171804"/>
    <w:rsid w:val="00172459"/>
    <w:rsid w:val="001733D5"/>
    <w:rsid w:val="00174D98"/>
    <w:rsid w:val="00177685"/>
    <w:rsid w:val="0017787B"/>
    <w:rsid w:val="00177A6C"/>
    <w:rsid w:val="00180056"/>
    <w:rsid w:val="0018019A"/>
    <w:rsid w:val="00181149"/>
    <w:rsid w:val="00183743"/>
    <w:rsid w:val="00183FAF"/>
    <w:rsid w:val="0018482A"/>
    <w:rsid w:val="00187C56"/>
    <w:rsid w:val="00187DFD"/>
    <w:rsid w:val="0019016A"/>
    <w:rsid w:val="00192037"/>
    <w:rsid w:val="0019203B"/>
    <w:rsid w:val="00196ABD"/>
    <w:rsid w:val="001977AA"/>
    <w:rsid w:val="001A0A6B"/>
    <w:rsid w:val="001A0DC3"/>
    <w:rsid w:val="001A240F"/>
    <w:rsid w:val="001A2965"/>
    <w:rsid w:val="001A2DD8"/>
    <w:rsid w:val="001A2F4D"/>
    <w:rsid w:val="001A423C"/>
    <w:rsid w:val="001A484C"/>
    <w:rsid w:val="001A6FA7"/>
    <w:rsid w:val="001A71FB"/>
    <w:rsid w:val="001A72DF"/>
    <w:rsid w:val="001A785F"/>
    <w:rsid w:val="001A7B6E"/>
    <w:rsid w:val="001B0818"/>
    <w:rsid w:val="001B202C"/>
    <w:rsid w:val="001B22F3"/>
    <w:rsid w:val="001B29AC"/>
    <w:rsid w:val="001B36B7"/>
    <w:rsid w:val="001B47F4"/>
    <w:rsid w:val="001B6E6B"/>
    <w:rsid w:val="001B7805"/>
    <w:rsid w:val="001C087E"/>
    <w:rsid w:val="001C25D0"/>
    <w:rsid w:val="001C519D"/>
    <w:rsid w:val="001C537D"/>
    <w:rsid w:val="001C5E7C"/>
    <w:rsid w:val="001C643F"/>
    <w:rsid w:val="001C6B9A"/>
    <w:rsid w:val="001D0404"/>
    <w:rsid w:val="001D21B3"/>
    <w:rsid w:val="001D2B70"/>
    <w:rsid w:val="001D34DF"/>
    <w:rsid w:val="001D4DC6"/>
    <w:rsid w:val="001D72C3"/>
    <w:rsid w:val="001E2F54"/>
    <w:rsid w:val="001E3174"/>
    <w:rsid w:val="001E3EC9"/>
    <w:rsid w:val="001E410F"/>
    <w:rsid w:val="001E4E85"/>
    <w:rsid w:val="001E7A75"/>
    <w:rsid w:val="001F021F"/>
    <w:rsid w:val="001F2258"/>
    <w:rsid w:val="001F2CB2"/>
    <w:rsid w:val="001F44CC"/>
    <w:rsid w:val="001F4B26"/>
    <w:rsid w:val="001F73C0"/>
    <w:rsid w:val="001F7669"/>
    <w:rsid w:val="001F7FC7"/>
    <w:rsid w:val="00203A75"/>
    <w:rsid w:val="00204033"/>
    <w:rsid w:val="002044B4"/>
    <w:rsid w:val="00205ABD"/>
    <w:rsid w:val="00206B69"/>
    <w:rsid w:val="00206DF0"/>
    <w:rsid w:val="00210E2F"/>
    <w:rsid w:val="00211681"/>
    <w:rsid w:val="00211A88"/>
    <w:rsid w:val="00213C1C"/>
    <w:rsid w:val="002156C8"/>
    <w:rsid w:val="00217045"/>
    <w:rsid w:val="00217733"/>
    <w:rsid w:val="0022074C"/>
    <w:rsid w:val="0022338F"/>
    <w:rsid w:val="00225105"/>
    <w:rsid w:val="00225CCC"/>
    <w:rsid w:val="00225E70"/>
    <w:rsid w:val="0022651F"/>
    <w:rsid w:val="0022678A"/>
    <w:rsid w:val="00227ACC"/>
    <w:rsid w:val="00230ECE"/>
    <w:rsid w:val="00231808"/>
    <w:rsid w:val="00232504"/>
    <w:rsid w:val="002331CB"/>
    <w:rsid w:val="00234CF6"/>
    <w:rsid w:val="002351A7"/>
    <w:rsid w:val="0023580F"/>
    <w:rsid w:val="00235EAA"/>
    <w:rsid w:val="00235F27"/>
    <w:rsid w:val="00236CF8"/>
    <w:rsid w:val="00236F1F"/>
    <w:rsid w:val="002370D6"/>
    <w:rsid w:val="00237E36"/>
    <w:rsid w:val="00241935"/>
    <w:rsid w:val="00241ABB"/>
    <w:rsid w:val="00242619"/>
    <w:rsid w:val="00242E40"/>
    <w:rsid w:val="002432D0"/>
    <w:rsid w:val="002438E5"/>
    <w:rsid w:val="0024696F"/>
    <w:rsid w:val="00247011"/>
    <w:rsid w:val="00251DE4"/>
    <w:rsid w:val="00251E08"/>
    <w:rsid w:val="00251EAC"/>
    <w:rsid w:val="002523C9"/>
    <w:rsid w:val="0025588F"/>
    <w:rsid w:val="002559E2"/>
    <w:rsid w:val="00256040"/>
    <w:rsid w:val="002560E7"/>
    <w:rsid w:val="002566C2"/>
    <w:rsid w:val="002633B8"/>
    <w:rsid w:val="0026703B"/>
    <w:rsid w:val="00270BC0"/>
    <w:rsid w:val="00271047"/>
    <w:rsid w:val="00272AFA"/>
    <w:rsid w:val="002730F2"/>
    <w:rsid w:val="00282505"/>
    <w:rsid w:val="002848A4"/>
    <w:rsid w:val="00285674"/>
    <w:rsid w:val="00285FC3"/>
    <w:rsid w:val="00287104"/>
    <w:rsid w:val="0029098B"/>
    <w:rsid w:val="0029323B"/>
    <w:rsid w:val="00293794"/>
    <w:rsid w:val="002937CF"/>
    <w:rsid w:val="0029416C"/>
    <w:rsid w:val="00294BD2"/>
    <w:rsid w:val="00296D13"/>
    <w:rsid w:val="002A1C34"/>
    <w:rsid w:val="002A3424"/>
    <w:rsid w:val="002A37AB"/>
    <w:rsid w:val="002A37AC"/>
    <w:rsid w:val="002A3E0F"/>
    <w:rsid w:val="002A5791"/>
    <w:rsid w:val="002A5F46"/>
    <w:rsid w:val="002B09B0"/>
    <w:rsid w:val="002B0E30"/>
    <w:rsid w:val="002B1A8B"/>
    <w:rsid w:val="002B21E3"/>
    <w:rsid w:val="002B2DD0"/>
    <w:rsid w:val="002B31FB"/>
    <w:rsid w:val="002B3564"/>
    <w:rsid w:val="002B5DA7"/>
    <w:rsid w:val="002B60E8"/>
    <w:rsid w:val="002C0A3C"/>
    <w:rsid w:val="002C1109"/>
    <w:rsid w:val="002C16C2"/>
    <w:rsid w:val="002C1C60"/>
    <w:rsid w:val="002C39EF"/>
    <w:rsid w:val="002C3C31"/>
    <w:rsid w:val="002C46EA"/>
    <w:rsid w:val="002C47F6"/>
    <w:rsid w:val="002C507A"/>
    <w:rsid w:val="002C62C0"/>
    <w:rsid w:val="002C6403"/>
    <w:rsid w:val="002C74D4"/>
    <w:rsid w:val="002D08C7"/>
    <w:rsid w:val="002D2B98"/>
    <w:rsid w:val="002D3381"/>
    <w:rsid w:val="002D33E0"/>
    <w:rsid w:val="002D3578"/>
    <w:rsid w:val="002D406B"/>
    <w:rsid w:val="002D4074"/>
    <w:rsid w:val="002D439C"/>
    <w:rsid w:val="002D5447"/>
    <w:rsid w:val="002D5B2D"/>
    <w:rsid w:val="002D660C"/>
    <w:rsid w:val="002E0454"/>
    <w:rsid w:val="002E0A7C"/>
    <w:rsid w:val="002E230D"/>
    <w:rsid w:val="002E382F"/>
    <w:rsid w:val="002E3F12"/>
    <w:rsid w:val="002E3FA4"/>
    <w:rsid w:val="002E54D8"/>
    <w:rsid w:val="002E5530"/>
    <w:rsid w:val="002F1ACE"/>
    <w:rsid w:val="002F261C"/>
    <w:rsid w:val="002F339F"/>
    <w:rsid w:val="002F3ABB"/>
    <w:rsid w:val="002F47C5"/>
    <w:rsid w:val="002F4CF8"/>
    <w:rsid w:val="002F593A"/>
    <w:rsid w:val="002F5F3D"/>
    <w:rsid w:val="002F6094"/>
    <w:rsid w:val="002F75C7"/>
    <w:rsid w:val="00300273"/>
    <w:rsid w:val="003005DA"/>
    <w:rsid w:val="00301026"/>
    <w:rsid w:val="003011DE"/>
    <w:rsid w:val="0030183C"/>
    <w:rsid w:val="00303152"/>
    <w:rsid w:val="0030332F"/>
    <w:rsid w:val="0030424F"/>
    <w:rsid w:val="003044B2"/>
    <w:rsid w:val="00304A6F"/>
    <w:rsid w:val="00305B0A"/>
    <w:rsid w:val="00305B93"/>
    <w:rsid w:val="00305DE8"/>
    <w:rsid w:val="00305F72"/>
    <w:rsid w:val="00310251"/>
    <w:rsid w:val="0031079F"/>
    <w:rsid w:val="00311618"/>
    <w:rsid w:val="003116AC"/>
    <w:rsid w:val="00311B26"/>
    <w:rsid w:val="00311BA7"/>
    <w:rsid w:val="00313216"/>
    <w:rsid w:val="00313848"/>
    <w:rsid w:val="00315029"/>
    <w:rsid w:val="003159DB"/>
    <w:rsid w:val="00316A15"/>
    <w:rsid w:val="003178A8"/>
    <w:rsid w:val="003179B5"/>
    <w:rsid w:val="003216FE"/>
    <w:rsid w:val="00322D2B"/>
    <w:rsid w:val="00322E33"/>
    <w:rsid w:val="00323CD7"/>
    <w:rsid w:val="00324563"/>
    <w:rsid w:val="00325C3C"/>
    <w:rsid w:val="00326077"/>
    <w:rsid w:val="0032779D"/>
    <w:rsid w:val="00330FC7"/>
    <w:rsid w:val="00334F74"/>
    <w:rsid w:val="003352F7"/>
    <w:rsid w:val="003363D5"/>
    <w:rsid w:val="00340105"/>
    <w:rsid w:val="00340182"/>
    <w:rsid w:val="0034024B"/>
    <w:rsid w:val="00340491"/>
    <w:rsid w:val="003426ED"/>
    <w:rsid w:val="003428B5"/>
    <w:rsid w:val="00343049"/>
    <w:rsid w:val="00343625"/>
    <w:rsid w:val="00344453"/>
    <w:rsid w:val="003448F6"/>
    <w:rsid w:val="00345736"/>
    <w:rsid w:val="003457D6"/>
    <w:rsid w:val="00345ECB"/>
    <w:rsid w:val="00345F35"/>
    <w:rsid w:val="003470B4"/>
    <w:rsid w:val="003504E2"/>
    <w:rsid w:val="00350E2F"/>
    <w:rsid w:val="0035191F"/>
    <w:rsid w:val="00351A53"/>
    <w:rsid w:val="00353975"/>
    <w:rsid w:val="00354E53"/>
    <w:rsid w:val="00355DDD"/>
    <w:rsid w:val="00356457"/>
    <w:rsid w:val="00357118"/>
    <w:rsid w:val="0035768E"/>
    <w:rsid w:val="00357ACC"/>
    <w:rsid w:val="0036329E"/>
    <w:rsid w:val="00363974"/>
    <w:rsid w:val="00365168"/>
    <w:rsid w:val="0036691B"/>
    <w:rsid w:val="00366C0A"/>
    <w:rsid w:val="00367FEB"/>
    <w:rsid w:val="0037126D"/>
    <w:rsid w:val="003712F3"/>
    <w:rsid w:val="00371DE7"/>
    <w:rsid w:val="003720DE"/>
    <w:rsid w:val="003724B9"/>
    <w:rsid w:val="00372B5A"/>
    <w:rsid w:val="00374BFB"/>
    <w:rsid w:val="003758B7"/>
    <w:rsid w:val="00376A7D"/>
    <w:rsid w:val="00376C5F"/>
    <w:rsid w:val="00377C12"/>
    <w:rsid w:val="00377CC1"/>
    <w:rsid w:val="003803F9"/>
    <w:rsid w:val="00381B59"/>
    <w:rsid w:val="003821FC"/>
    <w:rsid w:val="00383521"/>
    <w:rsid w:val="00384091"/>
    <w:rsid w:val="00384FB1"/>
    <w:rsid w:val="00385F8A"/>
    <w:rsid w:val="00386A56"/>
    <w:rsid w:val="00386CEF"/>
    <w:rsid w:val="00390257"/>
    <w:rsid w:val="00390750"/>
    <w:rsid w:val="00390A23"/>
    <w:rsid w:val="00391B80"/>
    <w:rsid w:val="00393E8C"/>
    <w:rsid w:val="0039435F"/>
    <w:rsid w:val="0039658D"/>
    <w:rsid w:val="00396A80"/>
    <w:rsid w:val="003973C0"/>
    <w:rsid w:val="003A021B"/>
    <w:rsid w:val="003A097A"/>
    <w:rsid w:val="003A1324"/>
    <w:rsid w:val="003A1B13"/>
    <w:rsid w:val="003A4DCE"/>
    <w:rsid w:val="003A60E6"/>
    <w:rsid w:val="003A6430"/>
    <w:rsid w:val="003A674D"/>
    <w:rsid w:val="003A6AAB"/>
    <w:rsid w:val="003A6C62"/>
    <w:rsid w:val="003A7417"/>
    <w:rsid w:val="003A78EC"/>
    <w:rsid w:val="003B09EA"/>
    <w:rsid w:val="003B0A37"/>
    <w:rsid w:val="003B145E"/>
    <w:rsid w:val="003B2095"/>
    <w:rsid w:val="003B2C25"/>
    <w:rsid w:val="003B42C8"/>
    <w:rsid w:val="003B53AA"/>
    <w:rsid w:val="003C1544"/>
    <w:rsid w:val="003C1A5D"/>
    <w:rsid w:val="003C1AF1"/>
    <w:rsid w:val="003C2097"/>
    <w:rsid w:val="003C2A13"/>
    <w:rsid w:val="003C3167"/>
    <w:rsid w:val="003C3AC9"/>
    <w:rsid w:val="003C3EF2"/>
    <w:rsid w:val="003C3FD5"/>
    <w:rsid w:val="003C44E4"/>
    <w:rsid w:val="003C4FF7"/>
    <w:rsid w:val="003C7262"/>
    <w:rsid w:val="003D1AFD"/>
    <w:rsid w:val="003D2CC4"/>
    <w:rsid w:val="003D331A"/>
    <w:rsid w:val="003D5287"/>
    <w:rsid w:val="003D557A"/>
    <w:rsid w:val="003D5C52"/>
    <w:rsid w:val="003D6094"/>
    <w:rsid w:val="003D693A"/>
    <w:rsid w:val="003D785F"/>
    <w:rsid w:val="003E170F"/>
    <w:rsid w:val="003E27EA"/>
    <w:rsid w:val="003E2E0F"/>
    <w:rsid w:val="003E3FD1"/>
    <w:rsid w:val="003E496F"/>
    <w:rsid w:val="003E60AD"/>
    <w:rsid w:val="003E75C4"/>
    <w:rsid w:val="003E7B47"/>
    <w:rsid w:val="003E7CDF"/>
    <w:rsid w:val="003F0119"/>
    <w:rsid w:val="003F0EDE"/>
    <w:rsid w:val="003F198A"/>
    <w:rsid w:val="003F2738"/>
    <w:rsid w:val="003F2CAA"/>
    <w:rsid w:val="003F3E0F"/>
    <w:rsid w:val="003F48C1"/>
    <w:rsid w:val="003F4915"/>
    <w:rsid w:val="003F5316"/>
    <w:rsid w:val="003F7026"/>
    <w:rsid w:val="003F7928"/>
    <w:rsid w:val="004014CD"/>
    <w:rsid w:val="00401CD1"/>
    <w:rsid w:val="0040220A"/>
    <w:rsid w:val="004027DE"/>
    <w:rsid w:val="00406C69"/>
    <w:rsid w:val="00406E43"/>
    <w:rsid w:val="00407822"/>
    <w:rsid w:val="00411999"/>
    <w:rsid w:val="0041549A"/>
    <w:rsid w:val="00417271"/>
    <w:rsid w:val="0041752A"/>
    <w:rsid w:val="004175DD"/>
    <w:rsid w:val="00417693"/>
    <w:rsid w:val="00417E03"/>
    <w:rsid w:val="004201AB"/>
    <w:rsid w:val="00420C12"/>
    <w:rsid w:val="00421158"/>
    <w:rsid w:val="00421428"/>
    <w:rsid w:val="00421B8C"/>
    <w:rsid w:val="00421BBA"/>
    <w:rsid w:val="00422317"/>
    <w:rsid w:val="00423850"/>
    <w:rsid w:val="004242BD"/>
    <w:rsid w:val="0042465B"/>
    <w:rsid w:val="00425C2C"/>
    <w:rsid w:val="00425CFB"/>
    <w:rsid w:val="00426A91"/>
    <w:rsid w:val="00431123"/>
    <w:rsid w:val="004315D7"/>
    <w:rsid w:val="0043230B"/>
    <w:rsid w:val="004334E5"/>
    <w:rsid w:val="004362E1"/>
    <w:rsid w:val="0043792D"/>
    <w:rsid w:val="00437F67"/>
    <w:rsid w:val="00441059"/>
    <w:rsid w:val="00441715"/>
    <w:rsid w:val="0044173B"/>
    <w:rsid w:val="004417C6"/>
    <w:rsid w:val="00441D69"/>
    <w:rsid w:val="00441ED8"/>
    <w:rsid w:val="00441F08"/>
    <w:rsid w:val="004421D5"/>
    <w:rsid w:val="00443C38"/>
    <w:rsid w:val="00443FBF"/>
    <w:rsid w:val="00444E91"/>
    <w:rsid w:val="00445608"/>
    <w:rsid w:val="004525B2"/>
    <w:rsid w:val="00454283"/>
    <w:rsid w:val="00454D92"/>
    <w:rsid w:val="00457644"/>
    <w:rsid w:val="00457B43"/>
    <w:rsid w:val="004610E8"/>
    <w:rsid w:val="00461503"/>
    <w:rsid w:val="00461C8C"/>
    <w:rsid w:val="00462E20"/>
    <w:rsid w:val="004634E1"/>
    <w:rsid w:val="004637FA"/>
    <w:rsid w:val="0046432B"/>
    <w:rsid w:val="00465300"/>
    <w:rsid w:val="00465C67"/>
    <w:rsid w:val="0046660E"/>
    <w:rsid w:val="00466BCC"/>
    <w:rsid w:val="004702BB"/>
    <w:rsid w:val="00470E3E"/>
    <w:rsid w:val="0047173F"/>
    <w:rsid w:val="00471B55"/>
    <w:rsid w:val="00471E21"/>
    <w:rsid w:val="0047508D"/>
    <w:rsid w:val="00475A2E"/>
    <w:rsid w:val="004779E2"/>
    <w:rsid w:val="00480620"/>
    <w:rsid w:val="00483258"/>
    <w:rsid w:val="00483C30"/>
    <w:rsid w:val="00483FD6"/>
    <w:rsid w:val="00484EE2"/>
    <w:rsid w:val="004856A8"/>
    <w:rsid w:val="004861E8"/>
    <w:rsid w:val="004862E9"/>
    <w:rsid w:val="0048796B"/>
    <w:rsid w:val="00487FE8"/>
    <w:rsid w:val="004926B9"/>
    <w:rsid w:val="00492793"/>
    <w:rsid w:val="004929FC"/>
    <w:rsid w:val="00494129"/>
    <w:rsid w:val="004942FD"/>
    <w:rsid w:val="00494D19"/>
    <w:rsid w:val="00497DAE"/>
    <w:rsid w:val="004A0587"/>
    <w:rsid w:val="004A25A2"/>
    <w:rsid w:val="004A42DD"/>
    <w:rsid w:val="004A5F0C"/>
    <w:rsid w:val="004A619C"/>
    <w:rsid w:val="004A76B0"/>
    <w:rsid w:val="004A7AFD"/>
    <w:rsid w:val="004B1A89"/>
    <w:rsid w:val="004B418D"/>
    <w:rsid w:val="004B6465"/>
    <w:rsid w:val="004B6C79"/>
    <w:rsid w:val="004B7BBC"/>
    <w:rsid w:val="004C1273"/>
    <w:rsid w:val="004C18C2"/>
    <w:rsid w:val="004C1FEF"/>
    <w:rsid w:val="004C21C5"/>
    <w:rsid w:val="004C3619"/>
    <w:rsid w:val="004C6440"/>
    <w:rsid w:val="004C65EC"/>
    <w:rsid w:val="004C7217"/>
    <w:rsid w:val="004D04B2"/>
    <w:rsid w:val="004D245C"/>
    <w:rsid w:val="004D2AD3"/>
    <w:rsid w:val="004D2F97"/>
    <w:rsid w:val="004D3520"/>
    <w:rsid w:val="004D3896"/>
    <w:rsid w:val="004D4B89"/>
    <w:rsid w:val="004D5437"/>
    <w:rsid w:val="004D57AF"/>
    <w:rsid w:val="004D5F43"/>
    <w:rsid w:val="004E022F"/>
    <w:rsid w:val="004E0676"/>
    <w:rsid w:val="004E1B19"/>
    <w:rsid w:val="004E3FB5"/>
    <w:rsid w:val="004E50A6"/>
    <w:rsid w:val="004E598D"/>
    <w:rsid w:val="004E5F79"/>
    <w:rsid w:val="004E60B7"/>
    <w:rsid w:val="004E73F7"/>
    <w:rsid w:val="004F13B2"/>
    <w:rsid w:val="004F18CD"/>
    <w:rsid w:val="004F197B"/>
    <w:rsid w:val="004F3780"/>
    <w:rsid w:val="004F4840"/>
    <w:rsid w:val="004F4AEE"/>
    <w:rsid w:val="004F6936"/>
    <w:rsid w:val="004F765C"/>
    <w:rsid w:val="004F7F8B"/>
    <w:rsid w:val="00500517"/>
    <w:rsid w:val="005011F2"/>
    <w:rsid w:val="00501485"/>
    <w:rsid w:val="00503F27"/>
    <w:rsid w:val="00503FCB"/>
    <w:rsid w:val="00506D82"/>
    <w:rsid w:val="00511B35"/>
    <w:rsid w:val="00511F09"/>
    <w:rsid w:val="00512883"/>
    <w:rsid w:val="0051358D"/>
    <w:rsid w:val="0051523C"/>
    <w:rsid w:val="00515539"/>
    <w:rsid w:val="005159D6"/>
    <w:rsid w:val="00516048"/>
    <w:rsid w:val="00517A11"/>
    <w:rsid w:val="00517A4E"/>
    <w:rsid w:val="00521C63"/>
    <w:rsid w:val="005234ED"/>
    <w:rsid w:val="00524B9D"/>
    <w:rsid w:val="00525232"/>
    <w:rsid w:val="005256FE"/>
    <w:rsid w:val="00527FC9"/>
    <w:rsid w:val="005303C8"/>
    <w:rsid w:val="00530722"/>
    <w:rsid w:val="005315AB"/>
    <w:rsid w:val="005315E7"/>
    <w:rsid w:val="005318DC"/>
    <w:rsid w:val="0053332E"/>
    <w:rsid w:val="00534E30"/>
    <w:rsid w:val="00534E7E"/>
    <w:rsid w:val="00535CBD"/>
    <w:rsid w:val="00536E3A"/>
    <w:rsid w:val="0053739A"/>
    <w:rsid w:val="0053742C"/>
    <w:rsid w:val="00541B95"/>
    <w:rsid w:val="005422C8"/>
    <w:rsid w:val="00542990"/>
    <w:rsid w:val="00543425"/>
    <w:rsid w:val="00544130"/>
    <w:rsid w:val="005442DF"/>
    <w:rsid w:val="005443C9"/>
    <w:rsid w:val="0054596A"/>
    <w:rsid w:val="00545995"/>
    <w:rsid w:val="00547E14"/>
    <w:rsid w:val="0055046A"/>
    <w:rsid w:val="0055210C"/>
    <w:rsid w:val="00555967"/>
    <w:rsid w:val="00557752"/>
    <w:rsid w:val="0056072F"/>
    <w:rsid w:val="005607FD"/>
    <w:rsid w:val="00561A9A"/>
    <w:rsid w:val="00561B8A"/>
    <w:rsid w:val="00561E2C"/>
    <w:rsid w:val="005633C4"/>
    <w:rsid w:val="0056400C"/>
    <w:rsid w:val="0056438B"/>
    <w:rsid w:val="00564487"/>
    <w:rsid w:val="00564C3C"/>
    <w:rsid w:val="00565261"/>
    <w:rsid w:val="005665BC"/>
    <w:rsid w:val="00567CE9"/>
    <w:rsid w:val="005714B7"/>
    <w:rsid w:val="00571A73"/>
    <w:rsid w:val="005720C2"/>
    <w:rsid w:val="00572FF1"/>
    <w:rsid w:val="00575770"/>
    <w:rsid w:val="005762CB"/>
    <w:rsid w:val="00577600"/>
    <w:rsid w:val="00577864"/>
    <w:rsid w:val="00580381"/>
    <w:rsid w:val="00580E5D"/>
    <w:rsid w:val="00581068"/>
    <w:rsid w:val="005810D2"/>
    <w:rsid w:val="005818B2"/>
    <w:rsid w:val="00583CAF"/>
    <w:rsid w:val="00583E2C"/>
    <w:rsid w:val="00584B6A"/>
    <w:rsid w:val="00584DF7"/>
    <w:rsid w:val="00584F83"/>
    <w:rsid w:val="00586705"/>
    <w:rsid w:val="00586952"/>
    <w:rsid w:val="005871F5"/>
    <w:rsid w:val="00591B73"/>
    <w:rsid w:val="0059208E"/>
    <w:rsid w:val="005924E4"/>
    <w:rsid w:val="00592776"/>
    <w:rsid w:val="00593072"/>
    <w:rsid w:val="005942A7"/>
    <w:rsid w:val="00595887"/>
    <w:rsid w:val="005959FA"/>
    <w:rsid w:val="00597CB5"/>
    <w:rsid w:val="005A052B"/>
    <w:rsid w:val="005A4D13"/>
    <w:rsid w:val="005A524B"/>
    <w:rsid w:val="005A5FAE"/>
    <w:rsid w:val="005A6AA2"/>
    <w:rsid w:val="005B11BD"/>
    <w:rsid w:val="005B1330"/>
    <w:rsid w:val="005B3F76"/>
    <w:rsid w:val="005B4092"/>
    <w:rsid w:val="005B48E0"/>
    <w:rsid w:val="005B5323"/>
    <w:rsid w:val="005B62B3"/>
    <w:rsid w:val="005B7EDB"/>
    <w:rsid w:val="005C03B7"/>
    <w:rsid w:val="005C1648"/>
    <w:rsid w:val="005C1AD8"/>
    <w:rsid w:val="005C2C23"/>
    <w:rsid w:val="005C46E1"/>
    <w:rsid w:val="005C4AA6"/>
    <w:rsid w:val="005C53A6"/>
    <w:rsid w:val="005C543E"/>
    <w:rsid w:val="005C6B7E"/>
    <w:rsid w:val="005C714A"/>
    <w:rsid w:val="005D1136"/>
    <w:rsid w:val="005D164D"/>
    <w:rsid w:val="005D1CAE"/>
    <w:rsid w:val="005D338D"/>
    <w:rsid w:val="005D3CC0"/>
    <w:rsid w:val="005D62A1"/>
    <w:rsid w:val="005D7EE3"/>
    <w:rsid w:val="005E0648"/>
    <w:rsid w:val="005E0996"/>
    <w:rsid w:val="005E14F5"/>
    <w:rsid w:val="005E1FC7"/>
    <w:rsid w:val="005E29FC"/>
    <w:rsid w:val="005E3C3A"/>
    <w:rsid w:val="005E4BFD"/>
    <w:rsid w:val="005E5188"/>
    <w:rsid w:val="005E5385"/>
    <w:rsid w:val="005E6731"/>
    <w:rsid w:val="005E682F"/>
    <w:rsid w:val="005E6A45"/>
    <w:rsid w:val="005E6C1A"/>
    <w:rsid w:val="005E700E"/>
    <w:rsid w:val="005F12DD"/>
    <w:rsid w:val="005F13B5"/>
    <w:rsid w:val="005F17BB"/>
    <w:rsid w:val="005F2E49"/>
    <w:rsid w:val="005F2EC5"/>
    <w:rsid w:val="005F4216"/>
    <w:rsid w:val="005F576B"/>
    <w:rsid w:val="005F5DAD"/>
    <w:rsid w:val="005F6C02"/>
    <w:rsid w:val="006019CD"/>
    <w:rsid w:val="00603ED1"/>
    <w:rsid w:val="0060419D"/>
    <w:rsid w:val="00605757"/>
    <w:rsid w:val="00605B1E"/>
    <w:rsid w:val="00606858"/>
    <w:rsid w:val="00606F9B"/>
    <w:rsid w:val="00612912"/>
    <w:rsid w:val="0061336B"/>
    <w:rsid w:val="006133C8"/>
    <w:rsid w:val="0061355B"/>
    <w:rsid w:val="006154CA"/>
    <w:rsid w:val="00615CC1"/>
    <w:rsid w:val="00615F96"/>
    <w:rsid w:val="0061615D"/>
    <w:rsid w:val="00616EF3"/>
    <w:rsid w:val="00620044"/>
    <w:rsid w:val="006200B4"/>
    <w:rsid w:val="006203F0"/>
    <w:rsid w:val="00622944"/>
    <w:rsid w:val="00622E7D"/>
    <w:rsid w:val="0062418C"/>
    <w:rsid w:val="00624216"/>
    <w:rsid w:val="00624880"/>
    <w:rsid w:val="00627C4A"/>
    <w:rsid w:val="00631C1A"/>
    <w:rsid w:val="00631E6F"/>
    <w:rsid w:val="00632231"/>
    <w:rsid w:val="00634302"/>
    <w:rsid w:val="00636642"/>
    <w:rsid w:val="00640312"/>
    <w:rsid w:val="0064340C"/>
    <w:rsid w:val="0064390A"/>
    <w:rsid w:val="006440EA"/>
    <w:rsid w:val="00644ED9"/>
    <w:rsid w:val="00647090"/>
    <w:rsid w:val="00647E4B"/>
    <w:rsid w:val="006500B1"/>
    <w:rsid w:val="0065092A"/>
    <w:rsid w:val="0065096D"/>
    <w:rsid w:val="0065600F"/>
    <w:rsid w:val="00661131"/>
    <w:rsid w:val="006623A8"/>
    <w:rsid w:val="00662683"/>
    <w:rsid w:val="00665336"/>
    <w:rsid w:val="006653EE"/>
    <w:rsid w:val="0066614B"/>
    <w:rsid w:val="00667553"/>
    <w:rsid w:val="00670A16"/>
    <w:rsid w:val="0067177A"/>
    <w:rsid w:val="00671C72"/>
    <w:rsid w:val="00672042"/>
    <w:rsid w:val="00672B2C"/>
    <w:rsid w:val="0067767E"/>
    <w:rsid w:val="00677C3C"/>
    <w:rsid w:val="00680D3D"/>
    <w:rsid w:val="006828D2"/>
    <w:rsid w:val="00683750"/>
    <w:rsid w:val="0068475D"/>
    <w:rsid w:val="00685DB7"/>
    <w:rsid w:val="00686F3F"/>
    <w:rsid w:val="00687CD2"/>
    <w:rsid w:val="00690880"/>
    <w:rsid w:val="00691AAF"/>
    <w:rsid w:val="00692A3D"/>
    <w:rsid w:val="00693854"/>
    <w:rsid w:val="0069650A"/>
    <w:rsid w:val="006A00B3"/>
    <w:rsid w:val="006A084B"/>
    <w:rsid w:val="006A1593"/>
    <w:rsid w:val="006A3A23"/>
    <w:rsid w:val="006A4999"/>
    <w:rsid w:val="006A5083"/>
    <w:rsid w:val="006A54E1"/>
    <w:rsid w:val="006A6088"/>
    <w:rsid w:val="006A60DC"/>
    <w:rsid w:val="006B0757"/>
    <w:rsid w:val="006B0C4B"/>
    <w:rsid w:val="006B202B"/>
    <w:rsid w:val="006B329F"/>
    <w:rsid w:val="006B35D3"/>
    <w:rsid w:val="006B3EB8"/>
    <w:rsid w:val="006B445A"/>
    <w:rsid w:val="006B50E4"/>
    <w:rsid w:val="006B6497"/>
    <w:rsid w:val="006B65E3"/>
    <w:rsid w:val="006B6E63"/>
    <w:rsid w:val="006B733F"/>
    <w:rsid w:val="006C1448"/>
    <w:rsid w:val="006C2805"/>
    <w:rsid w:val="006C2E6D"/>
    <w:rsid w:val="006C37A6"/>
    <w:rsid w:val="006C37C1"/>
    <w:rsid w:val="006C48D5"/>
    <w:rsid w:val="006C5F43"/>
    <w:rsid w:val="006C5F96"/>
    <w:rsid w:val="006D0A06"/>
    <w:rsid w:val="006D0F43"/>
    <w:rsid w:val="006D0F80"/>
    <w:rsid w:val="006D1E07"/>
    <w:rsid w:val="006D6378"/>
    <w:rsid w:val="006D7D68"/>
    <w:rsid w:val="006E0226"/>
    <w:rsid w:val="006E13C7"/>
    <w:rsid w:val="006E1CC2"/>
    <w:rsid w:val="006E2998"/>
    <w:rsid w:val="006E36A9"/>
    <w:rsid w:val="006E50B1"/>
    <w:rsid w:val="006E525C"/>
    <w:rsid w:val="006E6243"/>
    <w:rsid w:val="006E6418"/>
    <w:rsid w:val="006E6AA6"/>
    <w:rsid w:val="006E7096"/>
    <w:rsid w:val="006E7F48"/>
    <w:rsid w:val="006F1BCC"/>
    <w:rsid w:val="006F1E21"/>
    <w:rsid w:val="006F1ECE"/>
    <w:rsid w:val="006F4625"/>
    <w:rsid w:val="006F4727"/>
    <w:rsid w:val="006F4CC4"/>
    <w:rsid w:val="006F53DF"/>
    <w:rsid w:val="006F5622"/>
    <w:rsid w:val="006F5C34"/>
    <w:rsid w:val="006F62D5"/>
    <w:rsid w:val="006F6464"/>
    <w:rsid w:val="006F66D4"/>
    <w:rsid w:val="006F732B"/>
    <w:rsid w:val="007003ED"/>
    <w:rsid w:val="007008D8"/>
    <w:rsid w:val="00700CA6"/>
    <w:rsid w:val="00700E9E"/>
    <w:rsid w:val="007027E6"/>
    <w:rsid w:val="00704513"/>
    <w:rsid w:val="00704AD9"/>
    <w:rsid w:val="00705706"/>
    <w:rsid w:val="00705768"/>
    <w:rsid w:val="0071175A"/>
    <w:rsid w:val="00711917"/>
    <w:rsid w:val="00711EA2"/>
    <w:rsid w:val="00711FFA"/>
    <w:rsid w:val="00712D12"/>
    <w:rsid w:val="00712FBE"/>
    <w:rsid w:val="0071561C"/>
    <w:rsid w:val="00716072"/>
    <w:rsid w:val="0071607C"/>
    <w:rsid w:val="00716D4E"/>
    <w:rsid w:val="00716F8A"/>
    <w:rsid w:val="007237C5"/>
    <w:rsid w:val="00726257"/>
    <w:rsid w:val="007306DA"/>
    <w:rsid w:val="00731DB3"/>
    <w:rsid w:val="007328A5"/>
    <w:rsid w:val="00733B15"/>
    <w:rsid w:val="00733BCA"/>
    <w:rsid w:val="00733D7A"/>
    <w:rsid w:val="0073426F"/>
    <w:rsid w:val="007343A1"/>
    <w:rsid w:val="0073447D"/>
    <w:rsid w:val="007346A1"/>
    <w:rsid w:val="00734823"/>
    <w:rsid w:val="00735975"/>
    <w:rsid w:val="00743CBF"/>
    <w:rsid w:val="00743FEA"/>
    <w:rsid w:val="00744FC7"/>
    <w:rsid w:val="007453A5"/>
    <w:rsid w:val="007455DE"/>
    <w:rsid w:val="00745790"/>
    <w:rsid w:val="00746853"/>
    <w:rsid w:val="00747CD3"/>
    <w:rsid w:val="00750371"/>
    <w:rsid w:val="00753060"/>
    <w:rsid w:val="00753C67"/>
    <w:rsid w:val="00755152"/>
    <w:rsid w:val="00755E08"/>
    <w:rsid w:val="00756305"/>
    <w:rsid w:val="00756799"/>
    <w:rsid w:val="0075701A"/>
    <w:rsid w:val="007570DA"/>
    <w:rsid w:val="00757ADC"/>
    <w:rsid w:val="00757FE7"/>
    <w:rsid w:val="00760766"/>
    <w:rsid w:val="00761AEF"/>
    <w:rsid w:val="00763D7A"/>
    <w:rsid w:val="0076572E"/>
    <w:rsid w:val="00765800"/>
    <w:rsid w:val="00766692"/>
    <w:rsid w:val="007667CB"/>
    <w:rsid w:val="007669A8"/>
    <w:rsid w:val="0076704E"/>
    <w:rsid w:val="00770BEF"/>
    <w:rsid w:val="00772680"/>
    <w:rsid w:val="007732EE"/>
    <w:rsid w:val="007743F7"/>
    <w:rsid w:val="007746EB"/>
    <w:rsid w:val="007757C5"/>
    <w:rsid w:val="00775B05"/>
    <w:rsid w:val="00775D28"/>
    <w:rsid w:val="00777E6C"/>
    <w:rsid w:val="007801CE"/>
    <w:rsid w:val="00780208"/>
    <w:rsid w:val="00781525"/>
    <w:rsid w:val="00782859"/>
    <w:rsid w:val="0078303E"/>
    <w:rsid w:val="00783332"/>
    <w:rsid w:val="00784A2D"/>
    <w:rsid w:val="00784C73"/>
    <w:rsid w:val="00785ABC"/>
    <w:rsid w:val="007860E1"/>
    <w:rsid w:val="00787213"/>
    <w:rsid w:val="007877F2"/>
    <w:rsid w:val="00793150"/>
    <w:rsid w:val="0079695D"/>
    <w:rsid w:val="00797E95"/>
    <w:rsid w:val="00797EBA"/>
    <w:rsid w:val="007A0EBC"/>
    <w:rsid w:val="007A2242"/>
    <w:rsid w:val="007A440A"/>
    <w:rsid w:val="007A5648"/>
    <w:rsid w:val="007A633D"/>
    <w:rsid w:val="007A6548"/>
    <w:rsid w:val="007A6A6B"/>
    <w:rsid w:val="007A6FB4"/>
    <w:rsid w:val="007B0425"/>
    <w:rsid w:val="007B17F7"/>
    <w:rsid w:val="007B1B82"/>
    <w:rsid w:val="007B1E13"/>
    <w:rsid w:val="007B306F"/>
    <w:rsid w:val="007B32C9"/>
    <w:rsid w:val="007B3ABF"/>
    <w:rsid w:val="007B4A15"/>
    <w:rsid w:val="007B4DE3"/>
    <w:rsid w:val="007B5081"/>
    <w:rsid w:val="007B6195"/>
    <w:rsid w:val="007B6908"/>
    <w:rsid w:val="007B7DFE"/>
    <w:rsid w:val="007C08EA"/>
    <w:rsid w:val="007C0CCC"/>
    <w:rsid w:val="007C1036"/>
    <w:rsid w:val="007C107C"/>
    <w:rsid w:val="007C2471"/>
    <w:rsid w:val="007C3213"/>
    <w:rsid w:val="007C3B0B"/>
    <w:rsid w:val="007C4013"/>
    <w:rsid w:val="007C6092"/>
    <w:rsid w:val="007C613D"/>
    <w:rsid w:val="007C6E00"/>
    <w:rsid w:val="007C6F42"/>
    <w:rsid w:val="007C6F8B"/>
    <w:rsid w:val="007C766A"/>
    <w:rsid w:val="007C7C92"/>
    <w:rsid w:val="007D268D"/>
    <w:rsid w:val="007D2AC7"/>
    <w:rsid w:val="007D4AC6"/>
    <w:rsid w:val="007D5EBD"/>
    <w:rsid w:val="007D6123"/>
    <w:rsid w:val="007D6891"/>
    <w:rsid w:val="007E02FF"/>
    <w:rsid w:val="007E1C15"/>
    <w:rsid w:val="007E2D65"/>
    <w:rsid w:val="007E2EA8"/>
    <w:rsid w:val="007E3314"/>
    <w:rsid w:val="007E3F5C"/>
    <w:rsid w:val="007E51D0"/>
    <w:rsid w:val="007E5B64"/>
    <w:rsid w:val="007F0E94"/>
    <w:rsid w:val="007F111D"/>
    <w:rsid w:val="007F138B"/>
    <w:rsid w:val="007F1888"/>
    <w:rsid w:val="007F33DF"/>
    <w:rsid w:val="007F3A22"/>
    <w:rsid w:val="007F4956"/>
    <w:rsid w:val="007F511B"/>
    <w:rsid w:val="007F5FC6"/>
    <w:rsid w:val="007F6FE7"/>
    <w:rsid w:val="007F79DE"/>
    <w:rsid w:val="007F7AAF"/>
    <w:rsid w:val="007F7C16"/>
    <w:rsid w:val="007F7FB4"/>
    <w:rsid w:val="00802D1D"/>
    <w:rsid w:val="008048A2"/>
    <w:rsid w:val="00804B30"/>
    <w:rsid w:val="00804E01"/>
    <w:rsid w:val="00804F30"/>
    <w:rsid w:val="0080566E"/>
    <w:rsid w:val="008060C2"/>
    <w:rsid w:val="0080736C"/>
    <w:rsid w:val="0080761C"/>
    <w:rsid w:val="008102F8"/>
    <w:rsid w:val="00810B1C"/>
    <w:rsid w:val="00811AC2"/>
    <w:rsid w:val="0081203E"/>
    <w:rsid w:val="00812082"/>
    <w:rsid w:val="008129EB"/>
    <w:rsid w:val="00813A7A"/>
    <w:rsid w:val="00813EAE"/>
    <w:rsid w:val="00813EC1"/>
    <w:rsid w:val="008152D0"/>
    <w:rsid w:val="00816DF4"/>
    <w:rsid w:val="00820FE7"/>
    <w:rsid w:val="00822220"/>
    <w:rsid w:val="008235BC"/>
    <w:rsid w:val="00825E09"/>
    <w:rsid w:val="00830C77"/>
    <w:rsid w:val="00831345"/>
    <w:rsid w:val="008313E7"/>
    <w:rsid w:val="00831591"/>
    <w:rsid w:val="00831E73"/>
    <w:rsid w:val="00831FA7"/>
    <w:rsid w:val="00832B78"/>
    <w:rsid w:val="00833047"/>
    <w:rsid w:val="00833926"/>
    <w:rsid w:val="00833F08"/>
    <w:rsid w:val="008362E0"/>
    <w:rsid w:val="00836B7B"/>
    <w:rsid w:val="008372EB"/>
    <w:rsid w:val="00837BAC"/>
    <w:rsid w:val="00841799"/>
    <w:rsid w:val="00841842"/>
    <w:rsid w:val="00842919"/>
    <w:rsid w:val="00843D17"/>
    <w:rsid w:val="00844790"/>
    <w:rsid w:val="00845830"/>
    <w:rsid w:val="00845EF4"/>
    <w:rsid w:val="00846BD2"/>
    <w:rsid w:val="00847F46"/>
    <w:rsid w:val="0085068D"/>
    <w:rsid w:val="00850D73"/>
    <w:rsid w:val="0085113F"/>
    <w:rsid w:val="008525A8"/>
    <w:rsid w:val="008542A6"/>
    <w:rsid w:val="0085432D"/>
    <w:rsid w:val="008549B9"/>
    <w:rsid w:val="00856CA8"/>
    <w:rsid w:val="008573F4"/>
    <w:rsid w:val="00857FE2"/>
    <w:rsid w:val="00860A2C"/>
    <w:rsid w:val="00862911"/>
    <w:rsid w:val="008650E7"/>
    <w:rsid w:val="0086517E"/>
    <w:rsid w:val="00865D8F"/>
    <w:rsid w:val="0086658A"/>
    <w:rsid w:val="0086786C"/>
    <w:rsid w:val="008702F7"/>
    <w:rsid w:val="00871A18"/>
    <w:rsid w:val="008722D4"/>
    <w:rsid w:val="00873468"/>
    <w:rsid w:val="00873CEB"/>
    <w:rsid w:val="0087455A"/>
    <w:rsid w:val="00874579"/>
    <w:rsid w:val="00875844"/>
    <w:rsid w:val="008760AB"/>
    <w:rsid w:val="00877A6D"/>
    <w:rsid w:val="00880118"/>
    <w:rsid w:val="00882FEA"/>
    <w:rsid w:val="00883505"/>
    <w:rsid w:val="00883776"/>
    <w:rsid w:val="00883F2F"/>
    <w:rsid w:val="00884480"/>
    <w:rsid w:val="00885395"/>
    <w:rsid w:val="00885572"/>
    <w:rsid w:val="0088568C"/>
    <w:rsid w:val="0089094D"/>
    <w:rsid w:val="008918E3"/>
    <w:rsid w:val="00892A5D"/>
    <w:rsid w:val="00892B18"/>
    <w:rsid w:val="008937D7"/>
    <w:rsid w:val="008943AE"/>
    <w:rsid w:val="00894510"/>
    <w:rsid w:val="008946DE"/>
    <w:rsid w:val="008948AC"/>
    <w:rsid w:val="0089492F"/>
    <w:rsid w:val="00894BA1"/>
    <w:rsid w:val="00895608"/>
    <w:rsid w:val="008966E2"/>
    <w:rsid w:val="00896CFB"/>
    <w:rsid w:val="008A05A2"/>
    <w:rsid w:val="008A186D"/>
    <w:rsid w:val="008A22F6"/>
    <w:rsid w:val="008A29CC"/>
    <w:rsid w:val="008A3CE7"/>
    <w:rsid w:val="008A4963"/>
    <w:rsid w:val="008A57D5"/>
    <w:rsid w:val="008A5D65"/>
    <w:rsid w:val="008A60D3"/>
    <w:rsid w:val="008A6484"/>
    <w:rsid w:val="008B0B31"/>
    <w:rsid w:val="008B123D"/>
    <w:rsid w:val="008B1E45"/>
    <w:rsid w:val="008B27A4"/>
    <w:rsid w:val="008B46FE"/>
    <w:rsid w:val="008B50B4"/>
    <w:rsid w:val="008B6C54"/>
    <w:rsid w:val="008B73E6"/>
    <w:rsid w:val="008B75B8"/>
    <w:rsid w:val="008C01B2"/>
    <w:rsid w:val="008C08AE"/>
    <w:rsid w:val="008C171A"/>
    <w:rsid w:val="008C1738"/>
    <w:rsid w:val="008C295E"/>
    <w:rsid w:val="008C3893"/>
    <w:rsid w:val="008C40E0"/>
    <w:rsid w:val="008C6E2A"/>
    <w:rsid w:val="008C723E"/>
    <w:rsid w:val="008D01B5"/>
    <w:rsid w:val="008D05D8"/>
    <w:rsid w:val="008D120F"/>
    <w:rsid w:val="008D1818"/>
    <w:rsid w:val="008D1B18"/>
    <w:rsid w:val="008D37DD"/>
    <w:rsid w:val="008D4F82"/>
    <w:rsid w:val="008D51C4"/>
    <w:rsid w:val="008D5DE1"/>
    <w:rsid w:val="008D6673"/>
    <w:rsid w:val="008D6D22"/>
    <w:rsid w:val="008D6EFE"/>
    <w:rsid w:val="008E0684"/>
    <w:rsid w:val="008E2AC4"/>
    <w:rsid w:val="008E317E"/>
    <w:rsid w:val="008E3493"/>
    <w:rsid w:val="008E36FE"/>
    <w:rsid w:val="008E42B4"/>
    <w:rsid w:val="008E56DE"/>
    <w:rsid w:val="008E68F0"/>
    <w:rsid w:val="008E6D44"/>
    <w:rsid w:val="008E70C9"/>
    <w:rsid w:val="008F1F19"/>
    <w:rsid w:val="008F46F8"/>
    <w:rsid w:val="008F593A"/>
    <w:rsid w:val="008F5F8C"/>
    <w:rsid w:val="008F646B"/>
    <w:rsid w:val="00903ADE"/>
    <w:rsid w:val="00904313"/>
    <w:rsid w:val="0090586B"/>
    <w:rsid w:val="0090630A"/>
    <w:rsid w:val="0091017A"/>
    <w:rsid w:val="0091097E"/>
    <w:rsid w:val="009110CA"/>
    <w:rsid w:val="009114C8"/>
    <w:rsid w:val="009148FB"/>
    <w:rsid w:val="009155A7"/>
    <w:rsid w:val="00916EAB"/>
    <w:rsid w:val="00917AEF"/>
    <w:rsid w:val="00920BC2"/>
    <w:rsid w:val="00921F96"/>
    <w:rsid w:val="00923980"/>
    <w:rsid w:val="009256D8"/>
    <w:rsid w:val="00926114"/>
    <w:rsid w:val="00926609"/>
    <w:rsid w:val="0092683D"/>
    <w:rsid w:val="009268EF"/>
    <w:rsid w:val="009271A0"/>
    <w:rsid w:val="009307C2"/>
    <w:rsid w:val="0093135E"/>
    <w:rsid w:val="009315C8"/>
    <w:rsid w:val="00932A2E"/>
    <w:rsid w:val="00933498"/>
    <w:rsid w:val="00934673"/>
    <w:rsid w:val="009417CA"/>
    <w:rsid w:val="00941F64"/>
    <w:rsid w:val="009420C7"/>
    <w:rsid w:val="00942385"/>
    <w:rsid w:val="00944D44"/>
    <w:rsid w:val="0094616F"/>
    <w:rsid w:val="00946553"/>
    <w:rsid w:val="0095003D"/>
    <w:rsid w:val="009503D3"/>
    <w:rsid w:val="00951395"/>
    <w:rsid w:val="00952365"/>
    <w:rsid w:val="009527BA"/>
    <w:rsid w:val="00953FFC"/>
    <w:rsid w:val="00956B4C"/>
    <w:rsid w:val="00957737"/>
    <w:rsid w:val="00960967"/>
    <w:rsid w:val="00960D93"/>
    <w:rsid w:val="00962668"/>
    <w:rsid w:val="00962B34"/>
    <w:rsid w:val="00963777"/>
    <w:rsid w:val="00963A0B"/>
    <w:rsid w:val="00963B7C"/>
    <w:rsid w:val="00965D73"/>
    <w:rsid w:val="00970041"/>
    <w:rsid w:val="009717C1"/>
    <w:rsid w:val="00972E09"/>
    <w:rsid w:val="0097357B"/>
    <w:rsid w:val="009744ED"/>
    <w:rsid w:val="00974B1D"/>
    <w:rsid w:val="00975E4A"/>
    <w:rsid w:val="00977669"/>
    <w:rsid w:val="00977D6C"/>
    <w:rsid w:val="00977FCE"/>
    <w:rsid w:val="009811A8"/>
    <w:rsid w:val="00982A7E"/>
    <w:rsid w:val="00982CE4"/>
    <w:rsid w:val="009865E6"/>
    <w:rsid w:val="00986976"/>
    <w:rsid w:val="0098710F"/>
    <w:rsid w:val="00987254"/>
    <w:rsid w:val="0098753C"/>
    <w:rsid w:val="009903B8"/>
    <w:rsid w:val="00990BBF"/>
    <w:rsid w:val="00991F31"/>
    <w:rsid w:val="009939FA"/>
    <w:rsid w:val="00993D90"/>
    <w:rsid w:val="00997327"/>
    <w:rsid w:val="0099777B"/>
    <w:rsid w:val="009A0657"/>
    <w:rsid w:val="009A0D77"/>
    <w:rsid w:val="009A14F1"/>
    <w:rsid w:val="009A1612"/>
    <w:rsid w:val="009A190E"/>
    <w:rsid w:val="009A1F59"/>
    <w:rsid w:val="009A3100"/>
    <w:rsid w:val="009A3B2D"/>
    <w:rsid w:val="009A4E41"/>
    <w:rsid w:val="009A6258"/>
    <w:rsid w:val="009A63D1"/>
    <w:rsid w:val="009A7157"/>
    <w:rsid w:val="009A74EA"/>
    <w:rsid w:val="009B0099"/>
    <w:rsid w:val="009B0468"/>
    <w:rsid w:val="009B0D82"/>
    <w:rsid w:val="009B132F"/>
    <w:rsid w:val="009B154F"/>
    <w:rsid w:val="009B17C6"/>
    <w:rsid w:val="009B2AA9"/>
    <w:rsid w:val="009B2C1D"/>
    <w:rsid w:val="009B2D43"/>
    <w:rsid w:val="009B3215"/>
    <w:rsid w:val="009C2330"/>
    <w:rsid w:val="009C322C"/>
    <w:rsid w:val="009C3B8C"/>
    <w:rsid w:val="009C3FD6"/>
    <w:rsid w:val="009C4522"/>
    <w:rsid w:val="009C6040"/>
    <w:rsid w:val="009C63E0"/>
    <w:rsid w:val="009C7CBF"/>
    <w:rsid w:val="009C7EDC"/>
    <w:rsid w:val="009D026F"/>
    <w:rsid w:val="009D234D"/>
    <w:rsid w:val="009D2450"/>
    <w:rsid w:val="009D2565"/>
    <w:rsid w:val="009D4B0E"/>
    <w:rsid w:val="009D4EF6"/>
    <w:rsid w:val="009D59EE"/>
    <w:rsid w:val="009D69EE"/>
    <w:rsid w:val="009D703A"/>
    <w:rsid w:val="009E02A5"/>
    <w:rsid w:val="009E0F1B"/>
    <w:rsid w:val="009E1DFB"/>
    <w:rsid w:val="009E206D"/>
    <w:rsid w:val="009E2D7C"/>
    <w:rsid w:val="009E3102"/>
    <w:rsid w:val="009E3EFF"/>
    <w:rsid w:val="009E5949"/>
    <w:rsid w:val="009E7A12"/>
    <w:rsid w:val="009E7C95"/>
    <w:rsid w:val="009E7DBD"/>
    <w:rsid w:val="009E7E90"/>
    <w:rsid w:val="009F1496"/>
    <w:rsid w:val="009F2203"/>
    <w:rsid w:val="009F2C23"/>
    <w:rsid w:val="009F36D4"/>
    <w:rsid w:val="009F3BD5"/>
    <w:rsid w:val="009F448A"/>
    <w:rsid w:val="009F4DF8"/>
    <w:rsid w:val="009F6007"/>
    <w:rsid w:val="009F6A8B"/>
    <w:rsid w:val="009F6F88"/>
    <w:rsid w:val="00A023BD"/>
    <w:rsid w:val="00A0334D"/>
    <w:rsid w:val="00A03403"/>
    <w:rsid w:val="00A0522E"/>
    <w:rsid w:val="00A052AE"/>
    <w:rsid w:val="00A056C0"/>
    <w:rsid w:val="00A06D95"/>
    <w:rsid w:val="00A07CEC"/>
    <w:rsid w:val="00A07D5D"/>
    <w:rsid w:val="00A111AB"/>
    <w:rsid w:val="00A11562"/>
    <w:rsid w:val="00A1264D"/>
    <w:rsid w:val="00A12C9B"/>
    <w:rsid w:val="00A12E38"/>
    <w:rsid w:val="00A1321B"/>
    <w:rsid w:val="00A13230"/>
    <w:rsid w:val="00A13D4F"/>
    <w:rsid w:val="00A14238"/>
    <w:rsid w:val="00A14D7E"/>
    <w:rsid w:val="00A15109"/>
    <w:rsid w:val="00A15753"/>
    <w:rsid w:val="00A17E3E"/>
    <w:rsid w:val="00A20189"/>
    <w:rsid w:val="00A219E6"/>
    <w:rsid w:val="00A2343B"/>
    <w:rsid w:val="00A24F46"/>
    <w:rsid w:val="00A257EA"/>
    <w:rsid w:val="00A30105"/>
    <w:rsid w:val="00A30B47"/>
    <w:rsid w:val="00A31721"/>
    <w:rsid w:val="00A33BD4"/>
    <w:rsid w:val="00A33BF4"/>
    <w:rsid w:val="00A341B8"/>
    <w:rsid w:val="00A35717"/>
    <w:rsid w:val="00A35BA2"/>
    <w:rsid w:val="00A368DE"/>
    <w:rsid w:val="00A373CC"/>
    <w:rsid w:val="00A43842"/>
    <w:rsid w:val="00A455D6"/>
    <w:rsid w:val="00A45A5D"/>
    <w:rsid w:val="00A500E1"/>
    <w:rsid w:val="00A524A1"/>
    <w:rsid w:val="00A52A39"/>
    <w:rsid w:val="00A52AD8"/>
    <w:rsid w:val="00A55513"/>
    <w:rsid w:val="00A56433"/>
    <w:rsid w:val="00A56A24"/>
    <w:rsid w:val="00A57967"/>
    <w:rsid w:val="00A6094E"/>
    <w:rsid w:val="00A60F57"/>
    <w:rsid w:val="00A60F77"/>
    <w:rsid w:val="00A62DF2"/>
    <w:rsid w:val="00A637CC"/>
    <w:rsid w:val="00A638A1"/>
    <w:rsid w:val="00A63EB6"/>
    <w:rsid w:val="00A641E9"/>
    <w:rsid w:val="00A64405"/>
    <w:rsid w:val="00A65306"/>
    <w:rsid w:val="00A65F7F"/>
    <w:rsid w:val="00A703F7"/>
    <w:rsid w:val="00A71257"/>
    <w:rsid w:val="00A7270B"/>
    <w:rsid w:val="00A72821"/>
    <w:rsid w:val="00A729D4"/>
    <w:rsid w:val="00A729F6"/>
    <w:rsid w:val="00A74087"/>
    <w:rsid w:val="00A7442E"/>
    <w:rsid w:val="00A74B64"/>
    <w:rsid w:val="00A74BB0"/>
    <w:rsid w:val="00A7677A"/>
    <w:rsid w:val="00A77247"/>
    <w:rsid w:val="00A774FD"/>
    <w:rsid w:val="00A77722"/>
    <w:rsid w:val="00A77F61"/>
    <w:rsid w:val="00A80103"/>
    <w:rsid w:val="00A802CC"/>
    <w:rsid w:val="00A807C5"/>
    <w:rsid w:val="00A81854"/>
    <w:rsid w:val="00A8194D"/>
    <w:rsid w:val="00A81E03"/>
    <w:rsid w:val="00A831DC"/>
    <w:rsid w:val="00A83718"/>
    <w:rsid w:val="00A863A1"/>
    <w:rsid w:val="00A8689E"/>
    <w:rsid w:val="00A879A3"/>
    <w:rsid w:val="00A906AD"/>
    <w:rsid w:val="00A90771"/>
    <w:rsid w:val="00A91CF2"/>
    <w:rsid w:val="00A925F2"/>
    <w:rsid w:val="00A92715"/>
    <w:rsid w:val="00A927B7"/>
    <w:rsid w:val="00A97275"/>
    <w:rsid w:val="00AA0AF6"/>
    <w:rsid w:val="00AA13D0"/>
    <w:rsid w:val="00AA222F"/>
    <w:rsid w:val="00AA2422"/>
    <w:rsid w:val="00AA29FA"/>
    <w:rsid w:val="00AA6E1F"/>
    <w:rsid w:val="00AB0EC0"/>
    <w:rsid w:val="00AB1186"/>
    <w:rsid w:val="00AB1B28"/>
    <w:rsid w:val="00AB273D"/>
    <w:rsid w:val="00AB2B3C"/>
    <w:rsid w:val="00AB2FDF"/>
    <w:rsid w:val="00AB42B4"/>
    <w:rsid w:val="00AB5700"/>
    <w:rsid w:val="00AB6813"/>
    <w:rsid w:val="00AC0878"/>
    <w:rsid w:val="00AC1283"/>
    <w:rsid w:val="00AC140F"/>
    <w:rsid w:val="00AC23F1"/>
    <w:rsid w:val="00AC260B"/>
    <w:rsid w:val="00AC2AB3"/>
    <w:rsid w:val="00AC2D7D"/>
    <w:rsid w:val="00AC548E"/>
    <w:rsid w:val="00AC6BA0"/>
    <w:rsid w:val="00AC6BC3"/>
    <w:rsid w:val="00AD2383"/>
    <w:rsid w:val="00AD2716"/>
    <w:rsid w:val="00AD3CD8"/>
    <w:rsid w:val="00AD4554"/>
    <w:rsid w:val="00AD5D94"/>
    <w:rsid w:val="00AD6845"/>
    <w:rsid w:val="00AD73EF"/>
    <w:rsid w:val="00AD75FB"/>
    <w:rsid w:val="00AE0028"/>
    <w:rsid w:val="00AE0393"/>
    <w:rsid w:val="00AE0E28"/>
    <w:rsid w:val="00AE3AC7"/>
    <w:rsid w:val="00AE3C19"/>
    <w:rsid w:val="00AE3D6D"/>
    <w:rsid w:val="00AE4121"/>
    <w:rsid w:val="00AE4EB6"/>
    <w:rsid w:val="00AE72DA"/>
    <w:rsid w:val="00AF1863"/>
    <w:rsid w:val="00AF1C02"/>
    <w:rsid w:val="00AF2CA0"/>
    <w:rsid w:val="00AF2D78"/>
    <w:rsid w:val="00AF35EE"/>
    <w:rsid w:val="00AF3606"/>
    <w:rsid w:val="00AF410B"/>
    <w:rsid w:val="00AF44E2"/>
    <w:rsid w:val="00AF5579"/>
    <w:rsid w:val="00AF62A7"/>
    <w:rsid w:val="00AF63D5"/>
    <w:rsid w:val="00AF6857"/>
    <w:rsid w:val="00AF6A2C"/>
    <w:rsid w:val="00B003AA"/>
    <w:rsid w:val="00B01779"/>
    <w:rsid w:val="00B02317"/>
    <w:rsid w:val="00B02C62"/>
    <w:rsid w:val="00B030FF"/>
    <w:rsid w:val="00B0319C"/>
    <w:rsid w:val="00B03FA0"/>
    <w:rsid w:val="00B03FE3"/>
    <w:rsid w:val="00B04288"/>
    <w:rsid w:val="00B04C6E"/>
    <w:rsid w:val="00B04D22"/>
    <w:rsid w:val="00B05737"/>
    <w:rsid w:val="00B0767C"/>
    <w:rsid w:val="00B07E91"/>
    <w:rsid w:val="00B10829"/>
    <w:rsid w:val="00B10FB2"/>
    <w:rsid w:val="00B1103C"/>
    <w:rsid w:val="00B114D5"/>
    <w:rsid w:val="00B14F47"/>
    <w:rsid w:val="00B17BF5"/>
    <w:rsid w:val="00B20F6E"/>
    <w:rsid w:val="00B21C32"/>
    <w:rsid w:val="00B22857"/>
    <w:rsid w:val="00B23FEA"/>
    <w:rsid w:val="00B25478"/>
    <w:rsid w:val="00B259AE"/>
    <w:rsid w:val="00B263FE"/>
    <w:rsid w:val="00B26F3B"/>
    <w:rsid w:val="00B272E1"/>
    <w:rsid w:val="00B277DD"/>
    <w:rsid w:val="00B3045E"/>
    <w:rsid w:val="00B3075E"/>
    <w:rsid w:val="00B30E48"/>
    <w:rsid w:val="00B31833"/>
    <w:rsid w:val="00B33E74"/>
    <w:rsid w:val="00B33F88"/>
    <w:rsid w:val="00B3485D"/>
    <w:rsid w:val="00B35C9A"/>
    <w:rsid w:val="00B3607F"/>
    <w:rsid w:val="00B36919"/>
    <w:rsid w:val="00B3703C"/>
    <w:rsid w:val="00B37142"/>
    <w:rsid w:val="00B37E16"/>
    <w:rsid w:val="00B406FF"/>
    <w:rsid w:val="00B42199"/>
    <w:rsid w:val="00B43B2A"/>
    <w:rsid w:val="00B43D4D"/>
    <w:rsid w:val="00B4440A"/>
    <w:rsid w:val="00B44986"/>
    <w:rsid w:val="00B45A76"/>
    <w:rsid w:val="00B4656A"/>
    <w:rsid w:val="00B46E0F"/>
    <w:rsid w:val="00B50816"/>
    <w:rsid w:val="00B50ECF"/>
    <w:rsid w:val="00B518DE"/>
    <w:rsid w:val="00B526C3"/>
    <w:rsid w:val="00B53B46"/>
    <w:rsid w:val="00B54F9F"/>
    <w:rsid w:val="00B556D9"/>
    <w:rsid w:val="00B56604"/>
    <w:rsid w:val="00B5723A"/>
    <w:rsid w:val="00B57C5F"/>
    <w:rsid w:val="00B57EFA"/>
    <w:rsid w:val="00B60A50"/>
    <w:rsid w:val="00B6152D"/>
    <w:rsid w:val="00B639E4"/>
    <w:rsid w:val="00B63C11"/>
    <w:rsid w:val="00B646CA"/>
    <w:rsid w:val="00B64B78"/>
    <w:rsid w:val="00B657B5"/>
    <w:rsid w:val="00B65BA5"/>
    <w:rsid w:val="00B72688"/>
    <w:rsid w:val="00B72EA9"/>
    <w:rsid w:val="00B74044"/>
    <w:rsid w:val="00B7472C"/>
    <w:rsid w:val="00B7480B"/>
    <w:rsid w:val="00B74ADE"/>
    <w:rsid w:val="00B7734D"/>
    <w:rsid w:val="00B778EA"/>
    <w:rsid w:val="00B80E7E"/>
    <w:rsid w:val="00B81E72"/>
    <w:rsid w:val="00B82037"/>
    <w:rsid w:val="00B83BE1"/>
    <w:rsid w:val="00B85026"/>
    <w:rsid w:val="00B866F9"/>
    <w:rsid w:val="00B87DF0"/>
    <w:rsid w:val="00B90E30"/>
    <w:rsid w:val="00B9144A"/>
    <w:rsid w:val="00B91A61"/>
    <w:rsid w:val="00B91F25"/>
    <w:rsid w:val="00B92551"/>
    <w:rsid w:val="00B93FC7"/>
    <w:rsid w:val="00B95714"/>
    <w:rsid w:val="00B96F30"/>
    <w:rsid w:val="00B97746"/>
    <w:rsid w:val="00B97E76"/>
    <w:rsid w:val="00BA111B"/>
    <w:rsid w:val="00BA120C"/>
    <w:rsid w:val="00BA291C"/>
    <w:rsid w:val="00BA2D02"/>
    <w:rsid w:val="00BA2E57"/>
    <w:rsid w:val="00BA3348"/>
    <w:rsid w:val="00BA4506"/>
    <w:rsid w:val="00BA4C77"/>
    <w:rsid w:val="00BA5587"/>
    <w:rsid w:val="00BA6EDB"/>
    <w:rsid w:val="00BA7C98"/>
    <w:rsid w:val="00BB29B0"/>
    <w:rsid w:val="00BB4160"/>
    <w:rsid w:val="00BB51FE"/>
    <w:rsid w:val="00BB6548"/>
    <w:rsid w:val="00BB731B"/>
    <w:rsid w:val="00BC1A3C"/>
    <w:rsid w:val="00BC2581"/>
    <w:rsid w:val="00BC2721"/>
    <w:rsid w:val="00BC2CB6"/>
    <w:rsid w:val="00BC311D"/>
    <w:rsid w:val="00BC32A9"/>
    <w:rsid w:val="00BC335B"/>
    <w:rsid w:val="00BC3BA9"/>
    <w:rsid w:val="00BC4F81"/>
    <w:rsid w:val="00BC55DC"/>
    <w:rsid w:val="00BC5C53"/>
    <w:rsid w:val="00BC72B5"/>
    <w:rsid w:val="00BC72F5"/>
    <w:rsid w:val="00BD0360"/>
    <w:rsid w:val="00BD086B"/>
    <w:rsid w:val="00BD1926"/>
    <w:rsid w:val="00BD2E06"/>
    <w:rsid w:val="00BD421F"/>
    <w:rsid w:val="00BD47B5"/>
    <w:rsid w:val="00BD6E7F"/>
    <w:rsid w:val="00BE0140"/>
    <w:rsid w:val="00BE2637"/>
    <w:rsid w:val="00BE47A9"/>
    <w:rsid w:val="00BE5D8E"/>
    <w:rsid w:val="00BE63F8"/>
    <w:rsid w:val="00BE640C"/>
    <w:rsid w:val="00BF0821"/>
    <w:rsid w:val="00BF08F4"/>
    <w:rsid w:val="00BF1754"/>
    <w:rsid w:val="00BF2828"/>
    <w:rsid w:val="00BF2D50"/>
    <w:rsid w:val="00BF462C"/>
    <w:rsid w:val="00BF504A"/>
    <w:rsid w:val="00BF699F"/>
    <w:rsid w:val="00BF7227"/>
    <w:rsid w:val="00C00369"/>
    <w:rsid w:val="00C0180A"/>
    <w:rsid w:val="00C0270B"/>
    <w:rsid w:val="00C02CE0"/>
    <w:rsid w:val="00C02E56"/>
    <w:rsid w:val="00C037CC"/>
    <w:rsid w:val="00C04696"/>
    <w:rsid w:val="00C049BE"/>
    <w:rsid w:val="00C05E34"/>
    <w:rsid w:val="00C05E4A"/>
    <w:rsid w:val="00C07B98"/>
    <w:rsid w:val="00C107BA"/>
    <w:rsid w:val="00C11BDF"/>
    <w:rsid w:val="00C126AC"/>
    <w:rsid w:val="00C12C75"/>
    <w:rsid w:val="00C13B3F"/>
    <w:rsid w:val="00C13D87"/>
    <w:rsid w:val="00C14735"/>
    <w:rsid w:val="00C14832"/>
    <w:rsid w:val="00C14E37"/>
    <w:rsid w:val="00C1581C"/>
    <w:rsid w:val="00C16C32"/>
    <w:rsid w:val="00C17165"/>
    <w:rsid w:val="00C1725F"/>
    <w:rsid w:val="00C1735C"/>
    <w:rsid w:val="00C207C8"/>
    <w:rsid w:val="00C21189"/>
    <w:rsid w:val="00C214BD"/>
    <w:rsid w:val="00C226FE"/>
    <w:rsid w:val="00C22AC9"/>
    <w:rsid w:val="00C22B74"/>
    <w:rsid w:val="00C230CE"/>
    <w:rsid w:val="00C23BD2"/>
    <w:rsid w:val="00C24FBA"/>
    <w:rsid w:val="00C26E14"/>
    <w:rsid w:val="00C27DE3"/>
    <w:rsid w:val="00C3060B"/>
    <w:rsid w:val="00C30C02"/>
    <w:rsid w:val="00C31EB5"/>
    <w:rsid w:val="00C328F0"/>
    <w:rsid w:val="00C32B97"/>
    <w:rsid w:val="00C32D5C"/>
    <w:rsid w:val="00C34059"/>
    <w:rsid w:val="00C34B65"/>
    <w:rsid w:val="00C34C79"/>
    <w:rsid w:val="00C35C2A"/>
    <w:rsid w:val="00C365A5"/>
    <w:rsid w:val="00C36A8A"/>
    <w:rsid w:val="00C407CA"/>
    <w:rsid w:val="00C40B0B"/>
    <w:rsid w:val="00C41CD9"/>
    <w:rsid w:val="00C42A7A"/>
    <w:rsid w:val="00C44B54"/>
    <w:rsid w:val="00C45071"/>
    <w:rsid w:val="00C468AD"/>
    <w:rsid w:val="00C50187"/>
    <w:rsid w:val="00C50545"/>
    <w:rsid w:val="00C52C7C"/>
    <w:rsid w:val="00C53940"/>
    <w:rsid w:val="00C559A7"/>
    <w:rsid w:val="00C56B1B"/>
    <w:rsid w:val="00C60295"/>
    <w:rsid w:val="00C602AE"/>
    <w:rsid w:val="00C618FC"/>
    <w:rsid w:val="00C63530"/>
    <w:rsid w:val="00C64938"/>
    <w:rsid w:val="00C64BE8"/>
    <w:rsid w:val="00C66AFD"/>
    <w:rsid w:val="00C66D57"/>
    <w:rsid w:val="00C71F6D"/>
    <w:rsid w:val="00C72674"/>
    <w:rsid w:val="00C72EDF"/>
    <w:rsid w:val="00C72F18"/>
    <w:rsid w:val="00C74CB3"/>
    <w:rsid w:val="00C74EFC"/>
    <w:rsid w:val="00C80D23"/>
    <w:rsid w:val="00C8165E"/>
    <w:rsid w:val="00C81767"/>
    <w:rsid w:val="00C8320D"/>
    <w:rsid w:val="00C84661"/>
    <w:rsid w:val="00C851E4"/>
    <w:rsid w:val="00C86035"/>
    <w:rsid w:val="00C8615F"/>
    <w:rsid w:val="00C87B90"/>
    <w:rsid w:val="00C90366"/>
    <w:rsid w:val="00C90D65"/>
    <w:rsid w:val="00C91969"/>
    <w:rsid w:val="00C924B0"/>
    <w:rsid w:val="00C92F47"/>
    <w:rsid w:val="00C935A3"/>
    <w:rsid w:val="00C936C7"/>
    <w:rsid w:val="00C95162"/>
    <w:rsid w:val="00CA0BA0"/>
    <w:rsid w:val="00CA0D1C"/>
    <w:rsid w:val="00CA3440"/>
    <w:rsid w:val="00CA3BF8"/>
    <w:rsid w:val="00CA481B"/>
    <w:rsid w:val="00CA5C4F"/>
    <w:rsid w:val="00CA5FE6"/>
    <w:rsid w:val="00CA6DA3"/>
    <w:rsid w:val="00CB2623"/>
    <w:rsid w:val="00CB5EFB"/>
    <w:rsid w:val="00CB6470"/>
    <w:rsid w:val="00CB7001"/>
    <w:rsid w:val="00CB77A7"/>
    <w:rsid w:val="00CC073D"/>
    <w:rsid w:val="00CC0C91"/>
    <w:rsid w:val="00CC3F68"/>
    <w:rsid w:val="00CC4709"/>
    <w:rsid w:val="00CC552C"/>
    <w:rsid w:val="00CC65C6"/>
    <w:rsid w:val="00CC68E7"/>
    <w:rsid w:val="00CC69AC"/>
    <w:rsid w:val="00CC79A8"/>
    <w:rsid w:val="00CD0D57"/>
    <w:rsid w:val="00CD1C9B"/>
    <w:rsid w:val="00CD2021"/>
    <w:rsid w:val="00CD252B"/>
    <w:rsid w:val="00CD256F"/>
    <w:rsid w:val="00CD3859"/>
    <w:rsid w:val="00CD3C03"/>
    <w:rsid w:val="00CD4128"/>
    <w:rsid w:val="00CD4E12"/>
    <w:rsid w:val="00CD5CD6"/>
    <w:rsid w:val="00CD64C3"/>
    <w:rsid w:val="00CD7BF5"/>
    <w:rsid w:val="00CE1A32"/>
    <w:rsid w:val="00CE1B41"/>
    <w:rsid w:val="00CE1C87"/>
    <w:rsid w:val="00CE220E"/>
    <w:rsid w:val="00CE2366"/>
    <w:rsid w:val="00CE56B2"/>
    <w:rsid w:val="00CE5C82"/>
    <w:rsid w:val="00CF0DB8"/>
    <w:rsid w:val="00CF130E"/>
    <w:rsid w:val="00CF28C8"/>
    <w:rsid w:val="00CF2B25"/>
    <w:rsid w:val="00CF2E40"/>
    <w:rsid w:val="00CF4C42"/>
    <w:rsid w:val="00CF5FED"/>
    <w:rsid w:val="00CF784D"/>
    <w:rsid w:val="00D00F65"/>
    <w:rsid w:val="00D01A17"/>
    <w:rsid w:val="00D020E8"/>
    <w:rsid w:val="00D02ED7"/>
    <w:rsid w:val="00D03C08"/>
    <w:rsid w:val="00D04452"/>
    <w:rsid w:val="00D04D03"/>
    <w:rsid w:val="00D05857"/>
    <w:rsid w:val="00D06557"/>
    <w:rsid w:val="00D06E83"/>
    <w:rsid w:val="00D111F0"/>
    <w:rsid w:val="00D116E2"/>
    <w:rsid w:val="00D11963"/>
    <w:rsid w:val="00D141A9"/>
    <w:rsid w:val="00D14D0C"/>
    <w:rsid w:val="00D162FC"/>
    <w:rsid w:val="00D16E60"/>
    <w:rsid w:val="00D170EE"/>
    <w:rsid w:val="00D17C87"/>
    <w:rsid w:val="00D22BF5"/>
    <w:rsid w:val="00D2418E"/>
    <w:rsid w:val="00D24B47"/>
    <w:rsid w:val="00D24BDE"/>
    <w:rsid w:val="00D25144"/>
    <w:rsid w:val="00D25530"/>
    <w:rsid w:val="00D25E78"/>
    <w:rsid w:val="00D31F61"/>
    <w:rsid w:val="00D31FD7"/>
    <w:rsid w:val="00D32494"/>
    <w:rsid w:val="00D3283F"/>
    <w:rsid w:val="00D32CC2"/>
    <w:rsid w:val="00D34710"/>
    <w:rsid w:val="00D34903"/>
    <w:rsid w:val="00D36A0C"/>
    <w:rsid w:val="00D36F99"/>
    <w:rsid w:val="00D412D7"/>
    <w:rsid w:val="00D41EFC"/>
    <w:rsid w:val="00D41FE4"/>
    <w:rsid w:val="00D42660"/>
    <w:rsid w:val="00D42AF2"/>
    <w:rsid w:val="00D42B54"/>
    <w:rsid w:val="00D43692"/>
    <w:rsid w:val="00D43ABC"/>
    <w:rsid w:val="00D4470E"/>
    <w:rsid w:val="00D45FE5"/>
    <w:rsid w:val="00D477B2"/>
    <w:rsid w:val="00D510BF"/>
    <w:rsid w:val="00D5252A"/>
    <w:rsid w:val="00D52AF1"/>
    <w:rsid w:val="00D539C6"/>
    <w:rsid w:val="00D554F8"/>
    <w:rsid w:val="00D56404"/>
    <w:rsid w:val="00D61327"/>
    <w:rsid w:val="00D622DB"/>
    <w:rsid w:val="00D63155"/>
    <w:rsid w:val="00D65F2E"/>
    <w:rsid w:val="00D66F18"/>
    <w:rsid w:val="00D72659"/>
    <w:rsid w:val="00D73358"/>
    <w:rsid w:val="00D738EF"/>
    <w:rsid w:val="00D73B09"/>
    <w:rsid w:val="00D74518"/>
    <w:rsid w:val="00D76EB7"/>
    <w:rsid w:val="00D77240"/>
    <w:rsid w:val="00D77847"/>
    <w:rsid w:val="00D80183"/>
    <w:rsid w:val="00D80B25"/>
    <w:rsid w:val="00D81B14"/>
    <w:rsid w:val="00D82227"/>
    <w:rsid w:val="00D82DD6"/>
    <w:rsid w:val="00D83C9F"/>
    <w:rsid w:val="00D83D38"/>
    <w:rsid w:val="00D83F37"/>
    <w:rsid w:val="00D84F34"/>
    <w:rsid w:val="00D8523A"/>
    <w:rsid w:val="00D865D8"/>
    <w:rsid w:val="00D86BFC"/>
    <w:rsid w:val="00D90350"/>
    <w:rsid w:val="00D90803"/>
    <w:rsid w:val="00D90999"/>
    <w:rsid w:val="00D917D6"/>
    <w:rsid w:val="00D926E9"/>
    <w:rsid w:val="00D93AF6"/>
    <w:rsid w:val="00D942D3"/>
    <w:rsid w:val="00D963D2"/>
    <w:rsid w:val="00D97325"/>
    <w:rsid w:val="00D97417"/>
    <w:rsid w:val="00DA5916"/>
    <w:rsid w:val="00DA6586"/>
    <w:rsid w:val="00DA67E0"/>
    <w:rsid w:val="00DA6EAA"/>
    <w:rsid w:val="00DA713B"/>
    <w:rsid w:val="00DA71F7"/>
    <w:rsid w:val="00DB129E"/>
    <w:rsid w:val="00DB1B1E"/>
    <w:rsid w:val="00DB1D26"/>
    <w:rsid w:val="00DB2527"/>
    <w:rsid w:val="00DB31AC"/>
    <w:rsid w:val="00DB4F1B"/>
    <w:rsid w:val="00DB69DE"/>
    <w:rsid w:val="00DC1129"/>
    <w:rsid w:val="00DC2437"/>
    <w:rsid w:val="00DC27E4"/>
    <w:rsid w:val="00DC2A67"/>
    <w:rsid w:val="00DC3D32"/>
    <w:rsid w:val="00DC7338"/>
    <w:rsid w:val="00DD0F05"/>
    <w:rsid w:val="00DD142D"/>
    <w:rsid w:val="00DD1962"/>
    <w:rsid w:val="00DD1ECF"/>
    <w:rsid w:val="00DD2C6F"/>
    <w:rsid w:val="00DD368F"/>
    <w:rsid w:val="00DD4C0C"/>
    <w:rsid w:val="00DD57FB"/>
    <w:rsid w:val="00DD66E4"/>
    <w:rsid w:val="00DE0195"/>
    <w:rsid w:val="00DE0497"/>
    <w:rsid w:val="00DE140A"/>
    <w:rsid w:val="00DE4FD0"/>
    <w:rsid w:val="00DF0E38"/>
    <w:rsid w:val="00DF1DDC"/>
    <w:rsid w:val="00DF2747"/>
    <w:rsid w:val="00DF290C"/>
    <w:rsid w:val="00DF48B7"/>
    <w:rsid w:val="00DF4DF0"/>
    <w:rsid w:val="00DF4E87"/>
    <w:rsid w:val="00DF600A"/>
    <w:rsid w:val="00DF6175"/>
    <w:rsid w:val="00DF7649"/>
    <w:rsid w:val="00E0013E"/>
    <w:rsid w:val="00E0262E"/>
    <w:rsid w:val="00E03532"/>
    <w:rsid w:val="00E049CE"/>
    <w:rsid w:val="00E05B80"/>
    <w:rsid w:val="00E06A26"/>
    <w:rsid w:val="00E07A73"/>
    <w:rsid w:val="00E10BA3"/>
    <w:rsid w:val="00E12909"/>
    <w:rsid w:val="00E15C2E"/>
    <w:rsid w:val="00E160CF"/>
    <w:rsid w:val="00E16988"/>
    <w:rsid w:val="00E16A91"/>
    <w:rsid w:val="00E16E67"/>
    <w:rsid w:val="00E2040E"/>
    <w:rsid w:val="00E2118A"/>
    <w:rsid w:val="00E22794"/>
    <w:rsid w:val="00E2378F"/>
    <w:rsid w:val="00E23C04"/>
    <w:rsid w:val="00E266FF"/>
    <w:rsid w:val="00E33614"/>
    <w:rsid w:val="00E341E9"/>
    <w:rsid w:val="00E34290"/>
    <w:rsid w:val="00E34427"/>
    <w:rsid w:val="00E345A7"/>
    <w:rsid w:val="00E369FF"/>
    <w:rsid w:val="00E36C18"/>
    <w:rsid w:val="00E378A1"/>
    <w:rsid w:val="00E37D29"/>
    <w:rsid w:val="00E37DF2"/>
    <w:rsid w:val="00E404A4"/>
    <w:rsid w:val="00E4072A"/>
    <w:rsid w:val="00E41E1D"/>
    <w:rsid w:val="00E41EBA"/>
    <w:rsid w:val="00E42C3C"/>
    <w:rsid w:val="00E4369E"/>
    <w:rsid w:val="00E44678"/>
    <w:rsid w:val="00E45018"/>
    <w:rsid w:val="00E46093"/>
    <w:rsid w:val="00E471C5"/>
    <w:rsid w:val="00E51F35"/>
    <w:rsid w:val="00E52600"/>
    <w:rsid w:val="00E54296"/>
    <w:rsid w:val="00E5431E"/>
    <w:rsid w:val="00E550BF"/>
    <w:rsid w:val="00E55AC5"/>
    <w:rsid w:val="00E56AD1"/>
    <w:rsid w:val="00E56BDD"/>
    <w:rsid w:val="00E5711A"/>
    <w:rsid w:val="00E5782D"/>
    <w:rsid w:val="00E6194D"/>
    <w:rsid w:val="00E61EB8"/>
    <w:rsid w:val="00E6205E"/>
    <w:rsid w:val="00E620AC"/>
    <w:rsid w:val="00E627C9"/>
    <w:rsid w:val="00E6318D"/>
    <w:rsid w:val="00E64E16"/>
    <w:rsid w:val="00E65E60"/>
    <w:rsid w:val="00E66486"/>
    <w:rsid w:val="00E66F28"/>
    <w:rsid w:val="00E675FA"/>
    <w:rsid w:val="00E7212E"/>
    <w:rsid w:val="00E74464"/>
    <w:rsid w:val="00E74F1C"/>
    <w:rsid w:val="00E771D0"/>
    <w:rsid w:val="00E81223"/>
    <w:rsid w:val="00E81E97"/>
    <w:rsid w:val="00E82910"/>
    <w:rsid w:val="00E82EA4"/>
    <w:rsid w:val="00E84E83"/>
    <w:rsid w:val="00E921C9"/>
    <w:rsid w:val="00E95B24"/>
    <w:rsid w:val="00E96121"/>
    <w:rsid w:val="00E9646E"/>
    <w:rsid w:val="00E9681C"/>
    <w:rsid w:val="00E968AA"/>
    <w:rsid w:val="00E978A6"/>
    <w:rsid w:val="00E979AE"/>
    <w:rsid w:val="00EA02D1"/>
    <w:rsid w:val="00EA1970"/>
    <w:rsid w:val="00EA1CD0"/>
    <w:rsid w:val="00EA584E"/>
    <w:rsid w:val="00EA5A65"/>
    <w:rsid w:val="00EA6225"/>
    <w:rsid w:val="00EB16EC"/>
    <w:rsid w:val="00EB1D10"/>
    <w:rsid w:val="00EB1EF1"/>
    <w:rsid w:val="00EB2CA4"/>
    <w:rsid w:val="00EB3667"/>
    <w:rsid w:val="00EB5785"/>
    <w:rsid w:val="00EB5AF0"/>
    <w:rsid w:val="00EC08F2"/>
    <w:rsid w:val="00EC0EC4"/>
    <w:rsid w:val="00EC12A6"/>
    <w:rsid w:val="00EC1F74"/>
    <w:rsid w:val="00EC3828"/>
    <w:rsid w:val="00EC415C"/>
    <w:rsid w:val="00EC499E"/>
    <w:rsid w:val="00EC6AFA"/>
    <w:rsid w:val="00ED12D3"/>
    <w:rsid w:val="00ED2274"/>
    <w:rsid w:val="00ED2513"/>
    <w:rsid w:val="00ED3480"/>
    <w:rsid w:val="00ED4451"/>
    <w:rsid w:val="00ED4686"/>
    <w:rsid w:val="00ED4B95"/>
    <w:rsid w:val="00ED78C7"/>
    <w:rsid w:val="00EE0801"/>
    <w:rsid w:val="00EE1EB9"/>
    <w:rsid w:val="00EE29D1"/>
    <w:rsid w:val="00EE54CC"/>
    <w:rsid w:val="00EE6F96"/>
    <w:rsid w:val="00EE74DF"/>
    <w:rsid w:val="00EE7A05"/>
    <w:rsid w:val="00EE7CB2"/>
    <w:rsid w:val="00EE7D8C"/>
    <w:rsid w:val="00EF07D9"/>
    <w:rsid w:val="00EF0AD0"/>
    <w:rsid w:val="00EF13B8"/>
    <w:rsid w:val="00EF1AC9"/>
    <w:rsid w:val="00EF1C78"/>
    <w:rsid w:val="00EF2AEE"/>
    <w:rsid w:val="00EF36B2"/>
    <w:rsid w:val="00EF5628"/>
    <w:rsid w:val="00EF58D2"/>
    <w:rsid w:val="00EF64BA"/>
    <w:rsid w:val="00EF6941"/>
    <w:rsid w:val="00EF7CB3"/>
    <w:rsid w:val="00F002D0"/>
    <w:rsid w:val="00F012B9"/>
    <w:rsid w:val="00F02406"/>
    <w:rsid w:val="00F03116"/>
    <w:rsid w:val="00F06856"/>
    <w:rsid w:val="00F06915"/>
    <w:rsid w:val="00F07B90"/>
    <w:rsid w:val="00F11BC0"/>
    <w:rsid w:val="00F12AD2"/>
    <w:rsid w:val="00F14475"/>
    <w:rsid w:val="00F22304"/>
    <w:rsid w:val="00F22FF5"/>
    <w:rsid w:val="00F23033"/>
    <w:rsid w:val="00F23836"/>
    <w:rsid w:val="00F2391C"/>
    <w:rsid w:val="00F25641"/>
    <w:rsid w:val="00F26340"/>
    <w:rsid w:val="00F2709E"/>
    <w:rsid w:val="00F27B0A"/>
    <w:rsid w:val="00F30211"/>
    <w:rsid w:val="00F303FF"/>
    <w:rsid w:val="00F30431"/>
    <w:rsid w:val="00F304AD"/>
    <w:rsid w:val="00F30D3B"/>
    <w:rsid w:val="00F3144F"/>
    <w:rsid w:val="00F34176"/>
    <w:rsid w:val="00F344DE"/>
    <w:rsid w:val="00F3490D"/>
    <w:rsid w:val="00F354C6"/>
    <w:rsid w:val="00F36087"/>
    <w:rsid w:val="00F362B2"/>
    <w:rsid w:val="00F37102"/>
    <w:rsid w:val="00F373E5"/>
    <w:rsid w:val="00F40B65"/>
    <w:rsid w:val="00F40D32"/>
    <w:rsid w:val="00F40DB3"/>
    <w:rsid w:val="00F41D4B"/>
    <w:rsid w:val="00F42038"/>
    <w:rsid w:val="00F42AE1"/>
    <w:rsid w:val="00F43761"/>
    <w:rsid w:val="00F44EE7"/>
    <w:rsid w:val="00F45787"/>
    <w:rsid w:val="00F469CF"/>
    <w:rsid w:val="00F47200"/>
    <w:rsid w:val="00F47B12"/>
    <w:rsid w:val="00F47E0E"/>
    <w:rsid w:val="00F503B4"/>
    <w:rsid w:val="00F5098C"/>
    <w:rsid w:val="00F518AD"/>
    <w:rsid w:val="00F5370C"/>
    <w:rsid w:val="00F53C34"/>
    <w:rsid w:val="00F55DC0"/>
    <w:rsid w:val="00F55EF9"/>
    <w:rsid w:val="00F569A1"/>
    <w:rsid w:val="00F56A70"/>
    <w:rsid w:val="00F60950"/>
    <w:rsid w:val="00F60C75"/>
    <w:rsid w:val="00F61941"/>
    <w:rsid w:val="00F63539"/>
    <w:rsid w:val="00F64B21"/>
    <w:rsid w:val="00F64BB6"/>
    <w:rsid w:val="00F70C39"/>
    <w:rsid w:val="00F711FE"/>
    <w:rsid w:val="00F7170E"/>
    <w:rsid w:val="00F7212A"/>
    <w:rsid w:val="00F738C0"/>
    <w:rsid w:val="00F7400A"/>
    <w:rsid w:val="00F74094"/>
    <w:rsid w:val="00F7460F"/>
    <w:rsid w:val="00F753D4"/>
    <w:rsid w:val="00F77425"/>
    <w:rsid w:val="00F77911"/>
    <w:rsid w:val="00F80214"/>
    <w:rsid w:val="00F810AA"/>
    <w:rsid w:val="00F81A80"/>
    <w:rsid w:val="00F821C8"/>
    <w:rsid w:val="00F847E8"/>
    <w:rsid w:val="00F8614E"/>
    <w:rsid w:val="00F86C4C"/>
    <w:rsid w:val="00F86CDA"/>
    <w:rsid w:val="00F912B9"/>
    <w:rsid w:val="00F92778"/>
    <w:rsid w:val="00F92BEB"/>
    <w:rsid w:val="00F95C19"/>
    <w:rsid w:val="00F95EB5"/>
    <w:rsid w:val="00F96589"/>
    <w:rsid w:val="00F96FD4"/>
    <w:rsid w:val="00F97FAF"/>
    <w:rsid w:val="00FA009D"/>
    <w:rsid w:val="00FA0327"/>
    <w:rsid w:val="00FA1E22"/>
    <w:rsid w:val="00FA3E9C"/>
    <w:rsid w:val="00FA41DC"/>
    <w:rsid w:val="00FA6B7E"/>
    <w:rsid w:val="00FA73C1"/>
    <w:rsid w:val="00FA7F61"/>
    <w:rsid w:val="00FB2409"/>
    <w:rsid w:val="00FB319C"/>
    <w:rsid w:val="00FB52B2"/>
    <w:rsid w:val="00FB6A33"/>
    <w:rsid w:val="00FB7E18"/>
    <w:rsid w:val="00FC0D0B"/>
    <w:rsid w:val="00FC10D7"/>
    <w:rsid w:val="00FC4EA2"/>
    <w:rsid w:val="00FC6763"/>
    <w:rsid w:val="00FC686F"/>
    <w:rsid w:val="00FD010D"/>
    <w:rsid w:val="00FD1DE4"/>
    <w:rsid w:val="00FD1F7D"/>
    <w:rsid w:val="00FD4C46"/>
    <w:rsid w:val="00FD504B"/>
    <w:rsid w:val="00FD55A7"/>
    <w:rsid w:val="00FD59C5"/>
    <w:rsid w:val="00FE2BA7"/>
    <w:rsid w:val="00FE2CA9"/>
    <w:rsid w:val="00FE30DB"/>
    <w:rsid w:val="00FE30E8"/>
    <w:rsid w:val="00FE3355"/>
    <w:rsid w:val="00FE3E58"/>
    <w:rsid w:val="00FE5989"/>
    <w:rsid w:val="00FE5B2F"/>
    <w:rsid w:val="00FE745D"/>
    <w:rsid w:val="00FF0A1E"/>
    <w:rsid w:val="00FF1D4A"/>
    <w:rsid w:val="00FF3E54"/>
    <w:rsid w:val="00FF47CB"/>
    <w:rsid w:val="00FF4B10"/>
    <w:rsid w:val="00FF5666"/>
    <w:rsid w:val="00FF5781"/>
    <w:rsid w:val="00FF581E"/>
    <w:rsid w:val="00FF5B53"/>
    <w:rsid w:val="00FF6838"/>
    <w:rsid w:val="00FF7732"/>
    <w:rsid w:val="00FF7823"/>
    <w:rsid w:val="00FF7E3C"/>
    <w:rsid w:val="646D396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B0503"/>
  <w15:docId w15:val="{1FFF1541-4445-452A-887C-9ECB2D14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F30"/>
    <w:pPr>
      <w:spacing w:before="120" w:after="80"/>
      <w:ind w:left="720" w:right="720"/>
    </w:pPr>
    <w:rPr>
      <w:rFonts w:ascii="Calibri" w:hAnsi="Calibri"/>
      <w:lang w:val="en-AU"/>
    </w:rPr>
  </w:style>
  <w:style w:type="paragraph" w:styleId="Heading1">
    <w:name w:val="heading 1"/>
    <w:basedOn w:val="Normal"/>
    <w:next w:val="Normal"/>
    <w:link w:val="Heading1Char"/>
    <w:qFormat/>
    <w:rsid w:val="00465C67"/>
    <w:pPr>
      <w:keepNext/>
      <w:keepLines/>
      <w:pageBreakBefore/>
      <w:numPr>
        <w:numId w:val="1"/>
      </w:numPr>
      <w:pBdr>
        <w:bottom w:val="single" w:sz="12" w:space="1" w:color="F79646" w:themeColor="accent6"/>
      </w:pBdr>
      <w:spacing w:before="480" w:after="480"/>
      <w:ind w:left="720" w:right="0" w:hanging="720"/>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nhideWhenUsed/>
    <w:qFormat/>
    <w:rsid w:val="002C46EA"/>
    <w:pPr>
      <w:keepNext/>
      <w:keepLines/>
      <w:pBdr>
        <w:bottom w:val="single" w:sz="4" w:space="1" w:color="F79646" w:themeColor="accent6"/>
      </w:pBdr>
      <w:spacing w:before="360" w:after="36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nhideWhenUsed/>
    <w:qFormat/>
    <w:rsid w:val="00F45787"/>
    <w:pPr>
      <w:keepNext/>
      <w:keepLines/>
      <w:spacing w:before="240" w:after="240"/>
      <w:outlineLvl w:val="2"/>
    </w:pPr>
    <w:rPr>
      <w:rFonts w:ascii="Cambria" w:eastAsiaTheme="majorEastAsia" w:hAnsi="Cambria" w:cstheme="majorBidi"/>
      <w:b/>
      <w:bCs/>
      <w:sz w:val="24"/>
    </w:rPr>
  </w:style>
  <w:style w:type="paragraph" w:styleId="Heading4">
    <w:name w:val="heading 4"/>
    <w:basedOn w:val="Normal"/>
    <w:next w:val="Normal"/>
    <w:link w:val="Heading4Char"/>
    <w:unhideWhenUsed/>
    <w:qFormat/>
    <w:rsid w:val="004D24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D4EF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9D4EF6"/>
    <w:pPr>
      <w:spacing w:before="240" w:after="60" w:line="240" w:lineRule="auto"/>
      <w:ind w:left="0" w:right="0"/>
      <w:jc w:val="both"/>
      <w:outlineLvl w:val="5"/>
    </w:pPr>
    <w:rPr>
      <w:rFonts w:ascii="Times New Roman" w:eastAsia="Times" w:hAnsi="Times New Roman" w:cs="Times New Roman"/>
      <w:b/>
      <w:bCs/>
      <w:sz w:val="26"/>
    </w:rPr>
  </w:style>
  <w:style w:type="paragraph" w:styleId="Heading7">
    <w:name w:val="heading 7"/>
    <w:basedOn w:val="Normal"/>
    <w:next w:val="Normal"/>
    <w:link w:val="Heading7Char"/>
    <w:rsid w:val="00C407CA"/>
    <w:pPr>
      <w:numPr>
        <w:ilvl w:val="6"/>
        <w:numId w:val="12"/>
      </w:numPr>
      <w:spacing w:before="0" w:after="0" w:line="240" w:lineRule="auto"/>
      <w:ind w:left="0" w:right="0" w:firstLine="0"/>
      <w:jc w:val="both"/>
      <w:outlineLvl w:val="6"/>
    </w:pPr>
    <w:rPr>
      <w:rFonts w:ascii="Times New Roman" w:eastAsia="Times" w:hAnsi="Times New Roman" w:cs="Times New Roman"/>
      <w:color w:val="FFFFFF" w:themeColor="background1"/>
      <w:sz w:val="8"/>
      <w:szCs w:val="24"/>
    </w:rPr>
  </w:style>
  <w:style w:type="paragraph" w:styleId="Heading8">
    <w:name w:val="heading 8"/>
    <w:basedOn w:val="Normal"/>
    <w:next w:val="Normal"/>
    <w:link w:val="Heading8Char"/>
    <w:rsid w:val="009D4EF6"/>
    <w:pPr>
      <w:spacing w:before="240" w:after="60" w:line="240" w:lineRule="auto"/>
      <w:ind w:left="0" w:right="0"/>
      <w:jc w:val="both"/>
      <w:outlineLvl w:val="7"/>
    </w:pPr>
    <w:rPr>
      <w:rFonts w:ascii="Times New Roman" w:eastAsia="Times" w:hAnsi="Times New Roman" w:cs="Times New Roman"/>
      <w:i/>
      <w:iCs/>
      <w:sz w:val="24"/>
      <w:szCs w:val="24"/>
    </w:rPr>
  </w:style>
  <w:style w:type="paragraph" w:styleId="Heading9">
    <w:name w:val="heading 9"/>
    <w:basedOn w:val="Normal"/>
    <w:next w:val="Normal"/>
    <w:link w:val="Heading9Char"/>
    <w:rsid w:val="009D4EF6"/>
    <w:pPr>
      <w:spacing w:before="480" w:after="600" w:line="240" w:lineRule="auto"/>
      <w:ind w:left="0" w:right="0"/>
      <w:jc w:val="both"/>
      <w:outlineLvl w:val="8"/>
    </w:pPr>
    <w:rPr>
      <w:rFonts w:ascii="Tahoma" w:eastAsia="Times" w:hAnsi="Tahoma" w:cs="Arial"/>
      <w:i/>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5C67"/>
    <w:rPr>
      <w:rFonts w:asciiTheme="majorHAnsi" w:eastAsiaTheme="majorEastAsia" w:hAnsiTheme="majorHAnsi" w:cstheme="majorBidi"/>
      <w:b/>
      <w:bCs/>
      <w:sz w:val="40"/>
      <w:szCs w:val="28"/>
      <w:lang w:val="en-AU"/>
    </w:rPr>
  </w:style>
  <w:style w:type="character" w:customStyle="1" w:styleId="Heading2Char">
    <w:name w:val="Heading 2 Char"/>
    <w:basedOn w:val="DefaultParagraphFont"/>
    <w:link w:val="Heading2"/>
    <w:rsid w:val="002C46EA"/>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rsid w:val="00F45787"/>
    <w:rPr>
      <w:rFonts w:ascii="Cambria" w:eastAsiaTheme="majorEastAsia" w:hAnsi="Cambria" w:cstheme="majorBidi"/>
      <w:b/>
      <w:bCs/>
      <w:sz w:val="24"/>
    </w:rPr>
  </w:style>
  <w:style w:type="character" w:customStyle="1" w:styleId="Heading4Char">
    <w:name w:val="Heading 4 Char"/>
    <w:basedOn w:val="DefaultParagraphFont"/>
    <w:link w:val="Heading4"/>
    <w:rsid w:val="004D24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D4EF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9D4EF6"/>
    <w:rPr>
      <w:rFonts w:ascii="Times New Roman" w:eastAsia="Times" w:hAnsi="Times New Roman" w:cs="Times New Roman"/>
      <w:b/>
      <w:bCs/>
      <w:sz w:val="26"/>
      <w:lang w:val="en-AU"/>
    </w:rPr>
  </w:style>
  <w:style w:type="character" w:customStyle="1" w:styleId="Heading7Char">
    <w:name w:val="Heading 7 Char"/>
    <w:basedOn w:val="DefaultParagraphFont"/>
    <w:link w:val="Heading7"/>
    <w:rsid w:val="00C407CA"/>
    <w:rPr>
      <w:rFonts w:ascii="Times New Roman" w:eastAsia="Times" w:hAnsi="Times New Roman" w:cs="Times New Roman"/>
      <w:color w:val="FFFFFF" w:themeColor="background1"/>
      <w:sz w:val="8"/>
      <w:szCs w:val="24"/>
      <w:lang w:val="en-AU"/>
    </w:rPr>
  </w:style>
  <w:style w:type="character" w:customStyle="1" w:styleId="Heading8Char">
    <w:name w:val="Heading 8 Char"/>
    <w:basedOn w:val="DefaultParagraphFont"/>
    <w:link w:val="Heading8"/>
    <w:rsid w:val="009D4EF6"/>
    <w:rPr>
      <w:rFonts w:ascii="Times New Roman" w:eastAsia="Times" w:hAnsi="Times New Roman" w:cs="Times New Roman"/>
      <w:i/>
      <w:iCs/>
      <w:sz w:val="24"/>
      <w:szCs w:val="24"/>
      <w:lang w:val="en-AU"/>
    </w:rPr>
  </w:style>
  <w:style w:type="character" w:customStyle="1" w:styleId="Heading9Char">
    <w:name w:val="Heading 9 Char"/>
    <w:basedOn w:val="DefaultParagraphFont"/>
    <w:link w:val="Heading9"/>
    <w:rsid w:val="009D4EF6"/>
    <w:rPr>
      <w:rFonts w:ascii="Tahoma" w:eastAsia="Times" w:hAnsi="Tahoma" w:cs="Arial"/>
      <w:i/>
      <w:sz w:val="52"/>
      <w:lang w:val="en-AU"/>
    </w:rPr>
  </w:style>
  <w:style w:type="paragraph" w:styleId="PlainText">
    <w:name w:val="Plain Text"/>
    <w:basedOn w:val="Normal"/>
    <w:link w:val="PlainTextChar"/>
    <w:unhideWhenUsed/>
    <w:rsid w:val="003B1E7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E7A"/>
    <w:rPr>
      <w:rFonts w:ascii="Consolas" w:hAnsi="Consolas"/>
      <w:sz w:val="21"/>
      <w:szCs w:val="21"/>
    </w:rPr>
  </w:style>
  <w:style w:type="character" w:styleId="BookTitle">
    <w:name w:val="Book Title"/>
    <w:aliases w:val="Document Title"/>
    <w:basedOn w:val="DefaultParagraphFont"/>
    <w:uiPriority w:val="33"/>
    <w:qFormat/>
    <w:rsid w:val="00B80E7E"/>
    <w:rPr>
      <w:rFonts w:ascii="Cambria" w:hAnsi="Cambria"/>
      <w:b/>
      <w:bCs/>
      <w:smallCaps/>
      <w:spacing w:val="5"/>
      <w:sz w:val="56"/>
    </w:rPr>
  </w:style>
  <w:style w:type="character" w:styleId="Strong">
    <w:name w:val="Strong"/>
    <w:aliases w:val="Figure Title"/>
    <w:basedOn w:val="DefaultParagraphFont"/>
    <w:qFormat/>
    <w:rsid w:val="00B80E7E"/>
    <w:rPr>
      <w:b/>
      <w:bCs/>
    </w:rPr>
  </w:style>
  <w:style w:type="paragraph" w:styleId="NoSpacing">
    <w:name w:val="No Spacing"/>
    <w:aliases w:val="Paragragh text"/>
    <w:link w:val="NoSpacingChar"/>
    <w:uiPriority w:val="1"/>
    <w:qFormat/>
    <w:rsid w:val="00B80E7E"/>
    <w:pPr>
      <w:spacing w:after="0" w:line="240" w:lineRule="auto"/>
    </w:pPr>
  </w:style>
  <w:style w:type="character" w:customStyle="1" w:styleId="NoSpacingChar">
    <w:name w:val="No Spacing Char"/>
    <w:aliases w:val="Paragragh text Char"/>
    <w:basedOn w:val="DefaultParagraphFont"/>
    <w:link w:val="NoSpacing"/>
    <w:uiPriority w:val="1"/>
    <w:rsid w:val="0065096D"/>
  </w:style>
  <w:style w:type="paragraph" w:styleId="Title">
    <w:name w:val="Title"/>
    <w:basedOn w:val="Normal"/>
    <w:next w:val="Normal"/>
    <w:link w:val="TitleChar"/>
    <w:qFormat/>
    <w:rsid w:val="004D245C"/>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44"/>
      <w:szCs w:val="52"/>
    </w:rPr>
  </w:style>
  <w:style w:type="character" w:customStyle="1" w:styleId="TitleChar">
    <w:name w:val="Title Char"/>
    <w:basedOn w:val="DefaultParagraphFont"/>
    <w:link w:val="Title"/>
    <w:uiPriority w:val="10"/>
    <w:rsid w:val="004D245C"/>
    <w:rPr>
      <w:rFonts w:asciiTheme="majorHAnsi" w:eastAsiaTheme="majorEastAsia" w:hAnsiTheme="majorHAnsi" w:cstheme="majorBidi"/>
      <w:spacing w:val="5"/>
      <w:kern w:val="28"/>
      <w:sz w:val="44"/>
      <w:szCs w:val="52"/>
    </w:rPr>
  </w:style>
  <w:style w:type="paragraph" w:styleId="FootnoteText">
    <w:name w:val="footnote text"/>
    <w:link w:val="FootnoteTextChar"/>
    <w:unhideWhenUsed/>
    <w:rsid w:val="006203F0"/>
    <w:pPr>
      <w:spacing w:after="0" w:line="240" w:lineRule="auto"/>
      <w:ind w:left="833" w:right="720" w:hanging="113"/>
    </w:pPr>
    <w:rPr>
      <w:rFonts w:ascii="Calibri" w:hAnsi="Calibri"/>
      <w:sz w:val="20"/>
      <w:szCs w:val="20"/>
      <w:lang w:val="en-AU"/>
    </w:rPr>
  </w:style>
  <w:style w:type="character" w:customStyle="1" w:styleId="FootnoteTextChar">
    <w:name w:val="Footnote Text Char"/>
    <w:basedOn w:val="DefaultParagraphFont"/>
    <w:link w:val="FootnoteText"/>
    <w:rsid w:val="006203F0"/>
    <w:rPr>
      <w:rFonts w:ascii="Calibri" w:hAnsi="Calibri"/>
      <w:sz w:val="20"/>
      <w:szCs w:val="20"/>
      <w:lang w:val="en-AU"/>
    </w:rPr>
  </w:style>
  <w:style w:type="character" w:styleId="FootnoteReference">
    <w:name w:val="footnote reference"/>
    <w:basedOn w:val="DefaultParagraphFont"/>
    <w:unhideWhenUsed/>
    <w:rsid w:val="00EE7D8C"/>
    <w:rPr>
      <w:vertAlign w:val="superscript"/>
    </w:rPr>
  </w:style>
  <w:style w:type="paragraph" w:styleId="BalloonText">
    <w:name w:val="Balloon Text"/>
    <w:basedOn w:val="Normal"/>
    <w:link w:val="BalloonTextChar"/>
    <w:unhideWhenUsed/>
    <w:rsid w:val="000E1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1C37"/>
    <w:rPr>
      <w:rFonts w:ascii="Tahoma" w:hAnsi="Tahoma" w:cs="Tahoma"/>
      <w:sz w:val="16"/>
      <w:szCs w:val="16"/>
    </w:rPr>
  </w:style>
  <w:style w:type="character" w:styleId="SubtleEmphasis">
    <w:name w:val="Subtle Emphasis"/>
    <w:aliases w:val="Figure Formatting"/>
    <w:basedOn w:val="SubtitleChar"/>
    <w:uiPriority w:val="19"/>
    <w:rsid w:val="00D65F2E"/>
    <w:rPr>
      <w:i/>
      <w:iCs/>
      <w:color w:val="808080" w:themeColor="text1" w:themeTint="7F"/>
      <w:sz w:val="20"/>
      <w:szCs w:val="20"/>
    </w:rPr>
  </w:style>
  <w:style w:type="character" w:customStyle="1" w:styleId="SubtitleChar">
    <w:name w:val="Subtitle Char"/>
    <w:aliases w:val="Footnote Char"/>
    <w:basedOn w:val="DefaultParagraphFont"/>
    <w:link w:val="Subtitle"/>
    <w:uiPriority w:val="11"/>
    <w:rsid w:val="00B93FC7"/>
    <w:rPr>
      <w:sz w:val="20"/>
      <w:szCs w:val="20"/>
    </w:rPr>
  </w:style>
  <w:style w:type="paragraph" w:styleId="Subtitle">
    <w:name w:val="Subtitle"/>
    <w:aliases w:val="Footnote"/>
    <w:basedOn w:val="FootnoteText"/>
    <w:next w:val="Normal"/>
    <w:link w:val="SubtitleChar"/>
    <w:qFormat/>
    <w:rsid w:val="00B93FC7"/>
  </w:style>
  <w:style w:type="character" w:styleId="Emphasis">
    <w:name w:val="Emphasis"/>
    <w:aliases w:val="Figure Caption"/>
    <w:basedOn w:val="DefaultParagraphFont"/>
    <w:uiPriority w:val="20"/>
    <w:qFormat/>
    <w:rsid w:val="00D65F2E"/>
    <w:rPr>
      <w:i/>
      <w:iCs/>
    </w:rPr>
  </w:style>
  <w:style w:type="character" w:styleId="IntenseEmphasis">
    <w:name w:val="Intense Emphasis"/>
    <w:basedOn w:val="DefaultParagraphFont"/>
    <w:uiPriority w:val="21"/>
    <w:qFormat/>
    <w:rsid w:val="00D65F2E"/>
    <w:rPr>
      <w:b/>
      <w:bCs/>
      <w:i/>
      <w:iCs/>
      <w:color w:val="4F81BD" w:themeColor="accent1"/>
    </w:rPr>
  </w:style>
  <w:style w:type="paragraph" w:customStyle="1" w:styleId="Table">
    <w:name w:val="Table"/>
    <w:basedOn w:val="Normal"/>
    <w:link w:val="TableChar"/>
    <w:qFormat/>
    <w:rsid w:val="00F304AD"/>
    <w:pPr>
      <w:keepLines/>
      <w:spacing w:before="40" w:after="20" w:line="240" w:lineRule="auto"/>
      <w:ind w:left="0" w:right="0"/>
    </w:pPr>
    <w:rPr>
      <w:rFonts w:ascii="Arial" w:eastAsia="Times" w:hAnsi="Arial" w:cs="Times New Roman"/>
      <w:sz w:val="18"/>
      <w:szCs w:val="20"/>
    </w:rPr>
  </w:style>
  <w:style w:type="paragraph" w:customStyle="1" w:styleId="Table-heading">
    <w:name w:val="Table - heading"/>
    <w:basedOn w:val="Table"/>
    <w:rsid w:val="002351A7"/>
    <w:pPr>
      <w:overflowPunct w:val="0"/>
      <w:autoSpaceDE w:val="0"/>
      <w:autoSpaceDN w:val="0"/>
      <w:adjustRightInd w:val="0"/>
      <w:spacing w:line="252" w:lineRule="auto"/>
      <w:textAlignment w:val="baseline"/>
    </w:pPr>
    <w:rPr>
      <w:rFonts w:eastAsia="Times New Roman"/>
      <w:b/>
      <w:bCs/>
      <w:color w:val="000080"/>
    </w:rPr>
  </w:style>
  <w:style w:type="table" w:customStyle="1" w:styleId="TableEC1">
    <w:name w:val="Table EC1"/>
    <w:basedOn w:val="TableList3"/>
    <w:rsid w:val="002351A7"/>
    <w:pPr>
      <w:keepNext/>
      <w:keepLines/>
      <w:spacing w:before="240" w:after="0" w:line="240" w:lineRule="auto"/>
    </w:pPr>
    <w:rPr>
      <w:rFonts w:ascii="Tahoma" w:eastAsia="Times" w:hAnsi="Tahoma" w:cs="Times New Roman"/>
      <w:sz w:val="18"/>
      <w:szCs w:val="18"/>
      <w:lang w:val="en-AU" w:eastAsia="en-NZ"/>
    </w:rPr>
    <w:tblPr>
      <w:tblStyleRowBandSize w:val="1"/>
      <w:tblInd w:w="720" w:type="dxa"/>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Tahoma" w:hAnsi="Tahoma"/>
        <w:b/>
        <w:bCs/>
        <w:i w:val="0"/>
        <w:color w:val="000080"/>
        <w:sz w:val="22"/>
      </w:rPr>
      <w:tblPr/>
      <w:trPr>
        <w:tblHeader/>
      </w:tr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Garamond" w:hAnsi="Garamond"/>
        <w:b w:val="0"/>
        <w:i w:val="0"/>
      </w:rPr>
      <w:tblPr/>
      <w:tcPr>
        <w:tcBorders>
          <w:top w:val="nil"/>
          <w:left w:val="nil"/>
          <w:bottom w:val="single" w:sz="8" w:space="0" w:color="auto"/>
          <w:right w:val="nil"/>
          <w:insideH w:val="nil"/>
          <w:insideV w:val="nil"/>
          <w:tl2br w:val="nil"/>
          <w:tr2bl w:val="nil"/>
        </w:tcBorders>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nhideWhenUsed/>
    <w:rsid w:val="00FF7823"/>
    <w:pPr>
      <w:ind w:left="1440" w:righ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qFormat/>
    <w:rsid w:val="0037126D"/>
    <w:pPr>
      <w:keepNext/>
      <w:spacing w:before="360" w:after="120" w:line="240" w:lineRule="auto"/>
      <w:ind w:left="1457" w:right="0" w:hanging="737"/>
    </w:pPr>
    <w:rPr>
      <w:rFonts w:ascii="Candara" w:eastAsia="Times" w:hAnsi="Candara" w:cs="Times New Roman"/>
      <w:b/>
      <w:color w:val="1F497D" w:themeColor="text2"/>
      <w:sz w:val="20"/>
      <w:szCs w:val="20"/>
    </w:rPr>
  </w:style>
  <w:style w:type="paragraph" w:styleId="TOC8">
    <w:name w:val="toc 8"/>
    <w:basedOn w:val="Normal"/>
    <w:next w:val="Normal"/>
    <w:autoRedefine/>
    <w:semiHidden/>
    <w:rsid w:val="00E81223"/>
    <w:pPr>
      <w:spacing w:after="120" w:line="240" w:lineRule="auto"/>
      <w:ind w:left="1540" w:right="0"/>
    </w:pPr>
    <w:rPr>
      <w:rFonts w:eastAsia="Times" w:cs="Times New Roman"/>
      <w:sz w:val="24"/>
      <w:szCs w:val="20"/>
    </w:rPr>
  </w:style>
  <w:style w:type="paragraph" w:styleId="Header">
    <w:name w:val="header"/>
    <w:basedOn w:val="Normal"/>
    <w:link w:val="HeaderChar"/>
    <w:unhideWhenUsed/>
    <w:rsid w:val="002C4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6EA"/>
  </w:style>
  <w:style w:type="paragraph" w:styleId="Footer">
    <w:name w:val="footer"/>
    <w:basedOn w:val="Normal"/>
    <w:link w:val="FooterChar"/>
    <w:unhideWhenUsed/>
    <w:rsid w:val="002C4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6EA"/>
  </w:style>
  <w:style w:type="paragraph" w:styleId="IntenseQuote">
    <w:name w:val="Intense Quote"/>
    <w:aliases w:val="Header Text"/>
    <w:basedOn w:val="Normal"/>
    <w:next w:val="Normal"/>
    <w:link w:val="IntenseQuoteChar"/>
    <w:uiPriority w:val="30"/>
    <w:qFormat/>
    <w:rsid w:val="007C6F42"/>
    <w:pPr>
      <w:spacing w:before="200" w:after="280"/>
      <w:ind w:left="0" w:right="936"/>
    </w:pPr>
    <w:rPr>
      <w:bCs/>
      <w:iCs/>
      <w:color w:val="F79646" w:themeColor="accent6"/>
      <w:sz w:val="28"/>
    </w:rPr>
  </w:style>
  <w:style w:type="character" w:customStyle="1" w:styleId="IntenseQuoteChar">
    <w:name w:val="Intense Quote Char"/>
    <w:aliases w:val="Header Text Char"/>
    <w:basedOn w:val="DefaultParagraphFont"/>
    <w:link w:val="IntenseQuote"/>
    <w:uiPriority w:val="30"/>
    <w:rsid w:val="007C6F42"/>
    <w:rPr>
      <w:rFonts w:ascii="Calibri" w:hAnsi="Calibri"/>
      <w:bCs/>
      <w:iCs/>
      <w:color w:val="F79646" w:themeColor="accent6"/>
      <w:sz w:val="28"/>
    </w:rPr>
  </w:style>
  <w:style w:type="paragraph" w:styleId="TOCHeading">
    <w:name w:val="TOC Heading"/>
    <w:basedOn w:val="Heading1"/>
    <w:next w:val="Normal"/>
    <w:uiPriority w:val="39"/>
    <w:semiHidden/>
    <w:unhideWhenUsed/>
    <w:qFormat/>
    <w:rsid w:val="00C84661"/>
    <w:pPr>
      <w:numPr>
        <w:numId w:val="0"/>
      </w:numPr>
      <w:pBdr>
        <w:bottom w:val="none" w:sz="0" w:space="0" w:color="auto"/>
      </w:pBdr>
      <w:spacing w:after="0"/>
      <w:outlineLvl w:val="9"/>
    </w:pPr>
    <w:rPr>
      <w:color w:val="365F91" w:themeColor="accent1" w:themeShade="BF"/>
      <w:sz w:val="28"/>
      <w:lang w:val="en-US"/>
    </w:rPr>
  </w:style>
  <w:style w:type="paragraph" w:styleId="TOC1">
    <w:name w:val="toc 1"/>
    <w:basedOn w:val="Normal"/>
    <w:next w:val="Normal"/>
    <w:autoRedefine/>
    <w:uiPriority w:val="39"/>
    <w:unhideWhenUsed/>
    <w:rsid w:val="007F7AAF"/>
    <w:pPr>
      <w:tabs>
        <w:tab w:val="left" w:pos="221"/>
        <w:tab w:val="left" w:pos="440"/>
        <w:tab w:val="right" w:leader="dot" w:pos="9227"/>
      </w:tabs>
      <w:spacing w:before="60" w:after="20"/>
      <w:ind w:left="0"/>
    </w:pPr>
  </w:style>
  <w:style w:type="paragraph" w:styleId="TOC2">
    <w:name w:val="toc 2"/>
    <w:basedOn w:val="Normal"/>
    <w:next w:val="Normal"/>
    <w:autoRedefine/>
    <w:uiPriority w:val="39"/>
    <w:unhideWhenUsed/>
    <w:rsid w:val="00524B9D"/>
    <w:pPr>
      <w:tabs>
        <w:tab w:val="right" w:leader="dot" w:pos="9232"/>
      </w:tabs>
      <w:spacing w:before="20" w:after="20"/>
      <w:ind w:left="221"/>
    </w:pPr>
  </w:style>
  <w:style w:type="paragraph" w:styleId="TOC3">
    <w:name w:val="toc 3"/>
    <w:basedOn w:val="Normal"/>
    <w:next w:val="Normal"/>
    <w:autoRedefine/>
    <w:uiPriority w:val="39"/>
    <w:unhideWhenUsed/>
    <w:rsid w:val="00C84661"/>
    <w:pPr>
      <w:spacing w:after="100"/>
      <w:ind w:left="440"/>
    </w:pPr>
  </w:style>
  <w:style w:type="character" w:styleId="Hyperlink">
    <w:name w:val="Hyperlink"/>
    <w:basedOn w:val="DefaultParagraphFont"/>
    <w:uiPriority w:val="99"/>
    <w:unhideWhenUsed/>
    <w:rsid w:val="00C84661"/>
    <w:rPr>
      <w:color w:val="0000FF" w:themeColor="hyperlink"/>
      <w:u w:val="single"/>
    </w:rPr>
  </w:style>
  <w:style w:type="table" w:styleId="TableGrid">
    <w:name w:val="Table Grid"/>
    <w:basedOn w:val="TableNormal"/>
    <w:uiPriority w:val="39"/>
    <w:unhideWhenUsed/>
    <w:rsid w:val="006154CA"/>
    <w:pPr>
      <w:spacing w:after="0" w:line="240" w:lineRule="auto"/>
    </w:pPr>
    <w:rPr>
      <w:rFonts w:ascii="Times New Roman" w:eastAsia="Times"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rsid w:val="00885395"/>
    <w:pPr>
      <w:spacing w:after="0" w:line="240" w:lineRule="auto"/>
      <w:ind w:left="6804"/>
      <w:jc w:val="both"/>
    </w:pPr>
    <w:rPr>
      <w:rFonts w:eastAsia="Times New Roman" w:cs="Times New Roman"/>
      <w:noProof/>
      <w:sz w:val="16"/>
      <w:szCs w:val="20"/>
      <w:lang w:val="en-AU"/>
    </w:rPr>
  </w:style>
  <w:style w:type="paragraph" w:customStyle="1" w:styleId="ClientName">
    <w:name w:val="Client Name"/>
    <w:basedOn w:val="Heading1"/>
    <w:next w:val="Title"/>
    <w:rsid w:val="00782859"/>
    <w:pPr>
      <w:pageBreakBefore w:val="0"/>
      <w:numPr>
        <w:numId w:val="0"/>
      </w:numPr>
      <w:pBdr>
        <w:bottom w:val="none" w:sz="0" w:space="0" w:color="auto"/>
      </w:pBdr>
      <w:spacing w:before="0" w:after="0" w:line="240" w:lineRule="auto"/>
      <w:ind w:left="851"/>
      <w:jc w:val="both"/>
      <w:outlineLvl w:val="9"/>
    </w:pPr>
    <w:rPr>
      <w:rFonts w:asciiTheme="minorHAnsi" w:eastAsia="Times" w:hAnsiTheme="minorHAnsi" w:cs="Times New Roman"/>
      <w:b w:val="0"/>
      <w:bCs w:val="0"/>
      <w:i/>
      <w:szCs w:val="20"/>
    </w:rPr>
  </w:style>
  <w:style w:type="paragraph" w:customStyle="1" w:styleId="TitleCover">
    <w:name w:val="Title Cover"/>
    <w:basedOn w:val="ClientName"/>
    <w:next w:val="Normal"/>
    <w:rsid w:val="00782859"/>
    <w:pPr>
      <w:spacing w:before="3000"/>
      <w:jc w:val="left"/>
    </w:pPr>
    <w:rPr>
      <w:rFonts w:asciiTheme="majorHAnsi" w:hAnsiTheme="majorHAnsi"/>
      <w:sz w:val="72"/>
    </w:rPr>
  </w:style>
  <w:style w:type="paragraph" w:customStyle="1" w:styleId="FooterDate">
    <w:name w:val="Footer Date"/>
    <w:basedOn w:val="Normal"/>
    <w:next w:val="Normal"/>
    <w:rsid w:val="003D2CC4"/>
    <w:pPr>
      <w:spacing w:after="0" w:line="480" w:lineRule="auto"/>
      <w:ind w:left="0" w:right="0" w:firstLine="851"/>
      <w:jc w:val="both"/>
    </w:pPr>
    <w:rPr>
      <w:rFonts w:asciiTheme="minorHAnsi" w:eastAsia="Times" w:hAnsiTheme="minorHAnsi" w:cs="Times New Roman"/>
      <w:szCs w:val="20"/>
    </w:rPr>
  </w:style>
  <w:style w:type="paragraph" w:customStyle="1" w:styleId="ContentsHeading">
    <w:name w:val="Contents Heading"/>
    <w:rsid w:val="003B09EA"/>
    <w:pPr>
      <w:spacing w:after="360" w:line="240" w:lineRule="auto"/>
      <w:ind w:left="720" w:right="720"/>
      <w:jc w:val="center"/>
    </w:pPr>
    <w:rPr>
      <w:rFonts w:asciiTheme="majorHAnsi" w:eastAsia="Times" w:hAnsiTheme="majorHAnsi" w:cs="Times New Roman"/>
      <w:i/>
      <w:sz w:val="40"/>
      <w:szCs w:val="20"/>
      <w:lang w:val="en-AU"/>
    </w:rPr>
  </w:style>
  <w:style w:type="paragraph" w:customStyle="1" w:styleId="Bullets-Minor">
    <w:name w:val="Bullets - Minor"/>
    <w:basedOn w:val="Normal"/>
    <w:link w:val="Bullets-MinorChar"/>
    <w:qFormat/>
    <w:rsid w:val="00C618FC"/>
    <w:pPr>
      <w:numPr>
        <w:numId w:val="35"/>
      </w:numPr>
      <w:overflowPunct w:val="0"/>
      <w:autoSpaceDE w:val="0"/>
      <w:autoSpaceDN w:val="0"/>
      <w:adjustRightInd w:val="0"/>
      <w:spacing w:before="60" w:after="60" w:line="252" w:lineRule="auto"/>
      <w:textAlignment w:val="baseline"/>
    </w:pPr>
    <w:rPr>
      <w:rFonts w:cs="Times New Roman"/>
      <w:szCs w:val="20"/>
    </w:rPr>
  </w:style>
  <w:style w:type="character" w:customStyle="1" w:styleId="Bullets-MinorChar">
    <w:name w:val="Bullets - Minor Char"/>
    <w:basedOn w:val="DefaultParagraphFont"/>
    <w:link w:val="Bullets-Minor"/>
    <w:rsid w:val="00C618FC"/>
    <w:rPr>
      <w:rFonts w:ascii="Calibri" w:hAnsi="Calibri" w:cs="Times New Roman"/>
      <w:szCs w:val="20"/>
      <w:lang w:val="en-AU"/>
    </w:rPr>
  </w:style>
  <w:style w:type="character" w:customStyle="1" w:styleId="UnresolvedMention1">
    <w:name w:val="Unresolved Mention1"/>
    <w:basedOn w:val="DefaultParagraphFont"/>
    <w:uiPriority w:val="99"/>
    <w:semiHidden/>
    <w:unhideWhenUsed/>
    <w:rsid w:val="001B29AC"/>
    <w:rPr>
      <w:color w:val="808080"/>
      <w:shd w:val="clear" w:color="auto" w:fill="E6E6E6"/>
    </w:rPr>
  </w:style>
  <w:style w:type="character" w:styleId="CommentReference">
    <w:name w:val="annotation reference"/>
    <w:basedOn w:val="DefaultParagraphFont"/>
    <w:uiPriority w:val="99"/>
    <w:unhideWhenUsed/>
    <w:rsid w:val="00960D93"/>
    <w:rPr>
      <w:sz w:val="16"/>
      <w:szCs w:val="16"/>
    </w:rPr>
  </w:style>
  <w:style w:type="paragraph" w:styleId="CommentText">
    <w:name w:val="annotation text"/>
    <w:basedOn w:val="Normal"/>
    <w:link w:val="CommentTextChar"/>
    <w:uiPriority w:val="99"/>
    <w:unhideWhenUsed/>
    <w:rsid w:val="00960D93"/>
    <w:pPr>
      <w:spacing w:line="240" w:lineRule="auto"/>
    </w:pPr>
    <w:rPr>
      <w:sz w:val="20"/>
      <w:szCs w:val="20"/>
    </w:rPr>
  </w:style>
  <w:style w:type="character" w:customStyle="1" w:styleId="CommentTextChar">
    <w:name w:val="Comment Text Char"/>
    <w:basedOn w:val="DefaultParagraphFont"/>
    <w:link w:val="CommentText"/>
    <w:uiPriority w:val="99"/>
    <w:rsid w:val="00960D93"/>
    <w:rPr>
      <w:rFonts w:ascii="Calibri" w:hAnsi="Calibri"/>
      <w:sz w:val="20"/>
      <w:szCs w:val="20"/>
    </w:rPr>
  </w:style>
  <w:style w:type="paragraph" w:styleId="CommentSubject">
    <w:name w:val="annotation subject"/>
    <w:basedOn w:val="CommentText"/>
    <w:next w:val="CommentText"/>
    <w:link w:val="CommentSubjectChar"/>
    <w:unhideWhenUsed/>
    <w:rsid w:val="00960D93"/>
    <w:rPr>
      <w:b/>
      <w:bCs/>
    </w:rPr>
  </w:style>
  <w:style w:type="character" w:customStyle="1" w:styleId="CommentSubjectChar">
    <w:name w:val="Comment Subject Char"/>
    <w:basedOn w:val="CommentTextChar"/>
    <w:link w:val="CommentSubject"/>
    <w:rsid w:val="00960D93"/>
    <w:rPr>
      <w:rFonts w:ascii="Calibri" w:hAnsi="Calibri"/>
      <w:b/>
      <w:bCs/>
      <w:sz w:val="20"/>
      <w:szCs w:val="20"/>
    </w:rPr>
  </w:style>
  <w:style w:type="character" w:styleId="PageNumber">
    <w:name w:val="page number"/>
    <w:basedOn w:val="DefaultParagraphFont"/>
    <w:rsid w:val="009D4EF6"/>
    <w:rPr>
      <w:rFonts w:ascii="Palatino Linotype" w:hAnsi="Palatino Linotype"/>
      <w:i/>
      <w:sz w:val="20"/>
    </w:rPr>
  </w:style>
  <w:style w:type="paragraph" w:styleId="TOC4">
    <w:name w:val="toc 4"/>
    <w:basedOn w:val="Normal"/>
    <w:next w:val="Normal"/>
    <w:autoRedefine/>
    <w:semiHidden/>
    <w:rsid w:val="009D4EF6"/>
    <w:pPr>
      <w:spacing w:before="240" w:after="0" w:line="240" w:lineRule="auto"/>
      <w:ind w:left="660" w:right="0"/>
      <w:jc w:val="both"/>
    </w:pPr>
    <w:rPr>
      <w:rFonts w:ascii="Garamond" w:eastAsia="Times" w:hAnsi="Garamond" w:cs="Times New Roman"/>
      <w:sz w:val="26"/>
      <w:szCs w:val="20"/>
    </w:rPr>
  </w:style>
  <w:style w:type="paragraph" w:styleId="TOC5">
    <w:name w:val="toc 5"/>
    <w:basedOn w:val="Normal"/>
    <w:next w:val="Normal"/>
    <w:autoRedefine/>
    <w:semiHidden/>
    <w:rsid w:val="009D4EF6"/>
    <w:pPr>
      <w:spacing w:before="240" w:after="0" w:line="240" w:lineRule="auto"/>
      <w:ind w:left="880" w:right="0"/>
      <w:jc w:val="both"/>
    </w:pPr>
    <w:rPr>
      <w:rFonts w:ascii="Garamond" w:eastAsia="Times" w:hAnsi="Garamond" w:cs="Times New Roman"/>
      <w:sz w:val="26"/>
      <w:szCs w:val="20"/>
    </w:rPr>
  </w:style>
  <w:style w:type="paragraph" w:styleId="TOC6">
    <w:name w:val="toc 6"/>
    <w:basedOn w:val="Normal"/>
    <w:next w:val="Normal"/>
    <w:autoRedefine/>
    <w:semiHidden/>
    <w:rsid w:val="009D4EF6"/>
    <w:pPr>
      <w:spacing w:before="240" w:after="0" w:line="240" w:lineRule="auto"/>
      <w:ind w:left="1100" w:right="0"/>
      <w:jc w:val="both"/>
    </w:pPr>
    <w:rPr>
      <w:rFonts w:ascii="Garamond" w:eastAsia="Times" w:hAnsi="Garamond" w:cs="Times New Roman"/>
      <w:sz w:val="26"/>
      <w:szCs w:val="20"/>
    </w:rPr>
  </w:style>
  <w:style w:type="paragraph" w:styleId="TOC7">
    <w:name w:val="toc 7"/>
    <w:basedOn w:val="Normal"/>
    <w:next w:val="Normal"/>
    <w:autoRedefine/>
    <w:semiHidden/>
    <w:rsid w:val="009D4EF6"/>
    <w:pPr>
      <w:spacing w:before="240" w:after="0" w:line="240" w:lineRule="auto"/>
      <w:ind w:left="1320" w:right="0"/>
      <w:jc w:val="both"/>
    </w:pPr>
    <w:rPr>
      <w:rFonts w:ascii="Garamond" w:eastAsia="Times" w:hAnsi="Garamond" w:cs="Times New Roman"/>
      <w:sz w:val="26"/>
      <w:szCs w:val="20"/>
    </w:rPr>
  </w:style>
  <w:style w:type="paragraph" w:styleId="TOC9">
    <w:name w:val="toc 9"/>
    <w:basedOn w:val="Normal"/>
    <w:next w:val="Normal"/>
    <w:autoRedefine/>
    <w:semiHidden/>
    <w:rsid w:val="009D4EF6"/>
    <w:pPr>
      <w:spacing w:before="240" w:after="0" w:line="240" w:lineRule="auto"/>
      <w:ind w:left="1760" w:right="0"/>
      <w:jc w:val="both"/>
    </w:pPr>
    <w:rPr>
      <w:rFonts w:ascii="Garamond" w:eastAsia="Times" w:hAnsi="Garamond" w:cs="Times New Roman"/>
      <w:sz w:val="26"/>
      <w:szCs w:val="20"/>
    </w:rPr>
  </w:style>
  <w:style w:type="paragraph" w:customStyle="1" w:styleId="TableHeading">
    <w:name w:val="Table Heading"/>
    <w:basedOn w:val="Table"/>
    <w:rsid w:val="009D4EF6"/>
    <w:pPr>
      <w:keepNext/>
      <w:spacing w:after="40"/>
      <w:jc w:val="both"/>
    </w:pPr>
    <w:rPr>
      <w:rFonts w:ascii="Tahoma" w:hAnsi="Tahoma" w:cs="Tahoma"/>
      <w:b/>
      <w:sz w:val="20"/>
    </w:rPr>
  </w:style>
  <w:style w:type="paragraph" w:customStyle="1" w:styleId="TableTotal">
    <w:name w:val="Table Total"/>
    <w:basedOn w:val="Table"/>
    <w:rsid w:val="009D4EF6"/>
    <w:pPr>
      <w:keepNext/>
      <w:spacing w:after="40"/>
      <w:jc w:val="both"/>
    </w:pPr>
    <w:rPr>
      <w:rFonts w:ascii="Tahoma" w:hAnsi="Tahoma" w:cs="Tahoma"/>
      <w:b/>
    </w:rPr>
  </w:style>
  <w:style w:type="paragraph" w:styleId="TableofFigures">
    <w:name w:val="table of figures"/>
    <w:basedOn w:val="TOC2"/>
    <w:next w:val="Normal"/>
    <w:uiPriority w:val="99"/>
    <w:rsid w:val="009D4EF6"/>
    <w:pPr>
      <w:tabs>
        <w:tab w:val="right" w:pos="9072"/>
      </w:tabs>
      <w:spacing w:after="0" w:line="240" w:lineRule="auto"/>
      <w:ind w:left="440" w:right="0" w:hanging="440"/>
      <w:jc w:val="both"/>
    </w:pPr>
    <w:rPr>
      <w:rFonts w:ascii="Tahoma" w:eastAsia="Times" w:hAnsi="Tahoma" w:cs="Times New Roman"/>
      <w:noProof/>
      <w:sz w:val="20"/>
      <w:szCs w:val="40"/>
    </w:rPr>
  </w:style>
  <w:style w:type="paragraph" w:customStyle="1" w:styleId="Normal-following">
    <w:name w:val="Normal - following"/>
    <w:basedOn w:val="Normal"/>
    <w:rsid w:val="009D4EF6"/>
    <w:pPr>
      <w:overflowPunct w:val="0"/>
      <w:autoSpaceDE w:val="0"/>
      <w:autoSpaceDN w:val="0"/>
      <w:adjustRightInd w:val="0"/>
      <w:spacing w:before="60" w:after="0" w:line="252" w:lineRule="auto"/>
      <w:ind w:left="0" w:right="0"/>
      <w:jc w:val="both"/>
      <w:textAlignment w:val="baseline"/>
    </w:pPr>
    <w:rPr>
      <w:rFonts w:ascii="Garamond" w:eastAsia="Times New Roman" w:hAnsi="Garamond" w:cs="Times New Roman"/>
      <w:sz w:val="26"/>
      <w:szCs w:val="20"/>
    </w:rPr>
  </w:style>
  <w:style w:type="paragraph" w:customStyle="1" w:styleId="HeaderDate">
    <w:name w:val="Header Date"/>
    <w:basedOn w:val="Header"/>
    <w:rsid w:val="009D4EF6"/>
    <w:pPr>
      <w:tabs>
        <w:tab w:val="clear" w:pos="4513"/>
        <w:tab w:val="clear" w:pos="9026"/>
        <w:tab w:val="center" w:pos="4320"/>
        <w:tab w:val="right" w:pos="8640"/>
      </w:tabs>
      <w:spacing w:before="240"/>
      <w:ind w:left="0" w:right="0"/>
      <w:jc w:val="both"/>
    </w:pPr>
    <w:rPr>
      <w:rFonts w:ascii="Tahoma" w:eastAsia="Times" w:hAnsi="Tahoma" w:cs="Times New Roman"/>
      <w:i/>
      <w:sz w:val="16"/>
      <w:szCs w:val="20"/>
    </w:rPr>
  </w:style>
  <w:style w:type="paragraph" w:styleId="BodyText">
    <w:name w:val="Body Text"/>
    <w:basedOn w:val="Normal"/>
    <w:link w:val="BodyTextChar"/>
    <w:rsid w:val="009D4EF6"/>
    <w:pPr>
      <w:spacing w:before="240" w:after="0" w:line="240" w:lineRule="auto"/>
      <w:ind w:left="0" w:right="0"/>
      <w:jc w:val="both"/>
    </w:pPr>
    <w:rPr>
      <w:rFonts w:ascii="Garamond" w:eastAsia="Times" w:hAnsi="Garamond" w:cs="Times New Roman"/>
      <w:sz w:val="26"/>
      <w:szCs w:val="20"/>
    </w:rPr>
  </w:style>
  <w:style w:type="character" w:customStyle="1" w:styleId="BodyTextChar">
    <w:name w:val="Body Text Char"/>
    <w:basedOn w:val="DefaultParagraphFont"/>
    <w:link w:val="BodyText"/>
    <w:rsid w:val="009D4EF6"/>
    <w:rPr>
      <w:rFonts w:ascii="Garamond" w:eastAsia="Times" w:hAnsi="Garamond" w:cs="Times New Roman"/>
      <w:sz w:val="26"/>
      <w:szCs w:val="20"/>
      <w:lang w:val="en-AU"/>
    </w:rPr>
  </w:style>
  <w:style w:type="paragraph" w:customStyle="1" w:styleId="Bullets-Major">
    <w:name w:val="Bullets - Major"/>
    <w:basedOn w:val="Normal"/>
    <w:qFormat/>
    <w:rsid w:val="00386CEF"/>
    <w:pPr>
      <w:numPr>
        <w:numId w:val="13"/>
      </w:numPr>
      <w:spacing w:before="60" w:after="60"/>
    </w:pPr>
  </w:style>
  <w:style w:type="paragraph" w:customStyle="1" w:styleId="Normal-singlespaced">
    <w:name w:val="Normal - single spaced"/>
    <w:basedOn w:val="Normal"/>
    <w:rsid w:val="009D4EF6"/>
    <w:pPr>
      <w:overflowPunct w:val="0"/>
      <w:autoSpaceDE w:val="0"/>
      <w:autoSpaceDN w:val="0"/>
      <w:adjustRightInd w:val="0"/>
      <w:spacing w:before="0" w:after="0" w:line="252" w:lineRule="auto"/>
      <w:ind w:left="0" w:right="0"/>
      <w:jc w:val="both"/>
      <w:textAlignment w:val="baseline"/>
    </w:pPr>
    <w:rPr>
      <w:rFonts w:ascii="Garamond" w:eastAsia="Times New Roman" w:hAnsi="Garamond" w:cs="Times New Roman"/>
      <w:sz w:val="26"/>
      <w:szCs w:val="20"/>
    </w:rPr>
  </w:style>
  <w:style w:type="paragraph" w:customStyle="1" w:styleId="Non-TOCHeading3">
    <w:name w:val="Non-TOC Heading 3"/>
    <w:basedOn w:val="Heading3"/>
    <w:rsid w:val="009D4EF6"/>
    <w:pPr>
      <w:overflowPunct w:val="0"/>
      <w:autoSpaceDE w:val="0"/>
      <w:autoSpaceDN w:val="0"/>
      <w:adjustRightInd w:val="0"/>
      <w:spacing w:after="0" w:line="252" w:lineRule="auto"/>
      <w:ind w:left="0" w:right="0"/>
      <w:textAlignment w:val="baseline"/>
      <w:outlineLvl w:val="9"/>
    </w:pPr>
    <w:rPr>
      <w:rFonts w:ascii="Arial" w:eastAsia="Times New Roman" w:hAnsi="Arial" w:cs="Tahoma"/>
      <w:b w:val="0"/>
      <w:i/>
      <w:iCs/>
      <w:sz w:val="28"/>
      <w:szCs w:val="20"/>
    </w:rPr>
  </w:style>
  <w:style w:type="paragraph" w:styleId="BodyTextIndent">
    <w:name w:val="Body Text Indent"/>
    <w:basedOn w:val="Normal"/>
    <w:link w:val="BodyTextIndentChar"/>
    <w:rsid w:val="009D4EF6"/>
    <w:pPr>
      <w:widowControl w:val="0"/>
      <w:overflowPunct w:val="0"/>
      <w:autoSpaceDE w:val="0"/>
      <w:autoSpaceDN w:val="0"/>
      <w:adjustRightInd w:val="0"/>
      <w:spacing w:before="240" w:after="0" w:line="240" w:lineRule="auto"/>
      <w:ind w:left="1418" w:right="0" w:hanging="1418"/>
      <w:jc w:val="both"/>
      <w:textAlignment w:val="baseline"/>
    </w:pPr>
    <w:rPr>
      <w:rFonts w:ascii="Garamond" w:eastAsia="Times New Roman" w:hAnsi="Garamond" w:cs="Times New Roman"/>
      <w:sz w:val="26"/>
      <w:szCs w:val="20"/>
    </w:rPr>
  </w:style>
  <w:style w:type="character" w:customStyle="1" w:styleId="BodyTextIndentChar">
    <w:name w:val="Body Text Indent Char"/>
    <w:basedOn w:val="DefaultParagraphFont"/>
    <w:link w:val="BodyTextIndent"/>
    <w:rsid w:val="009D4EF6"/>
    <w:rPr>
      <w:rFonts w:ascii="Garamond" w:eastAsia="Times New Roman" w:hAnsi="Garamond" w:cs="Times New Roman"/>
      <w:sz w:val="26"/>
      <w:szCs w:val="20"/>
      <w:lang w:val="en-AU"/>
    </w:rPr>
  </w:style>
  <w:style w:type="paragraph" w:styleId="BlockText">
    <w:name w:val="Block Text"/>
    <w:basedOn w:val="Normal"/>
    <w:rsid w:val="009D4EF6"/>
    <w:pPr>
      <w:spacing w:before="240" w:after="120" w:line="240" w:lineRule="auto"/>
      <w:ind w:left="1440" w:right="1440"/>
      <w:jc w:val="both"/>
    </w:pPr>
    <w:rPr>
      <w:rFonts w:ascii="Garamond" w:eastAsia="Times" w:hAnsi="Garamond" w:cs="Times New Roman"/>
      <w:sz w:val="26"/>
      <w:szCs w:val="20"/>
    </w:rPr>
  </w:style>
  <w:style w:type="paragraph" w:customStyle="1" w:styleId="NonTOCHeading3">
    <w:name w:val="Non TOC Heading 3"/>
    <w:basedOn w:val="Heading3"/>
    <w:rsid w:val="009D4EF6"/>
    <w:pPr>
      <w:keepLines w:val="0"/>
      <w:spacing w:after="0" w:line="240" w:lineRule="auto"/>
      <w:ind w:left="0" w:right="0"/>
      <w:jc w:val="both"/>
    </w:pPr>
    <w:rPr>
      <w:rFonts w:ascii="Tahoma" w:eastAsia="Times" w:hAnsi="Tahoma" w:cs="Tahoma"/>
      <w:b w:val="0"/>
      <w:i/>
      <w:iCs/>
      <w:sz w:val="28"/>
      <w:szCs w:val="20"/>
    </w:rPr>
  </w:style>
  <w:style w:type="paragraph" w:styleId="BodyText2">
    <w:name w:val="Body Text 2"/>
    <w:basedOn w:val="Normal"/>
    <w:link w:val="BodyText2Char"/>
    <w:rsid w:val="009D4EF6"/>
    <w:pPr>
      <w:spacing w:before="240" w:after="120" w:line="480" w:lineRule="auto"/>
      <w:ind w:left="0" w:right="0"/>
      <w:jc w:val="both"/>
    </w:pPr>
    <w:rPr>
      <w:rFonts w:ascii="Garamond" w:eastAsia="Times" w:hAnsi="Garamond" w:cs="Times New Roman"/>
      <w:sz w:val="26"/>
      <w:szCs w:val="20"/>
    </w:rPr>
  </w:style>
  <w:style w:type="character" w:customStyle="1" w:styleId="BodyText2Char">
    <w:name w:val="Body Text 2 Char"/>
    <w:basedOn w:val="DefaultParagraphFont"/>
    <w:link w:val="BodyText2"/>
    <w:rsid w:val="009D4EF6"/>
    <w:rPr>
      <w:rFonts w:ascii="Garamond" w:eastAsia="Times" w:hAnsi="Garamond" w:cs="Times New Roman"/>
      <w:sz w:val="26"/>
      <w:szCs w:val="20"/>
      <w:lang w:val="en-AU"/>
    </w:rPr>
  </w:style>
  <w:style w:type="paragraph" w:styleId="BodyText3">
    <w:name w:val="Body Text 3"/>
    <w:basedOn w:val="Normal"/>
    <w:link w:val="BodyText3Char"/>
    <w:uiPriority w:val="99"/>
    <w:rsid w:val="009D4EF6"/>
    <w:pPr>
      <w:spacing w:before="240" w:after="120" w:line="240" w:lineRule="auto"/>
      <w:ind w:left="0" w:right="0"/>
      <w:jc w:val="both"/>
    </w:pPr>
    <w:rPr>
      <w:rFonts w:ascii="Garamond" w:eastAsia="Times" w:hAnsi="Garamond" w:cs="Times New Roman"/>
      <w:sz w:val="16"/>
      <w:szCs w:val="16"/>
    </w:rPr>
  </w:style>
  <w:style w:type="character" w:customStyle="1" w:styleId="BodyText3Char">
    <w:name w:val="Body Text 3 Char"/>
    <w:basedOn w:val="DefaultParagraphFont"/>
    <w:link w:val="BodyText3"/>
    <w:uiPriority w:val="99"/>
    <w:rsid w:val="009D4EF6"/>
    <w:rPr>
      <w:rFonts w:ascii="Garamond" w:eastAsia="Times" w:hAnsi="Garamond" w:cs="Times New Roman"/>
      <w:sz w:val="16"/>
      <w:szCs w:val="16"/>
      <w:lang w:val="en-AU"/>
    </w:rPr>
  </w:style>
  <w:style w:type="paragraph" w:styleId="BodyTextFirstIndent">
    <w:name w:val="Body Text First Indent"/>
    <w:basedOn w:val="BodyText"/>
    <w:link w:val="BodyTextFirstIndentChar"/>
    <w:rsid w:val="009D4EF6"/>
    <w:pPr>
      <w:spacing w:after="120"/>
      <w:ind w:firstLine="210"/>
    </w:pPr>
    <w:rPr>
      <w:rFonts w:ascii="Palatino" w:hAnsi="Palatino"/>
      <w:sz w:val="22"/>
    </w:rPr>
  </w:style>
  <w:style w:type="character" w:customStyle="1" w:styleId="BodyTextFirstIndentChar">
    <w:name w:val="Body Text First Indent Char"/>
    <w:basedOn w:val="BodyTextChar"/>
    <w:link w:val="BodyTextFirstIndent"/>
    <w:rsid w:val="009D4EF6"/>
    <w:rPr>
      <w:rFonts w:ascii="Palatino" w:eastAsia="Times" w:hAnsi="Palatino" w:cs="Times New Roman"/>
      <w:sz w:val="26"/>
      <w:szCs w:val="20"/>
      <w:lang w:val="en-AU"/>
    </w:rPr>
  </w:style>
  <w:style w:type="paragraph" w:styleId="BodyTextFirstIndent2">
    <w:name w:val="Body Text First Indent 2"/>
    <w:basedOn w:val="BodyTextIndent"/>
    <w:link w:val="BodyTextFirstIndent2Char"/>
    <w:rsid w:val="009D4EF6"/>
    <w:pPr>
      <w:widowControl/>
      <w:overflowPunct/>
      <w:autoSpaceDE/>
      <w:autoSpaceDN/>
      <w:adjustRightInd/>
      <w:spacing w:after="120"/>
      <w:ind w:left="283" w:firstLine="210"/>
      <w:textAlignment w:val="auto"/>
    </w:pPr>
    <w:rPr>
      <w:rFonts w:ascii="Palatino" w:eastAsia="Times" w:hAnsi="Palatino"/>
      <w:sz w:val="22"/>
      <w:lang w:val="en-GB"/>
    </w:rPr>
  </w:style>
  <w:style w:type="character" w:customStyle="1" w:styleId="BodyTextFirstIndent2Char">
    <w:name w:val="Body Text First Indent 2 Char"/>
    <w:basedOn w:val="BodyTextIndentChar"/>
    <w:link w:val="BodyTextFirstIndent2"/>
    <w:rsid w:val="009D4EF6"/>
    <w:rPr>
      <w:rFonts w:ascii="Palatino" w:eastAsia="Times" w:hAnsi="Palatino" w:cs="Times New Roman"/>
      <w:sz w:val="26"/>
      <w:szCs w:val="20"/>
      <w:lang w:val="en-GB"/>
    </w:rPr>
  </w:style>
  <w:style w:type="paragraph" w:styleId="BodyTextIndent2">
    <w:name w:val="Body Text Indent 2"/>
    <w:basedOn w:val="Normal"/>
    <w:link w:val="BodyTextIndent2Char"/>
    <w:rsid w:val="009D4EF6"/>
    <w:pPr>
      <w:spacing w:before="240" w:after="120" w:line="480" w:lineRule="auto"/>
      <w:ind w:left="283" w:right="0"/>
      <w:jc w:val="both"/>
    </w:pPr>
    <w:rPr>
      <w:rFonts w:ascii="Garamond" w:eastAsia="Times" w:hAnsi="Garamond" w:cs="Times New Roman"/>
      <w:sz w:val="26"/>
      <w:szCs w:val="20"/>
    </w:rPr>
  </w:style>
  <w:style w:type="character" w:customStyle="1" w:styleId="BodyTextIndent2Char">
    <w:name w:val="Body Text Indent 2 Char"/>
    <w:basedOn w:val="DefaultParagraphFont"/>
    <w:link w:val="BodyTextIndent2"/>
    <w:rsid w:val="009D4EF6"/>
    <w:rPr>
      <w:rFonts w:ascii="Garamond" w:eastAsia="Times" w:hAnsi="Garamond" w:cs="Times New Roman"/>
      <w:sz w:val="26"/>
      <w:szCs w:val="20"/>
      <w:lang w:val="en-AU"/>
    </w:rPr>
  </w:style>
  <w:style w:type="paragraph" w:styleId="BodyTextIndent3">
    <w:name w:val="Body Text Indent 3"/>
    <w:basedOn w:val="Normal"/>
    <w:link w:val="BodyTextIndent3Char"/>
    <w:rsid w:val="009D4EF6"/>
    <w:pPr>
      <w:spacing w:before="240" w:after="120" w:line="240" w:lineRule="auto"/>
      <w:ind w:left="283" w:right="0"/>
      <w:jc w:val="both"/>
    </w:pPr>
    <w:rPr>
      <w:rFonts w:ascii="Garamond" w:eastAsia="Times" w:hAnsi="Garamond" w:cs="Times New Roman"/>
      <w:sz w:val="16"/>
      <w:szCs w:val="16"/>
    </w:rPr>
  </w:style>
  <w:style w:type="character" w:customStyle="1" w:styleId="BodyTextIndent3Char">
    <w:name w:val="Body Text Indent 3 Char"/>
    <w:basedOn w:val="DefaultParagraphFont"/>
    <w:link w:val="BodyTextIndent3"/>
    <w:rsid w:val="009D4EF6"/>
    <w:rPr>
      <w:rFonts w:ascii="Garamond" w:eastAsia="Times" w:hAnsi="Garamond" w:cs="Times New Roman"/>
      <w:sz w:val="16"/>
      <w:szCs w:val="16"/>
      <w:lang w:val="en-AU"/>
    </w:rPr>
  </w:style>
  <w:style w:type="paragraph" w:styleId="Closing">
    <w:name w:val="Closing"/>
    <w:basedOn w:val="Normal"/>
    <w:link w:val="ClosingChar"/>
    <w:rsid w:val="009D4EF6"/>
    <w:pPr>
      <w:spacing w:before="240" w:after="0" w:line="240" w:lineRule="auto"/>
      <w:ind w:left="4252" w:right="0"/>
      <w:jc w:val="both"/>
    </w:pPr>
    <w:rPr>
      <w:rFonts w:ascii="Garamond" w:eastAsia="Times" w:hAnsi="Garamond" w:cs="Times New Roman"/>
      <w:sz w:val="26"/>
      <w:szCs w:val="20"/>
    </w:rPr>
  </w:style>
  <w:style w:type="character" w:customStyle="1" w:styleId="ClosingChar">
    <w:name w:val="Closing Char"/>
    <w:basedOn w:val="DefaultParagraphFont"/>
    <w:link w:val="Closing"/>
    <w:rsid w:val="009D4EF6"/>
    <w:rPr>
      <w:rFonts w:ascii="Garamond" w:eastAsia="Times" w:hAnsi="Garamond" w:cs="Times New Roman"/>
      <w:sz w:val="26"/>
      <w:szCs w:val="20"/>
      <w:lang w:val="en-AU"/>
    </w:rPr>
  </w:style>
  <w:style w:type="paragraph" w:styleId="Date">
    <w:name w:val="Date"/>
    <w:basedOn w:val="Normal"/>
    <w:next w:val="Normal"/>
    <w:link w:val="DateChar"/>
    <w:rsid w:val="009D4EF6"/>
    <w:pPr>
      <w:spacing w:before="240" w:after="0" w:line="240" w:lineRule="auto"/>
      <w:ind w:left="0" w:right="0"/>
      <w:jc w:val="both"/>
    </w:pPr>
    <w:rPr>
      <w:rFonts w:ascii="Garamond" w:eastAsia="Times" w:hAnsi="Garamond" w:cs="Times New Roman"/>
      <w:sz w:val="26"/>
      <w:szCs w:val="20"/>
    </w:rPr>
  </w:style>
  <w:style w:type="character" w:customStyle="1" w:styleId="DateChar">
    <w:name w:val="Date Char"/>
    <w:basedOn w:val="DefaultParagraphFont"/>
    <w:link w:val="Date"/>
    <w:rsid w:val="009D4EF6"/>
    <w:rPr>
      <w:rFonts w:ascii="Garamond" w:eastAsia="Times" w:hAnsi="Garamond" w:cs="Times New Roman"/>
      <w:sz w:val="26"/>
      <w:szCs w:val="20"/>
      <w:lang w:val="en-AU"/>
    </w:rPr>
  </w:style>
  <w:style w:type="paragraph" w:styleId="DocumentMap">
    <w:name w:val="Document Map"/>
    <w:basedOn w:val="Normal"/>
    <w:link w:val="DocumentMapChar"/>
    <w:semiHidden/>
    <w:rsid w:val="009D4EF6"/>
    <w:pPr>
      <w:shd w:val="clear" w:color="auto" w:fill="000080"/>
      <w:spacing w:before="240" w:after="0" w:line="240" w:lineRule="auto"/>
      <w:ind w:left="0" w:right="0"/>
      <w:jc w:val="both"/>
    </w:pPr>
    <w:rPr>
      <w:rFonts w:ascii="Tahoma" w:eastAsia="Times" w:hAnsi="Tahoma" w:cs="Tahoma"/>
      <w:sz w:val="26"/>
      <w:szCs w:val="20"/>
    </w:rPr>
  </w:style>
  <w:style w:type="character" w:customStyle="1" w:styleId="DocumentMapChar">
    <w:name w:val="Document Map Char"/>
    <w:basedOn w:val="DefaultParagraphFont"/>
    <w:link w:val="DocumentMap"/>
    <w:semiHidden/>
    <w:rsid w:val="009D4EF6"/>
    <w:rPr>
      <w:rFonts w:ascii="Tahoma" w:eastAsia="Times" w:hAnsi="Tahoma" w:cs="Tahoma"/>
      <w:sz w:val="26"/>
      <w:szCs w:val="20"/>
      <w:shd w:val="clear" w:color="auto" w:fill="000080"/>
      <w:lang w:val="en-AU"/>
    </w:rPr>
  </w:style>
  <w:style w:type="paragraph" w:styleId="E-mailSignature">
    <w:name w:val="E-mail Signature"/>
    <w:basedOn w:val="Normal"/>
    <w:link w:val="E-mailSignatureChar"/>
    <w:rsid w:val="009D4EF6"/>
    <w:pPr>
      <w:spacing w:before="240" w:after="0" w:line="240" w:lineRule="auto"/>
      <w:ind w:left="0" w:right="0"/>
      <w:jc w:val="both"/>
    </w:pPr>
    <w:rPr>
      <w:rFonts w:ascii="Garamond" w:eastAsia="Times" w:hAnsi="Garamond" w:cs="Times New Roman"/>
      <w:sz w:val="26"/>
      <w:szCs w:val="20"/>
    </w:rPr>
  </w:style>
  <w:style w:type="character" w:customStyle="1" w:styleId="E-mailSignatureChar">
    <w:name w:val="E-mail Signature Char"/>
    <w:basedOn w:val="DefaultParagraphFont"/>
    <w:link w:val="E-mailSignature"/>
    <w:rsid w:val="009D4EF6"/>
    <w:rPr>
      <w:rFonts w:ascii="Garamond" w:eastAsia="Times" w:hAnsi="Garamond" w:cs="Times New Roman"/>
      <w:sz w:val="26"/>
      <w:szCs w:val="20"/>
      <w:lang w:val="en-AU"/>
    </w:rPr>
  </w:style>
  <w:style w:type="paragraph" w:styleId="EndnoteText">
    <w:name w:val="endnote text"/>
    <w:basedOn w:val="Normal"/>
    <w:link w:val="EndnoteTextChar"/>
    <w:semiHidden/>
    <w:rsid w:val="009D4EF6"/>
    <w:pPr>
      <w:spacing w:before="240" w:after="0" w:line="240" w:lineRule="auto"/>
      <w:ind w:left="0" w:right="0"/>
      <w:jc w:val="both"/>
    </w:pPr>
    <w:rPr>
      <w:rFonts w:ascii="Garamond" w:eastAsia="Times" w:hAnsi="Garamond" w:cs="Times New Roman"/>
      <w:sz w:val="20"/>
      <w:szCs w:val="20"/>
    </w:rPr>
  </w:style>
  <w:style w:type="character" w:customStyle="1" w:styleId="EndnoteTextChar">
    <w:name w:val="Endnote Text Char"/>
    <w:basedOn w:val="DefaultParagraphFont"/>
    <w:link w:val="EndnoteText"/>
    <w:semiHidden/>
    <w:rsid w:val="009D4EF6"/>
    <w:rPr>
      <w:rFonts w:ascii="Garamond" w:eastAsia="Times" w:hAnsi="Garamond" w:cs="Times New Roman"/>
      <w:sz w:val="20"/>
      <w:szCs w:val="20"/>
      <w:lang w:val="en-AU"/>
    </w:rPr>
  </w:style>
  <w:style w:type="paragraph" w:styleId="EnvelopeAddress">
    <w:name w:val="envelope address"/>
    <w:basedOn w:val="Normal"/>
    <w:rsid w:val="009D4EF6"/>
    <w:pPr>
      <w:framePr w:w="7920" w:h="1980" w:hRule="exact" w:hSpace="180" w:wrap="auto" w:hAnchor="page" w:xAlign="center" w:yAlign="bottom"/>
      <w:spacing w:before="240" w:after="0" w:line="240" w:lineRule="auto"/>
      <w:ind w:left="2880" w:right="0"/>
      <w:jc w:val="both"/>
    </w:pPr>
    <w:rPr>
      <w:rFonts w:ascii="Arial" w:eastAsia="Times" w:hAnsi="Arial" w:cs="Arial"/>
      <w:sz w:val="24"/>
      <w:szCs w:val="24"/>
    </w:rPr>
  </w:style>
  <w:style w:type="paragraph" w:styleId="EnvelopeReturn">
    <w:name w:val="envelope return"/>
    <w:basedOn w:val="Normal"/>
    <w:rsid w:val="009D4EF6"/>
    <w:pPr>
      <w:spacing w:before="240" w:after="0" w:line="240" w:lineRule="auto"/>
      <w:ind w:left="0" w:right="0"/>
      <w:jc w:val="both"/>
    </w:pPr>
    <w:rPr>
      <w:rFonts w:ascii="Arial" w:eastAsia="Times" w:hAnsi="Arial" w:cs="Arial"/>
      <w:sz w:val="20"/>
      <w:szCs w:val="20"/>
    </w:rPr>
  </w:style>
  <w:style w:type="paragraph" w:styleId="HTMLAddress">
    <w:name w:val="HTML Address"/>
    <w:basedOn w:val="Normal"/>
    <w:link w:val="HTMLAddressChar"/>
    <w:rsid w:val="009D4EF6"/>
    <w:pPr>
      <w:spacing w:before="240" w:after="0" w:line="240" w:lineRule="auto"/>
      <w:ind w:left="0" w:right="0"/>
      <w:jc w:val="both"/>
    </w:pPr>
    <w:rPr>
      <w:rFonts w:ascii="Garamond" w:eastAsia="Times" w:hAnsi="Garamond" w:cs="Times New Roman"/>
      <w:i/>
      <w:iCs/>
      <w:sz w:val="26"/>
      <w:szCs w:val="20"/>
    </w:rPr>
  </w:style>
  <w:style w:type="character" w:customStyle="1" w:styleId="HTMLAddressChar">
    <w:name w:val="HTML Address Char"/>
    <w:basedOn w:val="DefaultParagraphFont"/>
    <w:link w:val="HTMLAddress"/>
    <w:rsid w:val="009D4EF6"/>
    <w:rPr>
      <w:rFonts w:ascii="Garamond" w:eastAsia="Times" w:hAnsi="Garamond" w:cs="Times New Roman"/>
      <w:i/>
      <w:iCs/>
      <w:sz w:val="26"/>
      <w:szCs w:val="20"/>
      <w:lang w:val="en-AU"/>
    </w:rPr>
  </w:style>
  <w:style w:type="paragraph" w:styleId="HTMLPreformatted">
    <w:name w:val="HTML Preformatted"/>
    <w:basedOn w:val="Normal"/>
    <w:link w:val="HTMLPreformattedChar"/>
    <w:rsid w:val="009D4EF6"/>
    <w:pPr>
      <w:spacing w:before="240" w:after="0" w:line="240" w:lineRule="auto"/>
      <w:ind w:left="0" w:right="0"/>
      <w:jc w:val="both"/>
    </w:pPr>
    <w:rPr>
      <w:rFonts w:ascii="Courier New" w:eastAsia="Times" w:hAnsi="Courier New" w:cs="Courier New"/>
      <w:sz w:val="20"/>
      <w:szCs w:val="20"/>
    </w:rPr>
  </w:style>
  <w:style w:type="character" w:customStyle="1" w:styleId="HTMLPreformattedChar">
    <w:name w:val="HTML Preformatted Char"/>
    <w:basedOn w:val="DefaultParagraphFont"/>
    <w:link w:val="HTMLPreformatted"/>
    <w:rsid w:val="009D4EF6"/>
    <w:rPr>
      <w:rFonts w:ascii="Courier New" w:eastAsia="Times" w:hAnsi="Courier New" w:cs="Courier New"/>
      <w:sz w:val="20"/>
      <w:szCs w:val="20"/>
      <w:lang w:val="en-AU"/>
    </w:rPr>
  </w:style>
  <w:style w:type="paragraph" w:styleId="Index1">
    <w:name w:val="index 1"/>
    <w:basedOn w:val="Normal"/>
    <w:next w:val="Normal"/>
    <w:autoRedefine/>
    <w:semiHidden/>
    <w:rsid w:val="009D4EF6"/>
    <w:pPr>
      <w:spacing w:before="240" w:after="0" w:line="240" w:lineRule="auto"/>
      <w:ind w:left="220" w:right="0" w:hanging="220"/>
      <w:jc w:val="both"/>
    </w:pPr>
    <w:rPr>
      <w:rFonts w:ascii="Garamond" w:eastAsia="Times" w:hAnsi="Garamond" w:cs="Times New Roman"/>
      <w:sz w:val="26"/>
      <w:szCs w:val="20"/>
    </w:rPr>
  </w:style>
  <w:style w:type="paragraph" w:styleId="Index2">
    <w:name w:val="index 2"/>
    <w:basedOn w:val="Normal"/>
    <w:next w:val="Normal"/>
    <w:autoRedefine/>
    <w:semiHidden/>
    <w:rsid w:val="009D4EF6"/>
    <w:pPr>
      <w:spacing w:before="240" w:after="0" w:line="240" w:lineRule="auto"/>
      <w:ind w:left="440" w:right="0" w:hanging="220"/>
      <w:jc w:val="both"/>
    </w:pPr>
    <w:rPr>
      <w:rFonts w:ascii="Garamond" w:eastAsia="Times" w:hAnsi="Garamond" w:cs="Times New Roman"/>
      <w:sz w:val="26"/>
      <w:szCs w:val="20"/>
    </w:rPr>
  </w:style>
  <w:style w:type="paragraph" w:styleId="Index3">
    <w:name w:val="index 3"/>
    <w:basedOn w:val="Normal"/>
    <w:next w:val="Normal"/>
    <w:autoRedefine/>
    <w:semiHidden/>
    <w:rsid w:val="009D4EF6"/>
    <w:pPr>
      <w:spacing w:before="240" w:after="0" w:line="240" w:lineRule="auto"/>
      <w:ind w:left="660" w:right="0" w:hanging="220"/>
      <w:jc w:val="both"/>
    </w:pPr>
    <w:rPr>
      <w:rFonts w:ascii="Garamond" w:eastAsia="Times" w:hAnsi="Garamond" w:cs="Times New Roman"/>
      <w:sz w:val="26"/>
      <w:szCs w:val="20"/>
    </w:rPr>
  </w:style>
  <w:style w:type="paragraph" w:styleId="Index4">
    <w:name w:val="index 4"/>
    <w:basedOn w:val="Normal"/>
    <w:next w:val="Normal"/>
    <w:autoRedefine/>
    <w:semiHidden/>
    <w:rsid w:val="009D4EF6"/>
    <w:pPr>
      <w:spacing w:before="240" w:after="0" w:line="240" w:lineRule="auto"/>
      <w:ind w:left="880" w:right="0" w:hanging="220"/>
      <w:jc w:val="both"/>
    </w:pPr>
    <w:rPr>
      <w:rFonts w:ascii="Garamond" w:eastAsia="Times" w:hAnsi="Garamond" w:cs="Times New Roman"/>
      <w:sz w:val="26"/>
      <w:szCs w:val="20"/>
    </w:rPr>
  </w:style>
  <w:style w:type="paragraph" w:styleId="Index5">
    <w:name w:val="index 5"/>
    <w:basedOn w:val="Normal"/>
    <w:next w:val="Normal"/>
    <w:autoRedefine/>
    <w:semiHidden/>
    <w:rsid w:val="009D4EF6"/>
    <w:pPr>
      <w:spacing w:before="240" w:after="0" w:line="240" w:lineRule="auto"/>
      <w:ind w:left="1100" w:right="0" w:hanging="220"/>
      <w:jc w:val="both"/>
    </w:pPr>
    <w:rPr>
      <w:rFonts w:ascii="Garamond" w:eastAsia="Times" w:hAnsi="Garamond" w:cs="Times New Roman"/>
      <w:sz w:val="26"/>
      <w:szCs w:val="20"/>
    </w:rPr>
  </w:style>
  <w:style w:type="paragraph" w:styleId="Index6">
    <w:name w:val="index 6"/>
    <w:basedOn w:val="Normal"/>
    <w:next w:val="Normal"/>
    <w:autoRedefine/>
    <w:semiHidden/>
    <w:rsid w:val="009D4EF6"/>
    <w:pPr>
      <w:spacing w:before="240" w:after="0" w:line="240" w:lineRule="auto"/>
      <w:ind w:left="1320" w:right="0" w:hanging="220"/>
      <w:jc w:val="both"/>
    </w:pPr>
    <w:rPr>
      <w:rFonts w:ascii="Garamond" w:eastAsia="Times" w:hAnsi="Garamond" w:cs="Times New Roman"/>
      <w:sz w:val="26"/>
      <w:szCs w:val="20"/>
    </w:rPr>
  </w:style>
  <w:style w:type="paragraph" w:styleId="Index7">
    <w:name w:val="index 7"/>
    <w:basedOn w:val="Normal"/>
    <w:next w:val="Normal"/>
    <w:autoRedefine/>
    <w:semiHidden/>
    <w:rsid w:val="009D4EF6"/>
    <w:pPr>
      <w:spacing w:before="240" w:after="0" w:line="240" w:lineRule="auto"/>
      <w:ind w:left="1540" w:right="0" w:hanging="220"/>
      <w:jc w:val="both"/>
    </w:pPr>
    <w:rPr>
      <w:rFonts w:ascii="Garamond" w:eastAsia="Times" w:hAnsi="Garamond" w:cs="Times New Roman"/>
      <w:sz w:val="26"/>
      <w:szCs w:val="20"/>
    </w:rPr>
  </w:style>
  <w:style w:type="paragraph" w:styleId="Index8">
    <w:name w:val="index 8"/>
    <w:basedOn w:val="Normal"/>
    <w:next w:val="Normal"/>
    <w:autoRedefine/>
    <w:semiHidden/>
    <w:rsid w:val="009D4EF6"/>
    <w:pPr>
      <w:spacing w:before="240" w:after="0" w:line="240" w:lineRule="auto"/>
      <w:ind w:left="1760" w:right="0" w:hanging="220"/>
      <w:jc w:val="both"/>
    </w:pPr>
    <w:rPr>
      <w:rFonts w:ascii="Garamond" w:eastAsia="Times" w:hAnsi="Garamond" w:cs="Times New Roman"/>
      <w:sz w:val="26"/>
      <w:szCs w:val="20"/>
    </w:rPr>
  </w:style>
  <w:style w:type="paragraph" w:styleId="Index9">
    <w:name w:val="index 9"/>
    <w:basedOn w:val="Normal"/>
    <w:next w:val="Normal"/>
    <w:autoRedefine/>
    <w:semiHidden/>
    <w:rsid w:val="009D4EF6"/>
    <w:pPr>
      <w:spacing w:before="240" w:after="0" w:line="240" w:lineRule="auto"/>
      <w:ind w:left="1980" w:right="0" w:hanging="220"/>
      <w:jc w:val="both"/>
    </w:pPr>
    <w:rPr>
      <w:rFonts w:ascii="Garamond" w:eastAsia="Times" w:hAnsi="Garamond" w:cs="Times New Roman"/>
      <w:sz w:val="26"/>
      <w:szCs w:val="20"/>
    </w:rPr>
  </w:style>
  <w:style w:type="paragraph" w:styleId="IndexHeading">
    <w:name w:val="index heading"/>
    <w:basedOn w:val="Normal"/>
    <w:next w:val="Index1"/>
    <w:semiHidden/>
    <w:rsid w:val="009D4EF6"/>
    <w:pPr>
      <w:spacing w:before="240" w:after="0" w:line="240" w:lineRule="auto"/>
      <w:ind w:left="0" w:right="0"/>
      <w:jc w:val="both"/>
    </w:pPr>
    <w:rPr>
      <w:rFonts w:ascii="Arial" w:eastAsia="Times" w:hAnsi="Arial" w:cs="Arial"/>
      <w:b/>
      <w:bCs/>
      <w:sz w:val="26"/>
      <w:szCs w:val="20"/>
    </w:rPr>
  </w:style>
  <w:style w:type="paragraph" w:styleId="List">
    <w:name w:val="List"/>
    <w:basedOn w:val="Normal"/>
    <w:rsid w:val="009D4EF6"/>
    <w:pPr>
      <w:spacing w:before="240" w:after="0" w:line="240" w:lineRule="auto"/>
      <w:ind w:left="283" w:right="0" w:hanging="283"/>
      <w:jc w:val="both"/>
    </w:pPr>
    <w:rPr>
      <w:rFonts w:ascii="Garamond" w:eastAsia="Times" w:hAnsi="Garamond" w:cs="Times New Roman"/>
      <w:sz w:val="26"/>
      <w:szCs w:val="20"/>
    </w:rPr>
  </w:style>
  <w:style w:type="paragraph" w:styleId="List2">
    <w:name w:val="List 2"/>
    <w:basedOn w:val="Normal"/>
    <w:rsid w:val="009D4EF6"/>
    <w:pPr>
      <w:spacing w:before="240" w:after="0" w:line="240" w:lineRule="auto"/>
      <w:ind w:left="566" w:right="0" w:hanging="283"/>
      <w:jc w:val="both"/>
    </w:pPr>
    <w:rPr>
      <w:rFonts w:ascii="Garamond" w:eastAsia="Times" w:hAnsi="Garamond" w:cs="Times New Roman"/>
      <w:sz w:val="26"/>
      <w:szCs w:val="20"/>
    </w:rPr>
  </w:style>
  <w:style w:type="paragraph" w:styleId="List3">
    <w:name w:val="List 3"/>
    <w:basedOn w:val="Normal"/>
    <w:rsid w:val="009D4EF6"/>
    <w:pPr>
      <w:spacing w:before="240" w:after="0" w:line="240" w:lineRule="auto"/>
      <w:ind w:left="849" w:right="0" w:hanging="283"/>
      <w:jc w:val="both"/>
    </w:pPr>
    <w:rPr>
      <w:rFonts w:ascii="Garamond" w:eastAsia="Times" w:hAnsi="Garamond" w:cs="Times New Roman"/>
      <w:sz w:val="26"/>
      <w:szCs w:val="20"/>
    </w:rPr>
  </w:style>
  <w:style w:type="paragraph" w:styleId="List4">
    <w:name w:val="List 4"/>
    <w:basedOn w:val="Normal"/>
    <w:rsid w:val="009D4EF6"/>
    <w:pPr>
      <w:spacing w:before="240" w:after="0" w:line="240" w:lineRule="auto"/>
      <w:ind w:left="1132" w:right="0" w:hanging="283"/>
      <w:jc w:val="both"/>
    </w:pPr>
    <w:rPr>
      <w:rFonts w:ascii="Garamond" w:eastAsia="Times" w:hAnsi="Garamond" w:cs="Times New Roman"/>
      <w:sz w:val="26"/>
      <w:szCs w:val="20"/>
    </w:rPr>
  </w:style>
  <w:style w:type="paragraph" w:styleId="List5">
    <w:name w:val="List 5"/>
    <w:basedOn w:val="Normal"/>
    <w:rsid w:val="009D4EF6"/>
    <w:pPr>
      <w:spacing w:before="240" w:after="0" w:line="240" w:lineRule="auto"/>
      <w:ind w:left="1415" w:right="0" w:hanging="283"/>
      <w:jc w:val="both"/>
    </w:pPr>
    <w:rPr>
      <w:rFonts w:ascii="Garamond" w:eastAsia="Times" w:hAnsi="Garamond" w:cs="Times New Roman"/>
      <w:sz w:val="26"/>
      <w:szCs w:val="20"/>
    </w:rPr>
  </w:style>
  <w:style w:type="paragraph" w:styleId="ListBullet">
    <w:name w:val="List Bullet"/>
    <w:basedOn w:val="Normal"/>
    <w:autoRedefine/>
    <w:rsid w:val="009D4EF6"/>
    <w:pPr>
      <w:numPr>
        <w:numId w:val="2"/>
      </w:numPr>
      <w:spacing w:before="240" w:after="0" w:line="240" w:lineRule="auto"/>
      <w:ind w:right="0"/>
      <w:jc w:val="both"/>
    </w:pPr>
    <w:rPr>
      <w:rFonts w:ascii="Garamond" w:eastAsia="Times" w:hAnsi="Garamond" w:cs="Times New Roman"/>
      <w:sz w:val="26"/>
      <w:szCs w:val="20"/>
    </w:rPr>
  </w:style>
  <w:style w:type="paragraph" w:styleId="ListBullet2">
    <w:name w:val="List Bullet 2"/>
    <w:basedOn w:val="Normal"/>
    <w:autoRedefine/>
    <w:rsid w:val="009D4EF6"/>
    <w:pPr>
      <w:numPr>
        <w:numId w:val="3"/>
      </w:numPr>
      <w:spacing w:before="240" w:after="0" w:line="240" w:lineRule="auto"/>
      <w:ind w:right="0"/>
      <w:jc w:val="both"/>
    </w:pPr>
    <w:rPr>
      <w:rFonts w:ascii="Garamond" w:eastAsia="Times" w:hAnsi="Garamond" w:cs="Times New Roman"/>
      <w:sz w:val="26"/>
      <w:szCs w:val="20"/>
    </w:rPr>
  </w:style>
  <w:style w:type="paragraph" w:styleId="ListBullet3">
    <w:name w:val="List Bullet 3"/>
    <w:basedOn w:val="Normal"/>
    <w:autoRedefine/>
    <w:rsid w:val="009D4EF6"/>
    <w:pPr>
      <w:numPr>
        <w:numId w:val="4"/>
      </w:numPr>
      <w:spacing w:before="240" w:after="0" w:line="240" w:lineRule="auto"/>
      <w:ind w:right="0"/>
      <w:jc w:val="both"/>
    </w:pPr>
    <w:rPr>
      <w:rFonts w:ascii="Garamond" w:eastAsia="Times" w:hAnsi="Garamond" w:cs="Times New Roman"/>
      <w:sz w:val="26"/>
      <w:szCs w:val="20"/>
    </w:rPr>
  </w:style>
  <w:style w:type="paragraph" w:styleId="ListBullet4">
    <w:name w:val="List Bullet 4"/>
    <w:basedOn w:val="Normal"/>
    <w:autoRedefine/>
    <w:rsid w:val="009D4EF6"/>
    <w:pPr>
      <w:numPr>
        <w:numId w:val="5"/>
      </w:numPr>
      <w:spacing w:before="240" w:after="0" w:line="240" w:lineRule="auto"/>
      <w:ind w:right="0"/>
      <w:jc w:val="both"/>
    </w:pPr>
    <w:rPr>
      <w:rFonts w:ascii="Garamond" w:eastAsia="Times" w:hAnsi="Garamond" w:cs="Times New Roman"/>
      <w:sz w:val="26"/>
      <w:szCs w:val="20"/>
    </w:rPr>
  </w:style>
  <w:style w:type="paragraph" w:styleId="ListBullet5">
    <w:name w:val="List Bullet 5"/>
    <w:basedOn w:val="Normal"/>
    <w:autoRedefine/>
    <w:rsid w:val="009D4EF6"/>
    <w:pPr>
      <w:numPr>
        <w:numId w:val="6"/>
      </w:numPr>
      <w:spacing w:before="240" w:after="0" w:line="240" w:lineRule="auto"/>
      <w:ind w:right="0"/>
      <w:jc w:val="both"/>
    </w:pPr>
    <w:rPr>
      <w:rFonts w:ascii="Garamond" w:eastAsia="Times" w:hAnsi="Garamond" w:cs="Times New Roman"/>
      <w:sz w:val="26"/>
      <w:szCs w:val="20"/>
    </w:rPr>
  </w:style>
  <w:style w:type="paragraph" w:styleId="ListContinue">
    <w:name w:val="List Continue"/>
    <w:basedOn w:val="Normal"/>
    <w:rsid w:val="009D4EF6"/>
    <w:pPr>
      <w:spacing w:before="240" w:after="120" w:line="240" w:lineRule="auto"/>
      <w:ind w:left="283" w:right="0"/>
      <w:jc w:val="both"/>
    </w:pPr>
    <w:rPr>
      <w:rFonts w:ascii="Garamond" w:eastAsia="Times" w:hAnsi="Garamond" w:cs="Times New Roman"/>
      <w:sz w:val="26"/>
      <w:szCs w:val="20"/>
    </w:rPr>
  </w:style>
  <w:style w:type="paragraph" w:styleId="ListContinue2">
    <w:name w:val="List Continue 2"/>
    <w:basedOn w:val="Normal"/>
    <w:rsid w:val="009D4EF6"/>
    <w:pPr>
      <w:spacing w:before="240" w:after="120" w:line="240" w:lineRule="auto"/>
      <w:ind w:left="566" w:right="0"/>
      <w:jc w:val="both"/>
    </w:pPr>
    <w:rPr>
      <w:rFonts w:ascii="Garamond" w:eastAsia="Times" w:hAnsi="Garamond" w:cs="Times New Roman"/>
      <w:sz w:val="26"/>
      <w:szCs w:val="20"/>
    </w:rPr>
  </w:style>
  <w:style w:type="paragraph" w:styleId="ListContinue3">
    <w:name w:val="List Continue 3"/>
    <w:basedOn w:val="Normal"/>
    <w:rsid w:val="009D4EF6"/>
    <w:pPr>
      <w:spacing w:before="240" w:after="120" w:line="240" w:lineRule="auto"/>
      <w:ind w:left="849" w:right="0"/>
      <w:jc w:val="both"/>
    </w:pPr>
    <w:rPr>
      <w:rFonts w:ascii="Garamond" w:eastAsia="Times" w:hAnsi="Garamond" w:cs="Times New Roman"/>
      <w:sz w:val="26"/>
      <w:szCs w:val="20"/>
    </w:rPr>
  </w:style>
  <w:style w:type="paragraph" w:styleId="ListContinue4">
    <w:name w:val="List Continue 4"/>
    <w:basedOn w:val="Normal"/>
    <w:rsid w:val="009D4EF6"/>
    <w:pPr>
      <w:spacing w:before="240" w:after="120" w:line="240" w:lineRule="auto"/>
      <w:ind w:left="1132" w:right="0"/>
      <w:jc w:val="both"/>
    </w:pPr>
    <w:rPr>
      <w:rFonts w:ascii="Garamond" w:eastAsia="Times" w:hAnsi="Garamond" w:cs="Times New Roman"/>
      <w:sz w:val="26"/>
      <w:szCs w:val="20"/>
    </w:rPr>
  </w:style>
  <w:style w:type="paragraph" w:styleId="ListContinue5">
    <w:name w:val="List Continue 5"/>
    <w:basedOn w:val="Normal"/>
    <w:rsid w:val="009D4EF6"/>
    <w:pPr>
      <w:spacing w:before="240" w:after="120" w:line="240" w:lineRule="auto"/>
      <w:ind w:left="1415" w:right="0"/>
      <w:jc w:val="both"/>
    </w:pPr>
    <w:rPr>
      <w:rFonts w:ascii="Garamond" w:eastAsia="Times" w:hAnsi="Garamond" w:cs="Times New Roman"/>
      <w:sz w:val="26"/>
      <w:szCs w:val="20"/>
    </w:rPr>
  </w:style>
  <w:style w:type="paragraph" w:styleId="ListNumber">
    <w:name w:val="List Number"/>
    <w:basedOn w:val="Normal"/>
    <w:rsid w:val="009D4EF6"/>
    <w:pPr>
      <w:numPr>
        <w:numId w:val="7"/>
      </w:numPr>
      <w:spacing w:before="240" w:after="0" w:line="240" w:lineRule="auto"/>
      <w:ind w:right="0"/>
      <w:jc w:val="both"/>
    </w:pPr>
    <w:rPr>
      <w:rFonts w:ascii="Garamond" w:eastAsia="Times" w:hAnsi="Garamond" w:cs="Times New Roman"/>
      <w:sz w:val="26"/>
      <w:szCs w:val="20"/>
    </w:rPr>
  </w:style>
  <w:style w:type="paragraph" w:styleId="ListNumber2">
    <w:name w:val="List Number 2"/>
    <w:basedOn w:val="Normal"/>
    <w:rsid w:val="009D4EF6"/>
    <w:pPr>
      <w:numPr>
        <w:numId w:val="8"/>
      </w:numPr>
      <w:spacing w:before="240" w:after="0" w:line="240" w:lineRule="auto"/>
      <w:ind w:right="0"/>
      <w:jc w:val="both"/>
    </w:pPr>
    <w:rPr>
      <w:rFonts w:ascii="Garamond" w:eastAsia="Times" w:hAnsi="Garamond" w:cs="Times New Roman"/>
      <w:sz w:val="26"/>
      <w:szCs w:val="20"/>
    </w:rPr>
  </w:style>
  <w:style w:type="paragraph" w:styleId="ListNumber3">
    <w:name w:val="List Number 3"/>
    <w:basedOn w:val="Normal"/>
    <w:rsid w:val="009D4EF6"/>
    <w:pPr>
      <w:numPr>
        <w:numId w:val="9"/>
      </w:numPr>
      <w:spacing w:before="240" w:after="0" w:line="240" w:lineRule="auto"/>
      <w:ind w:right="0"/>
      <w:jc w:val="both"/>
    </w:pPr>
    <w:rPr>
      <w:rFonts w:ascii="Garamond" w:eastAsia="Times" w:hAnsi="Garamond" w:cs="Times New Roman"/>
      <w:sz w:val="26"/>
      <w:szCs w:val="20"/>
    </w:rPr>
  </w:style>
  <w:style w:type="paragraph" w:styleId="ListNumber4">
    <w:name w:val="List Number 4"/>
    <w:basedOn w:val="Normal"/>
    <w:rsid w:val="009D4EF6"/>
    <w:pPr>
      <w:numPr>
        <w:numId w:val="10"/>
      </w:numPr>
      <w:spacing w:before="240" w:after="0" w:line="240" w:lineRule="auto"/>
      <w:ind w:right="0"/>
      <w:jc w:val="both"/>
    </w:pPr>
    <w:rPr>
      <w:rFonts w:ascii="Garamond" w:eastAsia="Times" w:hAnsi="Garamond" w:cs="Times New Roman"/>
      <w:sz w:val="26"/>
      <w:szCs w:val="20"/>
    </w:rPr>
  </w:style>
  <w:style w:type="paragraph" w:styleId="ListNumber5">
    <w:name w:val="List Number 5"/>
    <w:basedOn w:val="Normal"/>
    <w:rsid w:val="009D4EF6"/>
    <w:pPr>
      <w:numPr>
        <w:numId w:val="11"/>
      </w:numPr>
      <w:spacing w:before="240" w:after="0" w:line="240" w:lineRule="auto"/>
      <w:ind w:right="0"/>
      <w:jc w:val="both"/>
    </w:pPr>
    <w:rPr>
      <w:rFonts w:ascii="Garamond" w:eastAsia="Times" w:hAnsi="Garamond" w:cs="Times New Roman"/>
      <w:sz w:val="26"/>
      <w:szCs w:val="20"/>
    </w:rPr>
  </w:style>
  <w:style w:type="paragraph" w:styleId="MacroText">
    <w:name w:val="macro"/>
    <w:link w:val="MacroTextChar"/>
    <w:semiHidden/>
    <w:rsid w:val="009D4EF6"/>
    <w:pPr>
      <w:tabs>
        <w:tab w:val="left" w:pos="480"/>
        <w:tab w:val="left" w:pos="960"/>
        <w:tab w:val="left" w:pos="1440"/>
        <w:tab w:val="left" w:pos="1920"/>
        <w:tab w:val="left" w:pos="2400"/>
        <w:tab w:val="left" w:pos="2880"/>
        <w:tab w:val="left" w:pos="3360"/>
        <w:tab w:val="left" w:pos="3840"/>
        <w:tab w:val="left" w:pos="4320"/>
      </w:tabs>
      <w:spacing w:before="240" w:after="0" w:line="240" w:lineRule="auto"/>
      <w:jc w:val="both"/>
    </w:pPr>
    <w:rPr>
      <w:rFonts w:ascii="Courier New" w:eastAsia="Times" w:hAnsi="Courier New" w:cs="Courier New"/>
      <w:sz w:val="20"/>
      <w:szCs w:val="20"/>
      <w:lang w:val="en-GB"/>
    </w:rPr>
  </w:style>
  <w:style w:type="character" w:customStyle="1" w:styleId="MacroTextChar">
    <w:name w:val="Macro Text Char"/>
    <w:basedOn w:val="DefaultParagraphFont"/>
    <w:link w:val="MacroText"/>
    <w:semiHidden/>
    <w:rsid w:val="009D4EF6"/>
    <w:rPr>
      <w:rFonts w:ascii="Courier New" w:eastAsia="Times" w:hAnsi="Courier New" w:cs="Courier New"/>
      <w:sz w:val="20"/>
      <w:szCs w:val="20"/>
      <w:lang w:val="en-GB"/>
    </w:rPr>
  </w:style>
  <w:style w:type="paragraph" w:customStyle="1" w:styleId="NonTOCHeading1">
    <w:name w:val="Non TOC Heading 1"/>
    <w:basedOn w:val="Heading1"/>
    <w:rsid w:val="009D4EF6"/>
    <w:pPr>
      <w:pBdr>
        <w:bottom w:val="none" w:sz="0" w:space="0" w:color="auto"/>
      </w:pBdr>
      <w:spacing w:before="0" w:after="0" w:line="240" w:lineRule="auto"/>
      <w:ind w:left="0" w:firstLine="0"/>
      <w:jc w:val="both"/>
    </w:pPr>
    <w:rPr>
      <w:rFonts w:ascii="Tahoma" w:eastAsia="Times New Roman" w:hAnsi="Tahoma" w:cs="Times New Roman"/>
      <w:b w:val="0"/>
      <w:bCs w:val="0"/>
      <w:i/>
      <w:iCs/>
      <w:szCs w:val="20"/>
    </w:rPr>
  </w:style>
  <w:style w:type="paragraph" w:styleId="NormalWeb">
    <w:name w:val="Normal (Web)"/>
    <w:basedOn w:val="Normal"/>
    <w:uiPriority w:val="99"/>
    <w:rsid w:val="009D4EF6"/>
    <w:pPr>
      <w:spacing w:before="240" w:after="0" w:line="240" w:lineRule="auto"/>
      <w:ind w:left="0" w:right="0"/>
      <w:jc w:val="both"/>
    </w:pPr>
    <w:rPr>
      <w:rFonts w:ascii="Times New Roman" w:eastAsia="Times" w:hAnsi="Times New Roman" w:cs="Times New Roman"/>
      <w:sz w:val="24"/>
      <w:szCs w:val="24"/>
    </w:rPr>
  </w:style>
  <w:style w:type="paragraph" w:styleId="NormalIndent">
    <w:name w:val="Normal Indent"/>
    <w:basedOn w:val="Normal"/>
    <w:rsid w:val="009D4EF6"/>
    <w:pPr>
      <w:spacing w:before="240" w:after="0" w:line="240" w:lineRule="auto"/>
      <w:ind w:right="0"/>
      <w:jc w:val="both"/>
    </w:pPr>
    <w:rPr>
      <w:rFonts w:ascii="Garamond" w:eastAsia="Times" w:hAnsi="Garamond" w:cs="Times New Roman"/>
      <w:sz w:val="26"/>
      <w:szCs w:val="20"/>
    </w:rPr>
  </w:style>
  <w:style w:type="paragraph" w:styleId="NoteHeading">
    <w:name w:val="Note Heading"/>
    <w:basedOn w:val="Normal"/>
    <w:next w:val="Normal"/>
    <w:link w:val="NoteHeadingChar"/>
    <w:rsid w:val="009D4EF6"/>
    <w:pPr>
      <w:spacing w:before="240" w:after="0" w:line="240" w:lineRule="auto"/>
      <w:ind w:left="0" w:right="0"/>
      <w:jc w:val="both"/>
    </w:pPr>
    <w:rPr>
      <w:rFonts w:ascii="Garamond" w:eastAsia="Times" w:hAnsi="Garamond" w:cs="Times New Roman"/>
      <w:sz w:val="26"/>
      <w:szCs w:val="20"/>
    </w:rPr>
  </w:style>
  <w:style w:type="character" w:customStyle="1" w:styleId="NoteHeadingChar">
    <w:name w:val="Note Heading Char"/>
    <w:basedOn w:val="DefaultParagraphFont"/>
    <w:link w:val="NoteHeading"/>
    <w:rsid w:val="009D4EF6"/>
    <w:rPr>
      <w:rFonts w:ascii="Garamond" w:eastAsia="Times" w:hAnsi="Garamond" w:cs="Times New Roman"/>
      <w:sz w:val="26"/>
      <w:szCs w:val="20"/>
      <w:lang w:val="en-AU"/>
    </w:rPr>
  </w:style>
  <w:style w:type="paragraph" w:styleId="Salutation">
    <w:name w:val="Salutation"/>
    <w:basedOn w:val="Normal"/>
    <w:next w:val="Normal"/>
    <w:link w:val="SalutationChar"/>
    <w:rsid w:val="009D4EF6"/>
    <w:pPr>
      <w:spacing w:before="240" w:after="0" w:line="240" w:lineRule="auto"/>
      <w:ind w:left="0" w:right="0"/>
      <w:jc w:val="both"/>
    </w:pPr>
    <w:rPr>
      <w:rFonts w:ascii="Garamond" w:eastAsia="Times" w:hAnsi="Garamond" w:cs="Times New Roman"/>
      <w:sz w:val="26"/>
      <w:szCs w:val="20"/>
    </w:rPr>
  </w:style>
  <w:style w:type="character" w:customStyle="1" w:styleId="SalutationChar">
    <w:name w:val="Salutation Char"/>
    <w:basedOn w:val="DefaultParagraphFont"/>
    <w:link w:val="Salutation"/>
    <w:rsid w:val="009D4EF6"/>
    <w:rPr>
      <w:rFonts w:ascii="Garamond" w:eastAsia="Times" w:hAnsi="Garamond" w:cs="Times New Roman"/>
      <w:sz w:val="26"/>
      <w:szCs w:val="20"/>
      <w:lang w:val="en-AU"/>
    </w:rPr>
  </w:style>
  <w:style w:type="paragraph" w:styleId="TableofAuthorities">
    <w:name w:val="table of authorities"/>
    <w:basedOn w:val="Normal"/>
    <w:next w:val="Normal"/>
    <w:semiHidden/>
    <w:rsid w:val="009D4EF6"/>
    <w:pPr>
      <w:spacing w:before="240" w:after="0" w:line="240" w:lineRule="auto"/>
      <w:ind w:left="220" w:right="0" w:hanging="220"/>
      <w:jc w:val="both"/>
    </w:pPr>
    <w:rPr>
      <w:rFonts w:ascii="Garamond" w:eastAsia="Times" w:hAnsi="Garamond" w:cs="Times New Roman"/>
      <w:sz w:val="26"/>
      <w:szCs w:val="20"/>
    </w:rPr>
  </w:style>
  <w:style w:type="paragraph" w:styleId="TOAHeading">
    <w:name w:val="toa heading"/>
    <w:basedOn w:val="Normal"/>
    <w:next w:val="Normal"/>
    <w:semiHidden/>
    <w:rsid w:val="009D4EF6"/>
    <w:pPr>
      <w:spacing w:after="0" w:line="240" w:lineRule="auto"/>
      <w:ind w:left="0" w:right="0"/>
      <w:jc w:val="both"/>
    </w:pPr>
    <w:rPr>
      <w:rFonts w:ascii="Arial" w:eastAsia="Times" w:hAnsi="Arial" w:cs="Arial"/>
      <w:b/>
      <w:bCs/>
      <w:sz w:val="24"/>
      <w:szCs w:val="24"/>
    </w:rPr>
  </w:style>
  <w:style w:type="paragraph" w:customStyle="1" w:styleId="PlainParagraph">
    <w:name w:val="Plain Paragraph"/>
    <w:basedOn w:val="Normal"/>
    <w:link w:val="PlainParagraphChar"/>
    <w:rsid w:val="009D4EF6"/>
    <w:pPr>
      <w:spacing w:before="140" w:after="140" w:line="280" w:lineRule="atLeast"/>
      <w:ind w:left="1134" w:right="0"/>
    </w:pPr>
    <w:rPr>
      <w:rFonts w:ascii="Arial" w:eastAsia="Times New Roman" w:hAnsi="Arial" w:cs="Arial"/>
      <w:lang w:eastAsia="en-AU"/>
    </w:rPr>
  </w:style>
  <w:style w:type="character" w:customStyle="1" w:styleId="PlainParagraphChar">
    <w:name w:val="Plain Paragraph Char"/>
    <w:basedOn w:val="DefaultParagraphFont"/>
    <w:link w:val="PlainParagraph"/>
    <w:rsid w:val="009D4EF6"/>
    <w:rPr>
      <w:rFonts w:ascii="Arial" w:eastAsia="Times New Roman" w:hAnsi="Arial" w:cs="Arial"/>
      <w:lang w:val="en-AU" w:eastAsia="en-AU"/>
    </w:rPr>
  </w:style>
  <w:style w:type="paragraph" w:customStyle="1" w:styleId="Default">
    <w:name w:val="Default"/>
    <w:rsid w:val="009D4EF6"/>
    <w:pPr>
      <w:autoSpaceDE w:val="0"/>
      <w:autoSpaceDN w:val="0"/>
      <w:adjustRightInd w:val="0"/>
      <w:spacing w:after="0" w:line="240" w:lineRule="auto"/>
    </w:pPr>
    <w:rPr>
      <w:rFonts w:ascii="Times New Roman" w:eastAsia="Times New Roman" w:hAnsi="Times New Roman" w:cs="Times New Roman"/>
      <w:color w:val="000000"/>
      <w:sz w:val="24"/>
      <w:szCs w:val="24"/>
      <w:lang w:val="en-AU" w:eastAsia="en-AU"/>
    </w:rPr>
  </w:style>
  <w:style w:type="character" w:styleId="FollowedHyperlink">
    <w:name w:val="FollowedHyperlink"/>
    <w:basedOn w:val="DefaultParagraphFont"/>
    <w:rsid w:val="009D4EF6"/>
    <w:rPr>
      <w:color w:val="800080" w:themeColor="followedHyperlink"/>
      <w:u w:val="single"/>
    </w:rPr>
  </w:style>
  <w:style w:type="paragraph" w:styleId="Revision">
    <w:name w:val="Revision"/>
    <w:hidden/>
    <w:uiPriority w:val="99"/>
    <w:semiHidden/>
    <w:rsid w:val="009D4EF6"/>
    <w:pPr>
      <w:spacing w:after="0" w:line="240" w:lineRule="auto"/>
    </w:pPr>
    <w:rPr>
      <w:rFonts w:ascii="Garamond" w:eastAsia="Times" w:hAnsi="Garamond" w:cs="Times New Roman"/>
      <w:sz w:val="26"/>
      <w:szCs w:val="20"/>
      <w:lang w:val="en-AU"/>
    </w:rPr>
  </w:style>
  <w:style w:type="paragraph" w:customStyle="1" w:styleId="NormalTight">
    <w:name w:val="Normal Tight"/>
    <w:basedOn w:val="Normal"/>
    <w:rsid w:val="009D4EF6"/>
    <w:pPr>
      <w:spacing w:before="0" w:after="0" w:line="240" w:lineRule="auto"/>
      <w:ind w:left="794" w:right="0"/>
    </w:pPr>
    <w:rPr>
      <w:rFonts w:eastAsia="Times New Roman" w:cs="Calibri"/>
      <w:lang w:eastAsia="en-AU"/>
    </w:rPr>
  </w:style>
  <w:style w:type="character" w:customStyle="1" w:styleId="UnresolvedMention10">
    <w:name w:val="Unresolved Mention10"/>
    <w:basedOn w:val="DefaultParagraphFont"/>
    <w:uiPriority w:val="99"/>
    <w:semiHidden/>
    <w:unhideWhenUsed/>
    <w:rsid w:val="00670A16"/>
    <w:rPr>
      <w:color w:val="808080"/>
      <w:shd w:val="clear" w:color="auto" w:fill="E6E6E6"/>
    </w:rPr>
  </w:style>
  <w:style w:type="paragraph" w:styleId="ListParagraph">
    <w:name w:val="List Paragraph"/>
    <w:basedOn w:val="Normal"/>
    <w:link w:val="ListParagraphChar"/>
    <w:uiPriority w:val="34"/>
    <w:qFormat/>
    <w:rsid w:val="00765800"/>
    <w:pPr>
      <w:spacing w:before="0" w:after="120" w:line="320" w:lineRule="atLeast"/>
      <w:ind w:right="0"/>
      <w:contextualSpacing/>
    </w:pPr>
    <w:rPr>
      <w:rFonts w:asciiTheme="minorHAnsi" w:hAnsiTheme="minorHAnsi" w:cs="Arial"/>
    </w:rPr>
  </w:style>
  <w:style w:type="character" w:customStyle="1" w:styleId="ListParagraphChar">
    <w:name w:val="List Paragraph Char"/>
    <w:basedOn w:val="DefaultParagraphFont"/>
    <w:link w:val="ListParagraph"/>
    <w:uiPriority w:val="34"/>
    <w:rsid w:val="00765800"/>
    <w:rPr>
      <w:rFonts w:cs="Arial"/>
      <w:lang w:val="en-AU"/>
    </w:rPr>
  </w:style>
  <w:style w:type="paragraph" w:customStyle="1" w:styleId="TableParagraph">
    <w:name w:val="Table Paragraph"/>
    <w:basedOn w:val="Normal"/>
    <w:uiPriority w:val="1"/>
    <w:qFormat/>
    <w:rsid w:val="00C21189"/>
    <w:pPr>
      <w:widowControl w:val="0"/>
      <w:autoSpaceDE w:val="0"/>
      <w:autoSpaceDN w:val="0"/>
      <w:spacing w:before="39" w:after="0" w:line="240" w:lineRule="auto"/>
      <w:ind w:left="0" w:right="0"/>
      <w:jc w:val="center"/>
    </w:pPr>
    <w:rPr>
      <w:rFonts w:ascii="Arial" w:eastAsia="Arial" w:hAnsi="Arial" w:cs="Arial"/>
      <w:lang w:val="en-US"/>
    </w:rPr>
  </w:style>
  <w:style w:type="character" w:customStyle="1" w:styleId="UnresolvedMention2">
    <w:name w:val="Unresolved Mention2"/>
    <w:basedOn w:val="DefaultParagraphFont"/>
    <w:uiPriority w:val="99"/>
    <w:semiHidden/>
    <w:unhideWhenUsed/>
    <w:rsid w:val="00054347"/>
    <w:rPr>
      <w:color w:val="808080"/>
      <w:shd w:val="clear" w:color="auto" w:fill="E6E6E6"/>
    </w:rPr>
  </w:style>
  <w:style w:type="table" w:customStyle="1" w:styleId="TableGridLight1">
    <w:name w:val="Table Grid Light1"/>
    <w:basedOn w:val="TableNormal"/>
    <w:uiPriority w:val="40"/>
    <w:rsid w:val="00F779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Cite">
    <w:name w:val="HTML Cite"/>
    <w:basedOn w:val="DefaultParagraphFont"/>
    <w:uiPriority w:val="99"/>
    <w:semiHidden/>
    <w:unhideWhenUsed/>
    <w:rsid w:val="0092683D"/>
    <w:rPr>
      <w:i/>
      <w:iCs/>
    </w:rPr>
  </w:style>
  <w:style w:type="character" w:customStyle="1" w:styleId="UnresolvedMention3">
    <w:name w:val="Unresolved Mention3"/>
    <w:basedOn w:val="DefaultParagraphFont"/>
    <w:uiPriority w:val="99"/>
    <w:semiHidden/>
    <w:unhideWhenUsed/>
    <w:rsid w:val="000A102A"/>
    <w:rPr>
      <w:color w:val="808080"/>
      <w:shd w:val="clear" w:color="auto" w:fill="E6E6E6"/>
    </w:rPr>
  </w:style>
  <w:style w:type="character" w:customStyle="1" w:styleId="UnresolvedMention4">
    <w:name w:val="Unresolved Mention4"/>
    <w:basedOn w:val="DefaultParagraphFont"/>
    <w:uiPriority w:val="99"/>
    <w:semiHidden/>
    <w:unhideWhenUsed/>
    <w:rsid w:val="00F27B0A"/>
    <w:rPr>
      <w:color w:val="808080"/>
      <w:shd w:val="clear" w:color="auto" w:fill="E6E6E6"/>
    </w:rPr>
  </w:style>
  <w:style w:type="paragraph" w:customStyle="1" w:styleId="NonTOCHeading2">
    <w:name w:val="Non TOC Heading 2"/>
    <w:basedOn w:val="Heading2"/>
    <w:next w:val="Normal"/>
    <w:qFormat/>
    <w:rsid w:val="00524B9D"/>
  </w:style>
  <w:style w:type="table" w:customStyle="1" w:styleId="TableEC2">
    <w:name w:val="Table EC2"/>
    <w:basedOn w:val="TableGridLight"/>
    <w:rsid w:val="0065096D"/>
    <w:pPr>
      <w:keepNext/>
      <w:keepLines/>
      <w:spacing w:before="240"/>
    </w:pPr>
    <w:rPr>
      <w:rFonts w:ascii="Tahoma" w:eastAsia="Times" w:hAnsi="Tahoma" w:cs="Times New Roman"/>
      <w:sz w:val="18"/>
      <w:szCs w:val="18"/>
      <w:lang w:val="en-AU" w:eastAsia="en-NZ"/>
    </w:rPr>
    <w:tblPr>
      <w:tblInd w:w="72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Pr>
    <w:tcPr>
      <w:shd w:val="clear" w:color="auto" w:fill="auto"/>
    </w:tcPr>
    <w:tblStylePr w:type="firstRow">
      <w:pPr>
        <w:wordWrap/>
        <w:jc w:val="left"/>
      </w:pPr>
      <w:rPr>
        <w:rFonts w:ascii="Tahoma" w:hAnsi="Tahoma"/>
        <w:b/>
        <w:bCs/>
        <w:i w:val="0"/>
        <w:color w:val="000080"/>
        <w:sz w:val="22"/>
      </w:rPr>
      <w:tblPr/>
      <w:trPr>
        <w:tblHeader/>
      </w:tr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Palatino Linotype" w:hAnsi="Palatino Linotype"/>
        <w:b w:val="0"/>
        <w:bCs/>
        <w:i w:val="0"/>
      </w:rPr>
      <w:tblPr/>
      <w:tcPr>
        <w:tcBorders>
          <w:top w:val="nil"/>
          <w:left w:val="nil"/>
          <w:bottom w:val="single" w:sz="8" w:space="0" w:color="auto"/>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swCell">
      <w:rPr>
        <w:i w:val="0"/>
        <w:i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509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semiHidden/>
    <w:unhideWhenUsed/>
    <w:rsid w:val="00716D4E"/>
    <w:rPr>
      <w:color w:val="605E5C"/>
      <w:shd w:val="clear" w:color="auto" w:fill="E1DFDD"/>
    </w:rPr>
  </w:style>
  <w:style w:type="paragraph" w:customStyle="1" w:styleId="Source">
    <w:name w:val="Source"/>
    <w:basedOn w:val="Table"/>
    <w:next w:val="Normal"/>
    <w:qFormat/>
    <w:rsid w:val="00753060"/>
    <w:pPr>
      <w:ind w:left="720"/>
    </w:pPr>
  </w:style>
  <w:style w:type="paragraph" w:customStyle="1" w:styleId="p">
    <w:name w:val="p"/>
    <w:basedOn w:val="Normal"/>
    <w:rsid w:val="0085113F"/>
    <w:pPr>
      <w:spacing w:after="0" w:line="240" w:lineRule="auto"/>
      <w:ind w:left="0" w:right="0"/>
      <w:jc w:val="both"/>
    </w:pPr>
    <w:rPr>
      <w:rFonts w:ascii="Times New Roman" w:eastAsia="Times New Roman" w:hAnsi="Times New Roman" w:cs="Times New Roman"/>
      <w:sz w:val="24"/>
      <w:szCs w:val="20"/>
    </w:rPr>
  </w:style>
  <w:style w:type="character" w:customStyle="1" w:styleId="UnresolvedMention6">
    <w:name w:val="Unresolved Mention6"/>
    <w:basedOn w:val="DefaultParagraphFont"/>
    <w:uiPriority w:val="99"/>
    <w:semiHidden/>
    <w:unhideWhenUsed/>
    <w:rsid w:val="00E81E97"/>
    <w:rPr>
      <w:color w:val="605E5C"/>
      <w:shd w:val="clear" w:color="auto" w:fill="E1DFDD"/>
    </w:rPr>
  </w:style>
  <w:style w:type="character" w:styleId="PlaceholderText">
    <w:name w:val="Placeholder Text"/>
    <w:basedOn w:val="DefaultParagraphFont"/>
    <w:uiPriority w:val="99"/>
    <w:semiHidden/>
    <w:rsid w:val="007455DE"/>
    <w:rPr>
      <w:color w:val="808080"/>
    </w:rPr>
  </w:style>
  <w:style w:type="character" w:customStyle="1" w:styleId="UnresolvedMention7">
    <w:name w:val="Unresolved Mention7"/>
    <w:basedOn w:val="DefaultParagraphFont"/>
    <w:uiPriority w:val="99"/>
    <w:semiHidden/>
    <w:unhideWhenUsed/>
    <w:rsid w:val="003A4DCE"/>
    <w:rPr>
      <w:color w:val="605E5C"/>
      <w:shd w:val="clear" w:color="auto" w:fill="E1DFDD"/>
    </w:rPr>
  </w:style>
  <w:style w:type="character" w:customStyle="1" w:styleId="TableChar">
    <w:name w:val="Table Char"/>
    <w:basedOn w:val="DefaultParagraphFont"/>
    <w:link w:val="Table"/>
    <w:rsid w:val="00690880"/>
    <w:rPr>
      <w:rFonts w:ascii="Arial" w:eastAsia="Times" w:hAnsi="Arial" w:cs="Times New Roman"/>
      <w:sz w:val="18"/>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7345">
      <w:bodyDiv w:val="1"/>
      <w:marLeft w:val="0"/>
      <w:marRight w:val="0"/>
      <w:marTop w:val="0"/>
      <w:marBottom w:val="0"/>
      <w:divBdr>
        <w:top w:val="none" w:sz="0" w:space="0" w:color="auto"/>
        <w:left w:val="none" w:sz="0" w:space="0" w:color="auto"/>
        <w:bottom w:val="none" w:sz="0" w:space="0" w:color="auto"/>
        <w:right w:val="none" w:sz="0" w:space="0" w:color="auto"/>
      </w:divBdr>
      <w:divsChild>
        <w:div w:id="116143618">
          <w:marLeft w:val="547"/>
          <w:marRight w:val="0"/>
          <w:marTop w:val="0"/>
          <w:marBottom w:val="0"/>
          <w:divBdr>
            <w:top w:val="none" w:sz="0" w:space="0" w:color="auto"/>
            <w:left w:val="none" w:sz="0" w:space="0" w:color="auto"/>
            <w:bottom w:val="none" w:sz="0" w:space="0" w:color="auto"/>
            <w:right w:val="none" w:sz="0" w:space="0" w:color="auto"/>
          </w:divBdr>
        </w:div>
      </w:divsChild>
    </w:div>
    <w:div w:id="251283830">
      <w:bodyDiv w:val="1"/>
      <w:marLeft w:val="0"/>
      <w:marRight w:val="0"/>
      <w:marTop w:val="0"/>
      <w:marBottom w:val="0"/>
      <w:divBdr>
        <w:top w:val="none" w:sz="0" w:space="0" w:color="auto"/>
        <w:left w:val="none" w:sz="0" w:space="0" w:color="auto"/>
        <w:bottom w:val="none" w:sz="0" w:space="0" w:color="auto"/>
        <w:right w:val="none" w:sz="0" w:space="0" w:color="auto"/>
      </w:divBdr>
    </w:div>
    <w:div w:id="321079158">
      <w:bodyDiv w:val="1"/>
      <w:marLeft w:val="0"/>
      <w:marRight w:val="0"/>
      <w:marTop w:val="0"/>
      <w:marBottom w:val="0"/>
      <w:divBdr>
        <w:top w:val="none" w:sz="0" w:space="0" w:color="auto"/>
        <w:left w:val="none" w:sz="0" w:space="0" w:color="auto"/>
        <w:bottom w:val="none" w:sz="0" w:space="0" w:color="auto"/>
        <w:right w:val="none" w:sz="0" w:space="0" w:color="auto"/>
      </w:divBdr>
    </w:div>
    <w:div w:id="344482619">
      <w:bodyDiv w:val="1"/>
      <w:marLeft w:val="0"/>
      <w:marRight w:val="0"/>
      <w:marTop w:val="0"/>
      <w:marBottom w:val="0"/>
      <w:divBdr>
        <w:top w:val="none" w:sz="0" w:space="0" w:color="auto"/>
        <w:left w:val="none" w:sz="0" w:space="0" w:color="auto"/>
        <w:bottom w:val="none" w:sz="0" w:space="0" w:color="auto"/>
        <w:right w:val="none" w:sz="0" w:space="0" w:color="auto"/>
      </w:divBdr>
    </w:div>
    <w:div w:id="500199636">
      <w:bodyDiv w:val="1"/>
      <w:marLeft w:val="0"/>
      <w:marRight w:val="0"/>
      <w:marTop w:val="0"/>
      <w:marBottom w:val="0"/>
      <w:divBdr>
        <w:top w:val="none" w:sz="0" w:space="0" w:color="auto"/>
        <w:left w:val="none" w:sz="0" w:space="0" w:color="auto"/>
        <w:bottom w:val="none" w:sz="0" w:space="0" w:color="auto"/>
        <w:right w:val="none" w:sz="0" w:space="0" w:color="auto"/>
      </w:divBdr>
    </w:div>
    <w:div w:id="635332398">
      <w:bodyDiv w:val="1"/>
      <w:marLeft w:val="0"/>
      <w:marRight w:val="0"/>
      <w:marTop w:val="0"/>
      <w:marBottom w:val="0"/>
      <w:divBdr>
        <w:top w:val="none" w:sz="0" w:space="0" w:color="auto"/>
        <w:left w:val="none" w:sz="0" w:space="0" w:color="auto"/>
        <w:bottom w:val="none" w:sz="0" w:space="0" w:color="auto"/>
        <w:right w:val="none" w:sz="0" w:space="0" w:color="auto"/>
      </w:divBdr>
    </w:div>
    <w:div w:id="658508142">
      <w:bodyDiv w:val="1"/>
      <w:marLeft w:val="0"/>
      <w:marRight w:val="0"/>
      <w:marTop w:val="0"/>
      <w:marBottom w:val="0"/>
      <w:divBdr>
        <w:top w:val="none" w:sz="0" w:space="0" w:color="auto"/>
        <w:left w:val="none" w:sz="0" w:space="0" w:color="auto"/>
        <w:bottom w:val="none" w:sz="0" w:space="0" w:color="auto"/>
        <w:right w:val="none" w:sz="0" w:space="0" w:color="auto"/>
      </w:divBdr>
      <w:divsChild>
        <w:div w:id="1231385309">
          <w:marLeft w:val="547"/>
          <w:marRight w:val="0"/>
          <w:marTop w:val="0"/>
          <w:marBottom w:val="0"/>
          <w:divBdr>
            <w:top w:val="none" w:sz="0" w:space="0" w:color="auto"/>
            <w:left w:val="none" w:sz="0" w:space="0" w:color="auto"/>
            <w:bottom w:val="none" w:sz="0" w:space="0" w:color="auto"/>
            <w:right w:val="none" w:sz="0" w:space="0" w:color="auto"/>
          </w:divBdr>
        </w:div>
      </w:divsChild>
    </w:div>
    <w:div w:id="678237465">
      <w:bodyDiv w:val="1"/>
      <w:marLeft w:val="0"/>
      <w:marRight w:val="0"/>
      <w:marTop w:val="0"/>
      <w:marBottom w:val="0"/>
      <w:divBdr>
        <w:top w:val="none" w:sz="0" w:space="0" w:color="auto"/>
        <w:left w:val="none" w:sz="0" w:space="0" w:color="auto"/>
        <w:bottom w:val="none" w:sz="0" w:space="0" w:color="auto"/>
        <w:right w:val="none" w:sz="0" w:space="0" w:color="auto"/>
      </w:divBdr>
    </w:div>
    <w:div w:id="755518524">
      <w:bodyDiv w:val="1"/>
      <w:marLeft w:val="0"/>
      <w:marRight w:val="0"/>
      <w:marTop w:val="0"/>
      <w:marBottom w:val="0"/>
      <w:divBdr>
        <w:top w:val="none" w:sz="0" w:space="0" w:color="auto"/>
        <w:left w:val="none" w:sz="0" w:space="0" w:color="auto"/>
        <w:bottom w:val="none" w:sz="0" w:space="0" w:color="auto"/>
        <w:right w:val="none" w:sz="0" w:space="0" w:color="auto"/>
      </w:divBdr>
      <w:divsChild>
        <w:div w:id="1426263726">
          <w:marLeft w:val="547"/>
          <w:marRight w:val="0"/>
          <w:marTop w:val="0"/>
          <w:marBottom w:val="0"/>
          <w:divBdr>
            <w:top w:val="none" w:sz="0" w:space="0" w:color="auto"/>
            <w:left w:val="none" w:sz="0" w:space="0" w:color="auto"/>
            <w:bottom w:val="none" w:sz="0" w:space="0" w:color="auto"/>
            <w:right w:val="none" w:sz="0" w:space="0" w:color="auto"/>
          </w:divBdr>
        </w:div>
      </w:divsChild>
    </w:div>
    <w:div w:id="776171041">
      <w:bodyDiv w:val="1"/>
      <w:marLeft w:val="0"/>
      <w:marRight w:val="0"/>
      <w:marTop w:val="0"/>
      <w:marBottom w:val="0"/>
      <w:divBdr>
        <w:top w:val="none" w:sz="0" w:space="0" w:color="auto"/>
        <w:left w:val="none" w:sz="0" w:space="0" w:color="auto"/>
        <w:bottom w:val="none" w:sz="0" w:space="0" w:color="auto"/>
        <w:right w:val="none" w:sz="0" w:space="0" w:color="auto"/>
      </w:divBdr>
    </w:div>
    <w:div w:id="810051029">
      <w:bodyDiv w:val="1"/>
      <w:marLeft w:val="0"/>
      <w:marRight w:val="0"/>
      <w:marTop w:val="0"/>
      <w:marBottom w:val="0"/>
      <w:divBdr>
        <w:top w:val="none" w:sz="0" w:space="0" w:color="auto"/>
        <w:left w:val="none" w:sz="0" w:space="0" w:color="auto"/>
        <w:bottom w:val="none" w:sz="0" w:space="0" w:color="auto"/>
        <w:right w:val="none" w:sz="0" w:space="0" w:color="auto"/>
      </w:divBdr>
    </w:div>
    <w:div w:id="843784298">
      <w:bodyDiv w:val="1"/>
      <w:marLeft w:val="0"/>
      <w:marRight w:val="0"/>
      <w:marTop w:val="0"/>
      <w:marBottom w:val="0"/>
      <w:divBdr>
        <w:top w:val="none" w:sz="0" w:space="0" w:color="auto"/>
        <w:left w:val="none" w:sz="0" w:space="0" w:color="auto"/>
        <w:bottom w:val="none" w:sz="0" w:space="0" w:color="auto"/>
        <w:right w:val="none" w:sz="0" w:space="0" w:color="auto"/>
      </w:divBdr>
    </w:div>
    <w:div w:id="948899855">
      <w:bodyDiv w:val="1"/>
      <w:marLeft w:val="0"/>
      <w:marRight w:val="0"/>
      <w:marTop w:val="0"/>
      <w:marBottom w:val="0"/>
      <w:divBdr>
        <w:top w:val="none" w:sz="0" w:space="0" w:color="auto"/>
        <w:left w:val="none" w:sz="0" w:space="0" w:color="auto"/>
        <w:bottom w:val="none" w:sz="0" w:space="0" w:color="auto"/>
        <w:right w:val="none" w:sz="0" w:space="0" w:color="auto"/>
      </w:divBdr>
    </w:div>
    <w:div w:id="952328691">
      <w:bodyDiv w:val="1"/>
      <w:marLeft w:val="0"/>
      <w:marRight w:val="0"/>
      <w:marTop w:val="0"/>
      <w:marBottom w:val="0"/>
      <w:divBdr>
        <w:top w:val="none" w:sz="0" w:space="0" w:color="auto"/>
        <w:left w:val="none" w:sz="0" w:space="0" w:color="auto"/>
        <w:bottom w:val="none" w:sz="0" w:space="0" w:color="auto"/>
        <w:right w:val="none" w:sz="0" w:space="0" w:color="auto"/>
      </w:divBdr>
    </w:div>
    <w:div w:id="981690227">
      <w:bodyDiv w:val="1"/>
      <w:marLeft w:val="0"/>
      <w:marRight w:val="0"/>
      <w:marTop w:val="0"/>
      <w:marBottom w:val="0"/>
      <w:divBdr>
        <w:top w:val="none" w:sz="0" w:space="0" w:color="auto"/>
        <w:left w:val="none" w:sz="0" w:space="0" w:color="auto"/>
        <w:bottom w:val="none" w:sz="0" w:space="0" w:color="auto"/>
        <w:right w:val="none" w:sz="0" w:space="0" w:color="auto"/>
      </w:divBdr>
    </w:div>
    <w:div w:id="1028719505">
      <w:bodyDiv w:val="1"/>
      <w:marLeft w:val="0"/>
      <w:marRight w:val="0"/>
      <w:marTop w:val="0"/>
      <w:marBottom w:val="0"/>
      <w:divBdr>
        <w:top w:val="none" w:sz="0" w:space="0" w:color="auto"/>
        <w:left w:val="none" w:sz="0" w:space="0" w:color="auto"/>
        <w:bottom w:val="none" w:sz="0" w:space="0" w:color="auto"/>
        <w:right w:val="none" w:sz="0" w:space="0" w:color="auto"/>
      </w:divBdr>
    </w:div>
    <w:div w:id="1121612310">
      <w:bodyDiv w:val="1"/>
      <w:marLeft w:val="0"/>
      <w:marRight w:val="0"/>
      <w:marTop w:val="0"/>
      <w:marBottom w:val="0"/>
      <w:divBdr>
        <w:top w:val="none" w:sz="0" w:space="0" w:color="auto"/>
        <w:left w:val="none" w:sz="0" w:space="0" w:color="auto"/>
        <w:bottom w:val="none" w:sz="0" w:space="0" w:color="auto"/>
        <w:right w:val="none" w:sz="0" w:space="0" w:color="auto"/>
      </w:divBdr>
    </w:div>
    <w:div w:id="1146969919">
      <w:bodyDiv w:val="1"/>
      <w:marLeft w:val="0"/>
      <w:marRight w:val="0"/>
      <w:marTop w:val="0"/>
      <w:marBottom w:val="0"/>
      <w:divBdr>
        <w:top w:val="none" w:sz="0" w:space="0" w:color="auto"/>
        <w:left w:val="none" w:sz="0" w:space="0" w:color="auto"/>
        <w:bottom w:val="none" w:sz="0" w:space="0" w:color="auto"/>
        <w:right w:val="none" w:sz="0" w:space="0" w:color="auto"/>
      </w:divBdr>
    </w:div>
    <w:div w:id="1171215501">
      <w:bodyDiv w:val="1"/>
      <w:marLeft w:val="0"/>
      <w:marRight w:val="0"/>
      <w:marTop w:val="0"/>
      <w:marBottom w:val="0"/>
      <w:divBdr>
        <w:top w:val="none" w:sz="0" w:space="0" w:color="auto"/>
        <w:left w:val="none" w:sz="0" w:space="0" w:color="auto"/>
        <w:bottom w:val="none" w:sz="0" w:space="0" w:color="auto"/>
        <w:right w:val="none" w:sz="0" w:space="0" w:color="auto"/>
      </w:divBdr>
    </w:div>
    <w:div w:id="1189835195">
      <w:bodyDiv w:val="1"/>
      <w:marLeft w:val="0"/>
      <w:marRight w:val="0"/>
      <w:marTop w:val="0"/>
      <w:marBottom w:val="0"/>
      <w:divBdr>
        <w:top w:val="none" w:sz="0" w:space="0" w:color="auto"/>
        <w:left w:val="none" w:sz="0" w:space="0" w:color="auto"/>
        <w:bottom w:val="none" w:sz="0" w:space="0" w:color="auto"/>
        <w:right w:val="none" w:sz="0" w:space="0" w:color="auto"/>
      </w:divBdr>
    </w:div>
    <w:div w:id="1203403127">
      <w:bodyDiv w:val="1"/>
      <w:marLeft w:val="0"/>
      <w:marRight w:val="0"/>
      <w:marTop w:val="0"/>
      <w:marBottom w:val="0"/>
      <w:divBdr>
        <w:top w:val="none" w:sz="0" w:space="0" w:color="auto"/>
        <w:left w:val="none" w:sz="0" w:space="0" w:color="auto"/>
        <w:bottom w:val="none" w:sz="0" w:space="0" w:color="auto"/>
        <w:right w:val="none" w:sz="0" w:space="0" w:color="auto"/>
      </w:divBdr>
      <w:divsChild>
        <w:div w:id="1813785615">
          <w:marLeft w:val="547"/>
          <w:marRight w:val="0"/>
          <w:marTop w:val="0"/>
          <w:marBottom w:val="0"/>
          <w:divBdr>
            <w:top w:val="none" w:sz="0" w:space="0" w:color="auto"/>
            <w:left w:val="none" w:sz="0" w:space="0" w:color="auto"/>
            <w:bottom w:val="none" w:sz="0" w:space="0" w:color="auto"/>
            <w:right w:val="none" w:sz="0" w:space="0" w:color="auto"/>
          </w:divBdr>
        </w:div>
      </w:divsChild>
    </w:div>
    <w:div w:id="1234848944">
      <w:bodyDiv w:val="1"/>
      <w:marLeft w:val="0"/>
      <w:marRight w:val="0"/>
      <w:marTop w:val="0"/>
      <w:marBottom w:val="0"/>
      <w:divBdr>
        <w:top w:val="none" w:sz="0" w:space="0" w:color="auto"/>
        <w:left w:val="none" w:sz="0" w:space="0" w:color="auto"/>
        <w:bottom w:val="none" w:sz="0" w:space="0" w:color="auto"/>
        <w:right w:val="none" w:sz="0" w:space="0" w:color="auto"/>
      </w:divBdr>
    </w:div>
    <w:div w:id="1265531955">
      <w:bodyDiv w:val="1"/>
      <w:marLeft w:val="0"/>
      <w:marRight w:val="0"/>
      <w:marTop w:val="0"/>
      <w:marBottom w:val="0"/>
      <w:divBdr>
        <w:top w:val="none" w:sz="0" w:space="0" w:color="auto"/>
        <w:left w:val="none" w:sz="0" w:space="0" w:color="auto"/>
        <w:bottom w:val="none" w:sz="0" w:space="0" w:color="auto"/>
        <w:right w:val="none" w:sz="0" w:space="0" w:color="auto"/>
      </w:divBdr>
    </w:div>
    <w:div w:id="1279678554">
      <w:bodyDiv w:val="1"/>
      <w:marLeft w:val="0"/>
      <w:marRight w:val="0"/>
      <w:marTop w:val="0"/>
      <w:marBottom w:val="0"/>
      <w:divBdr>
        <w:top w:val="none" w:sz="0" w:space="0" w:color="auto"/>
        <w:left w:val="none" w:sz="0" w:space="0" w:color="auto"/>
        <w:bottom w:val="none" w:sz="0" w:space="0" w:color="auto"/>
        <w:right w:val="none" w:sz="0" w:space="0" w:color="auto"/>
      </w:divBdr>
    </w:div>
    <w:div w:id="1285848774">
      <w:bodyDiv w:val="1"/>
      <w:marLeft w:val="0"/>
      <w:marRight w:val="0"/>
      <w:marTop w:val="0"/>
      <w:marBottom w:val="0"/>
      <w:divBdr>
        <w:top w:val="none" w:sz="0" w:space="0" w:color="auto"/>
        <w:left w:val="none" w:sz="0" w:space="0" w:color="auto"/>
        <w:bottom w:val="none" w:sz="0" w:space="0" w:color="auto"/>
        <w:right w:val="none" w:sz="0" w:space="0" w:color="auto"/>
      </w:divBdr>
      <w:divsChild>
        <w:div w:id="1690374544">
          <w:marLeft w:val="547"/>
          <w:marRight w:val="0"/>
          <w:marTop w:val="0"/>
          <w:marBottom w:val="0"/>
          <w:divBdr>
            <w:top w:val="none" w:sz="0" w:space="0" w:color="auto"/>
            <w:left w:val="none" w:sz="0" w:space="0" w:color="auto"/>
            <w:bottom w:val="none" w:sz="0" w:space="0" w:color="auto"/>
            <w:right w:val="none" w:sz="0" w:space="0" w:color="auto"/>
          </w:divBdr>
        </w:div>
      </w:divsChild>
    </w:div>
    <w:div w:id="1296328408">
      <w:bodyDiv w:val="1"/>
      <w:marLeft w:val="0"/>
      <w:marRight w:val="0"/>
      <w:marTop w:val="0"/>
      <w:marBottom w:val="0"/>
      <w:divBdr>
        <w:top w:val="none" w:sz="0" w:space="0" w:color="auto"/>
        <w:left w:val="none" w:sz="0" w:space="0" w:color="auto"/>
        <w:bottom w:val="none" w:sz="0" w:space="0" w:color="auto"/>
        <w:right w:val="none" w:sz="0" w:space="0" w:color="auto"/>
      </w:divBdr>
    </w:div>
    <w:div w:id="1305087388">
      <w:bodyDiv w:val="1"/>
      <w:marLeft w:val="0"/>
      <w:marRight w:val="0"/>
      <w:marTop w:val="0"/>
      <w:marBottom w:val="0"/>
      <w:divBdr>
        <w:top w:val="none" w:sz="0" w:space="0" w:color="auto"/>
        <w:left w:val="none" w:sz="0" w:space="0" w:color="auto"/>
        <w:bottom w:val="none" w:sz="0" w:space="0" w:color="auto"/>
        <w:right w:val="none" w:sz="0" w:space="0" w:color="auto"/>
      </w:divBdr>
    </w:div>
    <w:div w:id="1365867777">
      <w:bodyDiv w:val="1"/>
      <w:marLeft w:val="0"/>
      <w:marRight w:val="0"/>
      <w:marTop w:val="0"/>
      <w:marBottom w:val="0"/>
      <w:divBdr>
        <w:top w:val="none" w:sz="0" w:space="0" w:color="auto"/>
        <w:left w:val="none" w:sz="0" w:space="0" w:color="auto"/>
        <w:bottom w:val="none" w:sz="0" w:space="0" w:color="auto"/>
        <w:right w:val="none" w:sz="0" w:space="0" w:color="auto"/>
      </w:divBdr>
    </w:div>
    <w:div w:id="1420635160">
      <w:bodyDiv w:val="1"/>
      <w:marLeft w:val="0"/>
      <w:marRight w:val="0"/>
      <w:marTop w:val="0"/>
      <w:marBottom w:val="0"/>
      <w:divBdr>
        <w:top w:val="none" w:sz="0" w:space="0" w:color="auto"/>
        <w:left w:val="none" w:sz="0" w:space="0" w:color="auto"/>
        <w:bottom w:val="none" w:sz="0" w:space="0" w:color="auto"/>
        <w:right w:val="none" w:sz="0" w:space="0" w:color="auto"/>
      </w:divBdr>
    </w:div>
    <w:div w:id="1450397064">
      <w:bodyDiv w:val="1"/>
      <w:marLeft w:val="0"/>
      <w:marRight w:val="0"/>
      <w:marTop w:val="0"/>
      <w:marBottom w:val="0"/>
      <w:divBdr>
        <w:top w:val="none" w:sz="0" w:space="0" w:color="auto"/>
        <w:left w:val="none" w:sz="0" w:space="0" w:color="auto"/>
        <w:bottom w:val="none" w:sz="0" w:space="0" w:color="auto"/>
        <w:right w:val="none" w:sz="0" w:space="0" w:color="auto"/>
      </w:divBdr>
    </w:div>
    <w:div w:id="1592622674">
      <w:bodyDiv w:val="1"/>
      <w:marLeft w:val="0"/>
      <w:marRight w:val="0"/>
      <w:marTop w:val="0"/>
      <w:marBottom w:val="0"/>
      <w:divBdr>
        <w:top w:val="none" w:sz="0" w:space="0" w:color="auto"/>
        <w:left w:val="none" w:sz="0" w:space="0" w:color="auto"/>
        <w:bottom w:val="none" w:sz="0" w:space="0" w:color="auto"/>
        <w:right w:val="none" w:sz="0" w:space="0" w:color="auto"/>
      </w:divBdr>
      <w:divsChild>
        <w:div w:id="1148665586">
          <w:marLeft w:val="547"/>
          <w:marRight w:val="0"/>
          <w:marTop w:val="0"/>
          <w:marBottom w:val="0"/>
          <w:divBdr>
            <w:top w:val="none" w:sz="0" w:space="0" w:color="auto"/>
            <w:left w:val="none" w:sz="0" w:space="0" w:color="auto"/>
            <w:bottom w:val="none" w:sz="0" w:space="0" w:color="auto"/>
            <w:right w:val="none" w:sz="0" w:space="0" w:color="auto"/>
          </w:divBdr>
        </w:div>
      </w:divsChild>
    </w:div>
    <w:div w:id="1595625987">
      <w:bodyDiv w:val="1"/>
      <w:marLeft w:val="0"/>
      <w:marRight w:val="0"/>
      <w:marTop w:val="0"/>
      <w:marBottom w:val="0"/>
      <w:divBdr>
        <w:top w:val="none" w:sz="0" w:space="0" w:color="auto"/>
        <w:left w:val="none" w:sz="0" w:space="0" w:color="auto"/>
        <w:bottom w:val="none" w:sz="0" w:space="0" w:color="auto"/>
        <w:right w:val="none" w:sz="0" w:space="0" w:color="auto"/>
      </w:divBdr>
      <w:divsChild>
        <w:div w:id="746611768">
          <w:marLeft w:val="547"/>
          <w:marRight w:val="0"/>
          <w:marTop w:val="0"/>
          <w:marBottom w:val="0"/>
          <w:divBdr>
            <w:top w:val="none" w:sz="0" w:space="0" w:color="auto"/>
            <w:left w:val="none" w:sz="0" w:space="0" w:color="auto"/>
            <w:bottom w:val="none" w:sz="0" w:space="0" w:color="auto"/>
            <w:right w:val="none" w:sz="0" w:space="0" w:color="auto"/>
          </w:divBdr>
        </w:div>
      </w:divsChild>
    </w:div>
    <w:div w:id="1598830237">
      <w:bodyDiv w:val="1"/>
      <w:marLeft w:val="0"/>
      <w:marRight w:val="0"/>
      <w:marTop w:val="0"/>
      <w:marBottom w:val="0"/>
      <w:divBdr>
        <w:top w:val="none" w:sz="0" w:space="0" w:color="auto"/>
        <w:left w:val="none" w:sz="0" w:space="0" w:color="auto"/>
        <w:bottom w:val="none" w:sz="0" w:space="0" w:color="auto"/>
        <w:right w:val="none" w:sz="0" w:space="0" w:color="auto"/>
      </w:divBdr>
      <w:divsChild>
        <w:div w:id="308487081">
          <w:marLeft w:val="288"/>
          <w:marRight w:val="0"/>
          <w:marTop w:val="60"/>
          <w:marBottom w:val="0"/>
          <w:divBdr>
            <w:top w:val="none" w:sz="0" w:space="0" w:color="auto"/>
            <w:left w:val="none" w:sz="0" w:space="0" w:color="auto"/>
            <w:bottom w:val="none" w:sz="0" w:space="0" w:color="auto"/>
            <w:right w:val="none" w:sz="0" w:space="0" w:color="auto"/>
          </w:divBdr>
        </w:div>
        <w:div w:id="1415932377">
          <w:marLeft w:val="288"/>
          <w:marRight w:val="0"/>
          <w:marTop w:val="60"/>
          <w:marBottom w:val="0"/>
          <w:divBdr>
            <w:top w:val="none" w:sz="0" w:space="0" w:color="auto"/>
            <w:left w:val="none" w:sz="0" w:space="0" w:color="auto"/>
            <w:bottom w:val="none" w:sz="0" w:space="0" w:color="auto"/>
            <w:right w:val="none" w:sz="0" w:space="0" w:color="auto"/>
          </w:divBdr>
        </w:div>
      </w:divsChild>
    </w:div>
    <w:div w:id="1698116385">
      <w:bodyDiv w:val="1"/>
      <w:marLeft w:val="0"/>
      <w:marRight w:val="0"/>
      <w:marTop w:val="0"/>
      <w:marBottom w:val="0"/>
      <w:divBdr>
        <w:top w:val="none" w:sz="0" w:space="0" w:color="auto"/>
        <w:left w:val="none" w:sz="0" w:space="0" w:color="auto"/>
        <w:bottom w:val="none" w:sz="0" w:space="0" w:color="auto"/>
        <w:right w:val="none" w:sz="0" w:space="0" w:color="auto"/>
      </w:divBdr>
      <w:divsChild>
        <w:div w:id="741293720">
          <w:marLeft w:val="547"/>
          <w:marRight w:val="0"/>
          <w:marTop w:val="0"/>
          <w:marBottom w:val="0"/>
          <w:divBdr>
            <w:top w:val="none" w:sz="0" w:space="0" w:color="auto"/>
            <w:left w:val="none" w:sz="0" w:space="0" w:color="auto"/>
            <w:bottom w:val="none" w:sz="0" w:space="0" w:color="auto"/>
            <w:right w:val="none" w:sz="0" w:space="0" w:color="auto"/>
          </w:divBdr>
        </w:div>
      </w:divsChild>
    </w:div>
    <w:div w:id="1741245271">
      <w:bodyDiv w:val="1"/>
      <w:marLeft w:val="0"/>
      <w:marRight w:val="0"/>
      <w:marTop w:val="0"/>
      <w:marBottom w:val="0"/>
      <w:divBdr>
        <w:top w:val="none" w:sz="0" w:space="0" w:color="auto"/>
        <w:left w:val="none" w:sz="0" w:space="0" w:color="auto"/>
        <w:bottom w:val="none" w:sz="0" w:space="0" w:color="auto"/>
        <w:right w:val="none" w:sz="0" w:space="0" w:color="auto"/>
      </w:divBdr>
      <w:divsChild>
        <w:div w:id="1323703334">
          <w:marLeft w:val="547"/>
          <w:marRight w:val="0"/>
          <w:marTop w:val="0"/>
          <w:marBottom w:val="0"/>
          <w:divBdr>
            <w:top w:val="none" w:sz="0" w:space="0" w:color="auto"/>
            <w:left w:val="none" w:sz="0" w:space="0" w:color="auto"/>
            <w:bottom w:val="none" w:sz="0" w:space="0" w:color="auto"/>
            <w:right w:val="none" w:sz="0" w:space="0" w:color="auto"/>
          </w:divBdr>
        </w:div>
      </w:divsChild>
    </w:div>
    <w:div w:id="1870415771">
      <w:bodyDiv w:val="1"/>
      <w:marLeft w:val="0"/>
      <w:marRight w:val="0"/>
      <w:marTop w:val="0"/>
      <w:marBottom w:val="0"/>
      <w:divBdr>
        <w:top w:val="none" w:sz="0" w:space="0" w:color="auto"/>
        <w:left w:val="none" w:sz="0" w:space="0" w:color="auto"/>
        <w:bottom w:val="none" w:sz="0" w:space="0" w:color="auto"/>
        <w:right w:val="none" w:sz="0" w:space="0" w:color="auto"/>
      </w:divBdr>
    </w:div>
    <w:div w:id="1913660408">
      <w:bodyDiv w:val="1"/>
      <w:marLeft w:val="0"/>
      <w:marRight w:val="0"/>
      <w:marTop w:val="0"/>
      <w:marBottom w:val="0"/>
      <w:divBdr>
        <w:top w:val="none" w:sz="0" w:space="0" w:color="auto"/>
        <w:left w:val="none" w:sz="0" w:space="0" w:color="auto"/>
        <w:bottom w:val="none" w:sz="0" w:space="0" w:color="auto"/>
        <w:right w:val="none" w:sz="0" w:space="0" w:color="auto"/>
      </w:divBdr>
    </w:div>
    <w:div w:id="1998220916">
      <w:bodyDiv w:val="1"/>
      <w:marLeft w:val="0"/>
      <w:marRight w:val="0"/>
      <w:marTop w:val="0"/>
      <w:marBottom w:val="0"/>
      <w:divBdr>
        <w:top w:val="none" w:sz="0" w:space="0" w:color="auto"/>
        <w:left w:val="none" w:sz="0" w:space="0" w:color="auto"/>
        <w:bottom w:val="none" w:sz="0" w:space="0" w:color="auto"/>
        <w:right w:val="none" w:sz="0" w:space="0" w:color="auto"/>
      </w:divBdr>
    </w:div>
    <w:div w:id="2060274541">
      <w:bodyDiv w:val="1"/>
      <w:marLeft w:val="0"/>
      <w:marRight w:val="0"/>
      <w:marTop w:val="0"/>
      <w:marBottom w:val="0"/>
      <w:divBdr>
        <w:top w:val="none" w:sz="0" w:space="0" w:color="auto"/>
        <w:left w:val="none" w:sz="0" w:space="0" w:color="auto"/>
        <w:bottom w:val="none" w:sz="0" w:space="0" w:color="auto"/>
        <w:right w:val="none" w:sz="0" w:space="0" w:color="auto"/>
      </w:divBdr>
      <w:divsChild>
        <w:div w:id="12740486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energyrating.gov.au/sites/default/files/documents/RBS2014_Technical_Appendix.docx"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s://www.nathers.gov.au/node/472" TargetMode="External"/><Relationship Id="rId42"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energyrating.gov.au/sites/default/files/documents/RBS2014_Technical_Appendix..pdf" TargetMode="External"/><Relationship Id="rId33" Type="http://schemas.openxmlformats.org/officeDocument/2006/relationships/hyperlink" Target="https://www.abcb.gov.au/Resources/Tools-Calculators/Climate-Zone-Map-Australia-Wide" TargetMode="External"/><Relationship Id="rId3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hyperlink" Target="https://www.environment.gov.au/protection/ozone/publications/cold-hard-facts-2019" TargetMode="External"/><Relationship Id="rId41" Type="http://schemas.openxmlformats.org/officeDocument/2006/relationships/hyperlink" Target="https://www.energyrating.gov.au/document/report-residential-baseline-study-technical-appendi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s://www.abcb.gov.au/Resources/Tools-Calculators/Climate-Zone-Map-Australia-Wide" TargetMode="External"/><Relationship Id="rId37" Type="http://schemas.openxmlformats.org/officeDocument/2006/relationships/hyperlink" Target="https://www.abs.gov.au/AUSSTATS/abs@.nsf/Lookup/4671.0Main+Features12012?OpenDocument" TargetMode="External"/><Relationship Id="rId40"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hyperlink" Target="https://aemoderr.b2clogin.com/aemoderr.onmicrosoft.com/oauth2/v2.0/authorize?p=B2C_1A_signup_signin&amp;client_id=4aec1742-9744-4a99-970c-e98ab69ae5bb&amp;nonce=DmP4F8mG33R1sh26NtCGzfrz2euTgD66&amp;redirect_uri=https://api.aemo.com.au/NEMWholesale/DER/consumer/registration/v1/authorize&amp;scope=openid%20offline_access&amp;response_type=code&amp;response_mode=query" TargetMode="External"/><Relationship Id="rId36" Type="http://schemas.openxmlformats.org/officeDocument/2006/relationships/hyperlink" Target="https://www.abs.gov.au/AUSSTATS/abs@.nsf/mf/3222.0" TargetMode="External"/><Relationship Id="rId10" Type="http://schemas.openxmlformats.org/officeDocument/2006/relationships/footnotes" Target="footnotes.xml"/><Relationship Id="rId19" Type="http://schemas.openxmlformats.org/officeDocument/2006/relationships/hyperlink" Target="https://www.energyrating.gov.au/document/report-residential-baseline-study-new-zealand-2000-2030" TargetMode="External"/><Relationship Id="rId31" Type="http://schemas.openxmlformats.org/officeDocument/2006/relationships/image" Target="media/image3.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yperlink" Target="https://aemo.com.au/en/energy-systems/electricity/der-register" TargetMode="External"/><Relationship Id="rId30" Type="http://schemas.openxmlformats.org/officeDocument/2006/relationships/hyperlink" Target="https://near.csiro.au/" TargetMode="External"/><Relationship Id="rId35" Type="http://schemas.openxmlformats.org/officeDocument/2006/relationships/hyperlink" Target="https://auth.censusdata.abs.gov.au/webapi/jsf/login.xhtm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paul@energyconsult.com.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eeca.govt.nz/assets/EECA-Resources/Product-regulations/Sales-data-tool-user-gui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Custom%20Office%20Templates\EC%20Report%20V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463A83-2C0C-4D21-89F8-B337B002729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en-AU"/>
        </a:p>
      </dgm:t>
    </dgm:pt>
    <dgm:pt modelId="{A5AF47AB-87CD-46AA-8402-CE25226AD200}">
      <dgm:prSet phldrT="[Text]"/>
      <dgm:spPr/>
      <dgm:t>
        <a:bodyPr/>
        <a:lstStyle/>
        <a:p>
          <a:r>
            <a:rPr lang="en-AU" b="1"/>
            <a:t>Key Area</a:t>
          </a:r>
        </a:p>
      </dgm:t>
    </dgm:pt>
    <dgm:pt modelId="{4D2A82A4-0076-49D1-AF12-3DB546FF72AB}" type="parTrans" cxnId="{97AB816E-AAC9-4020-B009-D93CB0EABB67}">
      <dgm:prSet/>
      <dgm:spPr/>
      <dgm:t>
        <a:bodyPr/>
        <a:lstStyle/>
        <a:p>
          <a:endParaRPr lang="en-AU"/>
        </a:p>
      </dgm:t>
    </dgm:pt>
    <dgm:pt modelId="{43E703A7-A8D9-429F-BC8E-92FEC0831F6A}" type="sibTrans" cxnId="{97AB816E-AAC9-4020-B009-D93CB0EABB67}">
      <dgm:prSet/>
      <dgm:spPr/>
      <dgm:t>
        <a:bodyPr/>
        <a:lstStyle/>
        <a:p>
          <a:endParaRPr lang="en-AU"/>
        </a:p>
      </dgm:t>
    </dgm:pt>
    <dgm:pt modelId="{D73B02D0-736C-4F13-A872-2CE307D501E6}">
      <dgm:prSet phldrT="[Text]" custT="1"/>
      <dgm:spPr/>
      <dgm:t>
        <a:bodyPr/>
        <a:lstStyle/>
        <a:p>
          <a:r>
            <a:rPr lang="en-AU" sz="1400"/>
            <a:t>to 2040, add new products</a:t>
          </a:r>
        </a:p>
      </dgm:t>
    </dgm:pt>
    <dgm:pt modelId="{C181FFD6-BE27-466E-9BF9-3459EA955F4C}" type="parTrans" cxnId="{69E27A92-7846-4709-AD40-5F7BCC9D11CF}">
      <dgm:prSet/>
      <dgm:spPr/>
      <dgm:t>
        <a:bodyPr/>
        <a:lstStyle/>
        <a:p>
          <a:endParaRPr lang="en-AU"/>
        </a:p>
      </dgm:t>
    </dgm:pt>
    <dgm:pt modelId="{559D227C-6714-4041-8943-1E2AE157B21A}" type="sibTrans" cxnId="{69E27A92-7846-4709-AD40-5F7BCC9D11CF}">
      <dgm:prSet/>
      <dgm:spPr/>
      <dgm:t>
        <a:bodyPr/>
        <a:lstStyle/>
        <a:p>
          <a:endParaRPr lang="en-AU"/>
        </a:p>
      </dgm:t>
    </dgm:pt>
    <dgm:pt modelId="{24D49C2A-0545-42D7-899C-AB8D85238C55}">
      <dgm:prSet phldrT="[Text]"/>
      <dgm:spPr/>
      <dgm:t>
        <a:bodyPr/>
        <a:lstStyle/>
        <a:p>
          <a:r>
            <a:rPr lang="en-AU" b="1"/>
            <a:t>RBS1.0</a:t>
          </a:r>
        </a:p>
      </dgm:t>
    </dgm:pt>
    <dgm:pt modelId="{B166344C-14BD-4CC0-AAE2-12B446F22FA1}" type="parTrans" cxnId="{AFB41E4F-D35C-4867-A53C-D11414770D01}">
      <dgm:prSet/>
      <dgm:spPr/>
      <dgm:t>
        <a:bodyPr/>
        <a:lstStyle/>
        <a:p>
          <a:endParaRPr lang="en-AU"/>
        </a:p>
      </dgm:t>
    </dgm:pt>
    <dgm:pt modelId="{14A3634A-6814-4AFB-AD72-7B32EED97FDF}" type="sibTrans" cxnId="{AFB41E4F-D35C-4867-A53C-D11414770D01}">
      <dgm:prSet/>
      <dgm:spPr/>
      <dgm:t>
        <a:bodyPr/>
        <a:lstStyle/>
        <a:p>
          <a:endParaRPr lang="en-AU"/>
        </a:p>
      </dgm:t>
    </dgm:pt>
    <dgm:pt modelId="{828916B8-8ABF-4863-AF08-AEEED255E463}">
      <dgm:prSet phldrT="[Text]"/>
      <dgm:spPr/>
      <dgm:t>
        <a:bodyPr/>
        <a:lstStyle/>
        <a:p>
          <a:r>
            <a:rPr lang="en-AU" b="1"/>
            <a:t>RBS2.0 + enhancements</a:t>
          </a:r>
        </a:p>
      </dgm:t>
    </dgm:pt>
    <dgm:pt modelId="{1960404F-5EB8-4D3E-B79F-C951AA437E63}" type="parTrans" cxnId="{48F1B605-6D94-4221-8126-A1278387A1FA}">
      <dgm:prSet/>
      <dgm:spPr/>
      <dgm:t>
        <a:bodyPr/>
        <a:lstStyle/>
        <a:p>
          <a:endParaRPr lang="en-AU"/>
        </a:p>
      </dgm:t>
    </dgm:pt>
    <dgm:pt modelId="{2BF28C29-56DB-40CF-8B2C-80E4BE958C2A}" type="sibTrans" cxnId="{48F1B605-6D94-4221-8126-A1278387A1FA}">
      <dgm:prSet/>
      <dgm:spPr/>
      <dgm:t>
        <a:bodyPr/>
        <a:lstStyle/>
        <a:p>
          <a:endParaRPr lang="en-AU"/>
        </a:p>
      </dgm:t>
    </dgm:pt>
    <dgm:pt modelId="{81ABD86D-0AA5-4EF0-B5AB-F49770F6A8EB}">
      <dgm:prSet phldrT="[Text]" custT="1"/>
      <dgm:spPr/>
      <dgm:t>
        <a:bodyPr/>
        <a:lstStyle/>
        <a:p>
          <a:r>
            <a:rPr lang="en-AU" sz="1400"/>
            <a:t>Energy</a:t>
          </a:r>
        </a:p>
      </dgm:t>
    </dgm:pt>
    <dgm:pt modelId="{6EEBFAA4-3EF4-4A43-A68A-3F3AC097D549}" type="parTrans" cxnId="{74568C44-C968-4DD0-A119-5063602EA344}">
      <dgm:prSet/>
      <dgm:spPr/>
      <dgm:t>
        <a:bodyPr/>
        <a:lstStyle/>
        <a:p>
          <a:endParaRPr lang="en-AU"/>
        </a:p>
      </dgm:t>
    </dgm:pt>
    <dgm:pt modelId="{D05C5F4C-E684-4556-AC6E-974B07A91D1C}" type="sibTrans" cxnId="{74568C44-C968-4DD0-A119-5063602EA344}">
      <dgm:prSet/>
      <dgm:spPr/>
      <dgm:t>
        <a:bodyPr/>
        <a:lstStyle/>
        <a:p>
          <a:endParaRPr lang="en-AU"/>
        </a:p>
      </dgm:t>
    </dgm:pt>
    <dgm:pt modelId="{E22DF854-7A52-4E2C-9EDE-77740E0C48FF}">
      <dgm:prSet phldrT="[Text]" custT="1"/>
      <dgm:spPr/>
      <dgm:t>
        <a:bodyPr/>
        <a:lstStyle/>
        <a:p>
          <a:r>
            <a:rPr lang="en-AU" sz="1400"/>
            <a:t>Demand</a:t>
          </a:r>
        </a:p>
      </dgm:t>
    </dgm:pt>
    <dgm:pt modelId="{3479C486-0D0E-4573-BD0A-426B01CE1686}" type="parTrans" cxnId="{AD912903-D55A-4F5A-8F6F-53986333177D}">
      <dgm:prSet/>
      <dgm:spPr/>
      <dgm:t>
        <a:bodyPr/>
        <a:lstStyle/>
        <a:p>
          <a:endParaRPr lang="en-AU"/>
        </a:p>
      </dgm:t>
    </dgm:pt>
    <dgm:pt modelId="{8A6FAC38-E2F8-49BC-9D69-F3CAAA8E8490}" type="sibTrans" cxnId="{AD912903-D55A-4F5A-8F6F-53986333177D}">
      <dgm:prSet/>
      <dgm:spPr/>
      <dgm:t>
        <a:bodyPr/>
        <a:lstStyle/>
        <a:p>
          <a:endParaRPr lang="en-AU"/>
        </a:p>
      </dgm:t>
    </dgm:pt>
    <dgm:pt modelId="{97304EED-9BA9-48FF-8033-D49787D343B2}">
      <dgm:prSet phldrT="[Text]"/>
      <dgm:spPr/>
      <dgm:t>
        <a:bodyPr/>
        <a:lstStyle/>
        <a:p>
          <a:r>
            <a:rPr lang="en-AU"/>
            <a:t>Linkages</a:t>
          </a:r>
        </a:p>
      </dgm:t>
    </dgm:pt>
    <dgm:pt modelId="{80C32EB7-9749-494B-9788-4DF964ED6102}" type="parTrans" cxnId="{642FDE8F-8B3D-4CB6-ACDD-7D378B419FD5}">
      <dgm:prSet/>
      <dgm:spPr/>
      <dgm:t>
        <a:bodyPr/>
        <a:lstStyle/>
        <a:p>
          <a:endParaRPr lang="en-AU"/>
        </a:p>
      </dgm:t>
    </dgm:pt>
    <dgm:pt modelId="{85A2158B-EC6A-461F-8BCB-4D64A98105A0}" type="sibTrans" cxnId="{642FDE8F-8B3D-4CB6-ACDD-7D378B419FD5}">
      <dgm:prSet/>
      <dgm:spPr/>
      <dgm:t>
        <a:bodyPr/>
        <a:lstStyle/>
        <a:p>
          <a:endParaRPr lang="en-AU"/>
        </a:p>
      </dgm:t>
    </dgm:pt>
    <dgm:pt modelId="{F4CE4DF9-E136-435C-9C62-FE71FE26ED5D}">
      <dgm:prSet phldrT="[Text]"/>
      <dgm:spPr/>
      <dgm:t>
        <a:bodyPr/>
        <a:lstStyle/>
        <a:p>
          <a:r>
            <a:rPr lang="en-AU"/>
            <a:t>Outputs</a:t>
          </a:r>
        </a:p>
      </dgm:t>
    </dgm:pt>
    <dgm:pt modelId="{69BC9A74-7200-4A64-AF84-897F3C6ED2A3}" type="parTrans" cxnId="{D6B43CBD-D8FB-4337-8C60-68E822D57443}">
      <dgm:prSet/>
      <dgm:spPr/>
      <dgm:t>
        <a:bodyPr/>
        <a:lstStyle/>
        <a:p>
          <a:endParaRPr lang="en-AU"/>
        </a:p>
      </dgm:t>
    </dgm:pt>
    <dgm:pt modelId="{9634DFCE-EBD0-4E30-9021-3AF359250754}" type="sibTrans" cxnId="{D6B43CBD-D8FB-4337-8C60-68E822D57443}">
      <dgm:prSet/>
      <dgm:spPr/>
      <dgm:t>
        <a:bodyPr/>
        <a:lstStyle/>
        <a:p>
          <a:endParaRPr lang="en-AU"/>
        </a:p>
      </dgm:t>
    </dgm:pt>
    <dgm:pt modelId="{0CCBDFD4-1FE3-428C-AEC0-4C9474E79A8C}">
      <dgm:prSet phldrT="[Text]" custT="1"/>
      <dgm:spPr/>
      <dgm:t>
        <a:bodyPr/>
        <a:lstStyle/>
        <a:p>
          <a:r>
            <a:rPr lang="en-AU" sz="1400"/>
            <a:t>to 2030</a:t>
          </a:r>
        </a:p>
      </dgm:t>
    </dgm:pt>
    <dgm:pt modelId="{29386BFE-71B6-4DA2-8898-147DBA8238B1}" type="parTrans" cxnId="{8D9DE14B-B825-43B5-BD0C-014F8C7C64C6}">
      <dgm:prSet/>
      <dgm:spPr/>
      <dgm:t>
        <a:bodyPr/>
        <a:lstStyle/>
        <a:p>
          <a:endParaRPr lang="en-AU"/>
        </a:p>
      </dgm:t>
    </dgm:pt>
    <dgm:pt modelId="{591B3426-A8E3-4B1B-A532-17AB9A937558}" type="sibTrans" cxnId="{8D9DE14B-B825-43B5-BD0C-014F8C7C64C6}">
      <dgm:prSet/>
      <dgm:spPr/>
      <dgm:t>
        <a:bodyPr/>
        <a:lstStyle/>
        <a:p>
          <a:endParaRPr lang="en-AU"/>
        </a:p>
      </dgm:t>
    </dgm:pt>
    <dgm:pt modelId="{E67B9F53-2AFB-42EC-8920-1994CFA517CC}">
      <dgm:prSet phldrT="[Text]" custT="1"/>
      <dgm:spPr/>
      <dgm:t>
        <a:bodyPr/>
        <a:lstStyle/>
        <a:p>
          <a:r>
            <a:rPr lang="en-AU" sz="1400"/>
            <a:t>Peak demand</a:t>
          </a:r>
        </a:p>
      </dgm:t>
    </dgm:pt>
    <dgm:pt modelId="{200CF044-251B-470D-9B97-21C5981584D6}" type="parTrans" cxnId="{61D72C23-000E-42D7-8E6B-0628AD432F19}">
      <dgm:prSet/>
      <dgm:spPr/>
      <dgm:t>
        <a:bodyPr/>
        <a:lstStyle/>
        <a:p>
          <a:endParaRPr lang="en-AU"/>
        </a:p>
      </dgm:t>
    </dgm:pt>
    <dgm:pt modelId="{95C098A0-A4CF-4F71-81DD-AEA71B01B26C}" type="sibTrans" cxnId="{61D72C23-000E-42D7-8E6B-0628AD432F19}">
      <dgm:prSet/>
      <dgm:spPr/>
      <dgm:t>
        <a:bodyPr/>
        <a:lstStyle/>
        <a:p>
          <a:endParaRPr lang="en-AU"/>
        </a:p>
      </dgm:t>
    </dgm:pt>
    <dgm:pt modelId="{A4EC2682-6811-4119-9C25-3FB799348D42}">
      <dgm:prSet phldrT="[Text]" custT="1"/>
      <dgm:spPr/>
      <dgm:t>
        <a:bodyPr/>
        <a:lstStyle/>
        <a:p>
          <a:r>
            <a:rPr lang="en-AU" sz="1400"/>
            <a:t>Average demand ToU profiles</a:t>
          </a:r>
        </a:p>
      </dgm:t>
    </dgm:pt>
    <dgm:pt modelId="{C39944C2-D4E4-42B1-AF59-B685884C90C3}" type="parTrans" cxnId="{B1FB1653-E1B2-42D7-8AE8-3E0BCBC5633D}">
      <dgm:prSet/>
      <dgm:spPr/>
      <dgm:t>
        <a:bodyPr/>
        <a:lstStyle/>
        <a:p>
          <a:endParaRPr lang="en-AU"/>
        </a:p>
      </dgm:t>
    </dgm:pt>
    <dgm:pt modelId="{554CB0ED-0BD5-4456-AF4A-EC68FC74111E}" type="sibTrans" cxnId="{B1FB1653-E1B2-42D7-8AE8-3E0BCBC5633D}">
      <dgm:prSet/>
      <dgm:spPr/>
      <dgm:t>
        <a:bodyPr/>
        <a:lstStyle/>
        <a:p>
          <a:endParaRPr lang="en-AU"/>
        </a:p>
      </dgm:t>
    </dgm:pt>
    <dgm:pt modelId="{D5D10909-AB7D-4BC8-874B-ED825F19BD3A}">
      <dgm:prSet phldrT="[Text]"/>
      <dgm:spPr/>
      <dgm:t>
        <a:bodyPr/>
        <a:lstStyle/>
        <a:p>
          <a:r>
            <a:rPr lang="en-AU"/>
            <a:t>Building thermal shell</a:t>
          </a:r>
        </a:p>
      </dgm:t>
    </dgm:pt>
    <dgm:pt modelId="{72239DEC-6D50-443B-BBD1-C7050FC9C3E2}" type="parTrans" cxnId="{E68740B5-4422-433A-BB90-D76F69DBE6C6}">
      <dgm:prSet/>
      <dgm:spPr/>
      <dgm:t>
        <a:bodyPr/>
        <a:lstStyle/>
        <a:p>
          <a:endParaRPr lang="en-AU"/>
        </a:p>
      </dgm:t>
    </dgm:pt>
    <dgm:pt modelId="{38FF6245-0E7E-48E3-962D-51403F473C3B}" type="sibTrans" cxnId="{E68740B5-4422-433A-BB90-D76F69DBE6C6}">
      <dgm:prSet/>
      <dgm:spPr/>
      <dgm:t>
        <a:bodyPr/>
        <a:lstStyle/>
        <a:p>
          <a:endParaRPr lang="en-AU"/>
        </a:p>
      </dgm:t>
    </dgm:pt>
    <dgm:pt modelId="{6371566A-9D23-4195-800F-10DA0E1CBAA7}">
      <dgm:prSet phldrT="[Text]"/>
      <dgm:spPr/>
      <dgm:t>
        <a:bodyPr/>
        <a:lstStyle/>
        <a:p>
          <a:r>
            <a:rPr lang="en-AU"/>
            <a:t>Weather/climate scenarios</a:t>
          </a:r>
        </a:p>
      </dgm:t>
    </dgm:pt>
    <dgm:pt modelId="{7372D6B8-DEBE-4433-A73B-39481CAF5EDB}" type="parTrans" cxnId="{93EC21DC-A90D-4F33-A2E2-EF96E21D255F}">
      <dgm:prSet/>
      <dgm:spPr/>
      <dgm:t>
        <a:bodyPr/>
        <a:lstStyle/>
        <a:p>
          <a:endParaRPr lang="en-AU"/>
        </a:p>
      </dgm:t>
    </dgm:pt>
    <dgm:pt modelId="{27EE1F99-4997-4643-83C6-7918EE3969CC}" type="sibTrans" cxnId="{93EC21DC-A90D-4F33-A2E2-EF96E21D255F}">
      <dgm:prSet/>
      <dgm:spPr/>
      <dgm:t>
        <a:bodyPr/>
        <a:lstStyle/>
        <a:p>
          <a:endParaRPr lang="en-AU"/>
        </a:p>
      </dgm:t>
    </dgm:pt>
    <dgm:pt modelId="{EB9C4654-BC90-4468-96F4-BEBD6E97BB76}">
      <dgm:prSet phldrT="[Text]"/>
      <dgm:spPr/>
      <dgm:t>
        <a:bodyPr/>
        <a:lstStyle/>
        <a:p>
          <a:r>
            <a:rPr lang="en-AU"/>
            <a:t>Energy by end-use, State, year</a:t>
          </a:r>
        </a:p>
      </dgm:t>
    </dgm:pt>
    <dgm:pt modelId="{40F20927-42E6-4F5D-99B0-9EDF6F9F4A58}" type="parTrans" cxnId="{76E1B9CE-CCA7-4A63-B1DB-F99D69E9436F}">
      <dgm:prSet/>
      <dgm:spPr/>
      <dgm:t>
        <a:bodyPr/>
        <a:lstStyle/>
        <a:p>
          <a:endParaRPr lang="en-AU"/>
        </a:p>
      </dgm:t>
    </dgm:pt>
    <dgm:pt modelId="{0AD32982-CC43-4821-BED8-B43649AE208D}" type="sibTrans" cxnId="{76E1B9CE-CCA7-4A63-B1DB-F99D69E9436F}">
      <dgm:prSet/>
      <dgm:spPr/>
      <dgm:t>
        <a:bodyPr/>
        <a:lstStyle/>
        <a:p>
          <a:endParaRPr lang="en-AU"/>
        </a:p>
      </dgm:t>
    </dgm:pt>
    <dgm:pt modelId="{F0BB7D08-018A-4655-B5A8-37A028EF72E0}">
      <dgm:prSet phldrT="[Text]"/>
      <dgm:spPr/>
      <dgm:t>
        <a:bodyPr/>
        <a:lstStyle/>
        <a:p>
          <a:r>
            <a:rPr lang="en-AU"/>
            <a:t>Product disaggregation,</a:t>
          </a:r>
          <a:br>
            <a:rPr lang="en-AU"/>
          </a:br>
          <a:r>
            <a:rPr lang="en-AU"/>
            <a:t>Policy scenarios</a:t>
          </a:r>
        </a:p>
      </dgm:t>
    </dgm:pt>
    <dgm:pt modelId="{F1E59C32-B65D-42EF-AE49-983F22858ABF}" type="parTrans" cxnId="{F5B188EA-4817-4E4E-8EF3-62F500F476C4}">
      <dgm:prSet/>
      <dgm:spPr/>
      <dgm:t>
        <a:bodyPr/>
        <a:lstStyle/>
        <a:p>
          <a:endParaRPr lang="en-AU"/>
        </a:p>
      </dgm:t>
    </dgm:pt>
    <dgm:pt modelId="{4AD4FA43-19E0-428A-A752-E50F4573D198}" type="sibTrans" cxnId="{F5B188EA-4817-4E4E-8EF3-62F500F476C4}">
      <dgm:prSet/>
      <dgm:spPr/>
      <dgm:t>
        <a:bodyPr/>
        <a:lstStyle/>
        <a:p>
          <a:endParaRPr lang="en-AU"/>
        </a:p>
      </dgm:t>
    </dgm:pt>
    <dgm:pt modelId="{61F75134-DA43-4CD4-BCCD-0DE10129D1BC}" type="pres">
      <dgm:prSet presAssocID="{D8463A83-2C0C-4D21-89F8-B337B0027296}" presName="Name0" presStyleCnt="0">
        <dgm:presLayoutVars>
          <dgm:chPref val="1"/>
          <dgm:dir/>
          <dgm:animOne val="branch"/>
          <dgm:animLvl val="lvl"/>
          <dgm:resizeHandles/>
        </dgm:presLayoutVars>
      </dgm:prSet>
      <dgm:spPr/>
      <dgm:t>
        <a:bodyPr/>
        <a:lstStyle/>
        <a:p>
          <a:endParaRPr lang="en-AU"/>
        </a:p>
      </dgm:t>
    </dgm:pt>
    <dgm:pt modelId="{1CCF94ED-2C47-4949-9AA7-A0D870C3B492}" type="pres">
      <dgm:prSet presAssocID="{A5AF47AB-87CD-46AA-8402-CE25226AD200}" presName="vertOne" presStyleCnt="0"/>
      <dgm:spPr/>
    </dgm:pt>
    <dgm:pt modelId="{897B540B-55EB-4D4A-B398-D424A31D29A1}" type="pres">
      <dgm:prSet presAssocID="{A5AF47AB-87CD-46AA-8402-CE25226AD200}" presName="txOne" presStyleLbl="node0" presStyleIdx="0" presStyleCnt="3">
        <dgm:presLayoutVars>
          <dgm:chPref val="3"/>
        </dgm:presLayoutVars>
      </dgm:prSet>
      <dgm:spPr/>
      <dgm:t>
        <a:bodyPr/>
        <a:lstStyle/>
        <a:p>
          <a:endParaRPr lang="en-AU"/>
        </a:p>
      </dgm:t>
    </dgm:pt>
    <dgm:pt modelId="{E73260F3-0741-44F6-A672-E6BD2909E6AA}" type="pres">
      <dgm:prSet presAssocID="{A5AF47AB-87CD-46AA-8402-CE25226AD200}" presName="parTransOne" presStyleCnt="0"/>
      <dgm:spPr/>
    </dgm:pt>
    <dgm:pt modelId="{DBB41169-1EA3-4DEF-AAF5-FDCA9559D091}" type="pres">
      <dgm:prSet presAssocID="{A5AF47AB-87CD-46AA-8402-CE25226AD200}" presName="horzOne" presStyleCnt="0"/>
      <dgm:spPr/>
    </dgm:pt>
    <dgm:pt modelId="{8D9D9331-8583-474F-8D75-78AE17F5490A}" type="pres">
      <dgm:prSet presAssocID="{81ABD86D-0AA5-4EF0-B5AB-F49770F6A8EB}" presName="vertTwo" presStyleCnt="0"/>
      <dgm:spPr/>
    </dgm:pt>
    <dgm:pt modelId="{537A3E6B-BEC1-4D45-A2BA-A2A971FE9E62}" type="pres">
      <dgm:prSet presAssocID="{81ABD86D-0AA5-4EF0-B5AB-F49770F6A8EB}" presName="txTwo" presStyleLbl="node2" presStyleIdx="0" presStyleCnt="3">
        <dgm:presLayoutVars>
          <dgm:chPref val="3"/>
        </dgm:presLayoutVars>
      </dgm:prSet>
      <dgm:spPr/>
      <dgm:t>
        <a:bodyPr/>
        <a:lstStyle/>
        <a:p>
          <a:endParaRPr lang="en-AU"/>
        </a:p>
      </dgm:t>
    </dgm:pt>
    <dgm:pt modelId="{F394FD04-2747-4666-B166-DC0330EA4079}" type="pres">
      <dgm:prSet presAssocID="{81ABD86D-0AA5-4EF0-B5AB-F49770F6A8EB}" presName="parTransTwo" presStyleCnt="0"/>
      <dgm:spPr/>
    </dgm:pt>
    <dgm:pt modelId="{61BD4662-266C-4A79-9133-36879D0EC1B9}" type="pres">
      <dgm:prSet presAssocID="{81ABD86D-0AA5-4EF0-B5AB-F49770F6A8EB}" presName="horzTwo" presStyleCnt="0"/>
      <dgm:spPr/>
    </dgm:pt>
    <dgm:pt modelId="{D0A376F7-19AE-4DB8-9BBD-06DEA40063C1}" type="pres">
      <dgm:prSet presAssocID="{E22DF854-7A52-4E2C-9EDE-77740E0C48FF}" presName="vertThree" presStyleCnt="0"/>
      <dgm:spPr/>
    </dgm:pt>
    <dgm:pt modelId="{75A40B0E-1B59-44D5-99D2-769AD4E9FC24}" type="pres">
      <dgm:prSet presAssocID="{E22DF854-7A52-4E2C-9EDE-77740E0C48FF}" presName="txThree" presStyleLbl="node3" presStyleIdx="0" presStyleCnt="3">
        <dgm:presLayoutVars>
          <dgm:chPref val="3"/>
        </dgm:presLayoutVars>
      </dgm:prSet>
      <dgm:spPr/>
      <dgm:t>
        <a:bodyPr/>
        <a:lstStyle/>
        <a:p>
          <a:endParaRPr lang="en-AU"/>
        </a:p>
      </dgm:t>
    </dgm:pt>
    <dgm:pt modelId="{F7E13F71-0138-4649-A903-FBD15899D127}" type="pres">
      <dgm:prSet presAssocID="{E22DF854-7A52-4E2C-9EDE-77740E0C48FF}" presName="parTransThree" presStyleCnt="0"/>
      <dgm:spPr/>
    </dgm:pt>
    <dgm:pt modelId="{A41AFD28-15F2-4878-9251-4E999E1AF604}" type="pres">
      <dgm:prSet presAssocID="{E22DF854-7A52-4E2C-9EDE-77740E0C48FF}" presName="horzThree" presStyleCnt="0"/>
      <dgm:spPr/>
    </dgm:pt>
    <dgm:pt modelId="{7B47A174-10F7-4884-8202-BC90E7E80847}" type="pres">
      <dgm:prSet presAssocID="{97304EED-9BA9-48FF-8033-D49787D343B2}" presName="vertFour" presStyleCnt="0">
        <dgm:presLayoutVars>
          <dgm:chPref val="3"/>
        </dgm:presLayoutVars>
      </dgm:prSet>
      <dgm:spPr/>
    </dgm:pt>
    <dgm:pt modelId="{21617769-9E16-442D-B98D-464D7B76C016}" type="pres">
      <dgm:prSet presAssocID="{97304EED-9BA9-48FF-8033-D49787D343B2}" presName="txFour" presStyleLbl="node4" presStyleIdx="0" presStyleCnt="6">
        <dgm:presLayoutVars>
          <dgm:chPref val="3"/>
        </dgm:presLayoutVars>
      </dgm:prSet>
      <dgm:spPr/>
      <dgm:t>
        <a:bodyPr/>
        <a:lstStyle/>
        <a:p>
          <a:endParaRPr lang="en-AU"/>
        </a:p>
      </dgm:t>
    </dgm:pt>
    <dgm:pt modelId="{D78F2D7E-FCA1-421E-8DDD-8086DB7CAB27}" type="pres">
      <dgm:prSet presAssocID="{97304EED-9BA9-48FF-8033-D49787D343B2}" presName="parTransFour" presStyleCnt="0"/>
      <dgm:spPr/>
    </dgm:pt>
    <dgm:pt modelId="{4E0315A8-69FA-4E5C-935D-6509D5B1445C}" type="pres">
      <dgm:prSet presAssocID="{97304EED-9BA9-48FF-8033-D49787D343B2}" presName="horzFour" presStyleCnt="0"/>
      <dgm:spPr/>
    </dgm:pt>
    <dgm:pt modelId="{707DA84E-E6B2-441F-8804-F819A4030648}" type="pres">
      <dgm:prSet presAssocID="{F4CE4DF9-E136-435C-9C62-FE71FE26ED5D}" presName="vertFour" presStyleCnt="0">
        <dgm:presLayoutVars>
          <dgm:chPref val="3"/>
        </dgm:presLayoutVars>
      </dgm:prSet>
      <dgm:spPr/>
    </dgm:pt>
    <dgm:pt modelId="{41C2EF3A-D666-4C5A-BA34-39B05FA7D427}" type="pres">
      <dgm:prSet presAssocID="{F4CE4DF9-E136-435C-9C62-FE71FE26ED5D}" presName="txFour" presStyleLbl="node4" presStyleIdx="1" presStyleCnt="6">
        <dgm:presLayoutVars>
          <dgm:chPref val="3"/>
        </dgm:presLayoutVars>
      </dgm:prSet>
      <dgm:spPr/>
      <dgm:t>
        <a:bodyPr/>
        <a:lstStyle/>
        <a:p>
          <a:endParaRPr lang="en-AU"/>
        </a:p>
      </dgm:t>
    </dgm:pt>
    <dgm:pt modelId="{3525C941-A2E0-417F-BF50-5C0DEF2C4AF8}" type="pres">
      <dgm:prSet presAssocID="{F4CE4DF9-E136-435C-9C62-FE71FE26ED5D}" presName="horzFour" presStyleCnt="0"/>
      <dgm:spPr/>
    </dgm:pt>
    <dgm:pt modelId="{1D9EE666-B1AD-4725-BA6F-B9074A6FD0D3}" type="pres">
      <dgm:prSet presAssocID="{43E703A7-A8D9-429F-BC8E-92FEC0831F6A}" presName="sibSpaceOne" presStyleCnt="0"/>
      <dgm:spPr/>
    </dgm:pt>
    <dgm:pt modelId="{30F2416B-7057-4D41-8B11-F4ACE427F914}" type="pres">
      <dgm:prSet presAssocID="{24D49C2A-0545-42D7-899C-AB8D85238C55}" presName="vertOne" presStyleCnt="0"/>
      <dgm:spPr/>
    </dgm:pt>
    <dgm:pt modelId="{4C9A0B6A-F724-457D-9BA5-E92B2DF4C1AC}" type="pres">
      <dgm:prSet presAssocID="{24D49C2A-0545-42D7-899C-AB8D85238C55}" presName="txOne" presStyleLbl="node0" presStyleIdx="1" presStyleCnt="3">
        <dgm:presLayoutVars>
          <dgm:chPref val="3"/>
        </dgm:presLayoutVars>
      </dgm:prSet>
      <dgm:spPr/>
      <dgm:t>
        <a:bodyPr/>
        <a:lstStyle/>
        <a:p>
          <a:endParaRPr lang="en-AU"/>
        </a:p>
      </dgm:t>
    </dgm:pt>
    <dgm:pt modelId="{738F1B99-F365-4700-A58A-B2D76167CE25}" type="pres">
      <dgm:prSet presAssocID="{24D49C2A-0545-42D7-899C-AB8D85238C55}" presName="parTransOne" presStyleCnt="0"/>
      <dgm:spPr/>
    </dgm:pt>
    <dgm:pt modelId="{637AA31E-2BBC-4F15-A5F4-578A93BC8D06}" type="pres">
      <dgm:prSet presAssocID="{24D49C2A-0545-42D7-899C-AB8D85238C55}" presName="horzOne" presStyleCnt="0"/>
      <dgm:spPr/>
    </dgm:pt>
    <dgm:pt modelId="{94CA2227-EE31-4126-A69B-FCD3991537B1}" type="pres">
      <dgm:prSet presAssocID="{0CCBDFD4-1FE3-428C-AEC0-4C9474E79A8C}" presName="vertTwo" presStyleCnt="0"/>
      <dgm:spPr/>
    </dgm:pt>
    <dgm:pt modelId="{752E6B6A-8D77-4D59-A0EB-51C6B82D3683}" type="pres">
      <dgm:prSet presAssocID="{0CCBDFD4-1FE3-428C-AEC0-4C9474E79A8C}" presName="txTwo" presStyleLbl="node2" presStyleIdx="1" presStyleCnt="3">
        <dgm:presLayoutVars>
          <dgm:chPref val="3"/>
        </dgm:presLayoutVars>
      </dgm:prSet>
      <dgm:spPr/>
      <dgm:t>
        <a:bodyPr/>
        <a:lstStyle/>
        <a:p>
          <a:endParaRPr lang="en-AU"/>
        </a:p>
      </dgm:t>
    </dgm:pt>
    <dgm:pt modelId="{94FC198D-3C43-435F-A005-38AA1D732653}" type="pres">
      <dgm:prSet presAssocID="{0CCBDFD4-1FE3-428C-AEC0-4C9474E79A8C}" presName="parTransTwo" presStyleCnt="0"/>
      <dgm:spPr/>
    </dgm:pt>
    <dgm:pt modelId="{1BD46D09-5AB8-487E-AF59-909F37FCE8E3}" type="pres">
      <dgm:prSet presAssocID="{0CCBDFD4-1FE3-428C-AEC0-4C9474E79A8C}" presName="horzTwo" presStyleCnt="0"/>
      <dgm:spPr/>
    </dgm:pt>
    <dgm:pt modelId="{BD60BFCC-8516-4FDE-826C-8BA08BCA8763}" type="pres">
      <dgm:prSet presAssocID="{E67B9F53-2AFB-42EC-8920-1994CFA517CC}" presName="vertThree" presStyleCnt="0"/>
      <dgm:spPr/>
    </dgm:pt>
    <dgm:pt modelId="{837327B0-7A4C-4129-BD92-514A21C8EAE8}" type="pres">
      <dgm:prSet presAssocID="{E67B9F53-2AFB-42EC-8920-1994CFA517CC}" presName="txThree" presStyleLbl="node3" presStyleIdx="1" presStyleCnt="3">
        <dgm:presLayoutVars>
          <dgm:chPref val="3"/>
        </dgm:presLayoutVars>
      </dgm:prSet>
      <dgm:spPr/>
      <dgm:t>
        <a:bodyPr/>
        <a:lstStyle/>
        <a:p>
          <a:endParaRPr lang="en-AU"/>
        </a:p>
      </dgm:t>
    </dgm:pt>
    <dgm:pt modelId="{23961ED3-64E5-4436-BC2C-AE53AE4B8D6D}" type="pres">
      <dgm:prSet presAssocID="{E67B9F53-2AFB-42EC-8920-1994CFA517CC}" presName="parTransThree" presStyleCnt="0"/>
      <dgm:spPr/>
    </dgm:pt>
    <dgm:pt modelId="{AF04D819-C432-4C61-8FD7-466527168955}" type="pres">
      <dgm:prSet presAssocID="{E67B9F53-2AFB-42EC-8920-1994CFA517CC}" presName="horzThree" presStyleCnt="0"/>
      <dgm:spPr/>
    </dgm:pt>
    <dgm:pt modelId="{4265356D-4F78-4C85-A07D-BCB03BEF8FB4}" type="pres">
      <dgm:prSet presAssocID="{D5D10909-AB7D-4BC8-874B-ED825F19BD3A}" presName="vertFour" presStyleCnt="0">
        <dgm:presLayoutVars>
          <dgm:chPref val="3"/>
        </dgm:presLayoutVars>
      </dgm:prSet>
      <dgm:spPr/>
    </dgm:pt>
    <dgm:pt modelId="{27D88B7E-0A92-4B08-A0E3-D8B362FC1ADF}" type="pres">
      <dgm:prSet presAssocID="{D5D10909-AB7D-4BC8-874B-ED825F19BD3A}" presName="txFour" presStyleLbl="node4" presStyleIdx="2" presStyleCnt="6">
        <dgm:presLayoutVars>
          <dgm:chPref val="3"/>
        </dgm:presLayoutVars>
      </dgm:prSet>
      <dgm:spPr/>
      <dgm:t>
        <a:bodyPr/>
        <a:lstStyle/>
        <a:p>
          <a:endParaRPr lang="en-AU"/>
        </a:p>
      </dgm:t>
    </dgm:pt>
    <dgm:pt modelId="{8C9034A4-0E3C-42B2-A06C-B6283D97739C}" type="pres">
      <dgm:prSet presAssocID="{D5D10909-AB7D-4BC8-874B-ED825F19BD3A}" presName="parTransFour" presStyleCnt="0"/>
      <dgm:spPr/>
    </dgm:pt>
    <dgm:pt modelId="{373DF466-8A13-4CF6-BED0-EF31EB78A4D3}" type="pres">
      <dgm:prSet presAssocID="{D5D10909-AB7D-4BC8-874B-ED825F19BD3A}" presName="horzFour" presStyleCnt="0"/>
      <dgm:spPr/>
    </dgm:pt>
    <dgm:pt modelId="{A87289CF-BF30-4EAD-BCFA-676C7A605943}" type="pres">
      <dgm:prSet presAssocID="{EB9C4654-BC90-4468-96F4-BEBD6E97BB76}" presName="vertFour" presStyleCnt="0">
        <dgm:presLayoutVars>
          <dgm:chPref val="3"/>
        </dgm:presLayoutVars>
      </dgm:prSet>
      <dgm:spPr/>
    </dgm:pt>
    <dgm:pt modelId="{A218CF98-755B-4297-A82A-8B54EEC3D5DF}" type="pres">
      <dgm:prSet presAssocID="{EB9C4654-BC90-4468-96F4-BEBD6E97BB76}" presName="txFour" presStyleLbl="node4" presStyleIdx="3" presStyleCnt="6">
        <dgm:presLayoutVars>
          <dgm:chPref val="3"/>
        </dgm:presLayoutVars>
      </dgm:prSet>
      <dgm:spPr/>
      <dgm:t>
        <a:bodyPr/>
        <a:lstStyle/>
        <a:p>
          <a:endParaRPr lang="en-AU"/>
        </a:p>
      </dgm:t>
    </dgm:pt>
    <dgm:pt modelId="{A0C4E2F1-4EC8-455D-B52F-E5C356FC5E1F}" type="pres">
      <dgm:prSet presAssocID="{EB9C4654-BC90-4468-96F4-BEBD6E97BB76}" presName="horzFour" presStyleCnt="0"/>
      <dgm:spPr/>
    </dgm:pt>
    <dgm:pt modelId="{394B94B1-1357-4D32-B4AF-047F2AB8244E}" type="pres">
      <dgm:prSet presAssocID="{14A3634A-6814-4AFB-AD72-7B32EED97FDF}" presName="sibSpaceOne" presStyleCnt="0"/>
      <dgm:spPr/>
    </dgm:pt>
    <dgm:pt modelId="{E9D3B84A-ED36-4D77-91AD-46192E2FC2D2}" type="pres">
      <dgm:prSet presAssocID="{828916B8-8ABF-4863-AF08-AEEED255E463}" presName="vertOne" presStyleCnt="0"/>
      <dgm:spPr/>
    </dgm:pt>
    <dgm:pt modelId="{E50D5EFC-A92C-4370-A78B-C5C83634AFAC}" type="pres">
      <dgm:prSet presAssocID="{828916B8-8ABF-4863-AF08-AEEED255E463}" presName="txOne" presStyleLbl="node0" presStyleIdx="2" presStyleCnt="3">
        <dgm:presLayoutVars>
          <dgm:chPref val="3"/>
        </dgm:presLayoutVars>
      </dgm:prSet>
      <dgm:spPr/>
      <dgm:t>
        <a:bodyPr/>
        <a:lstStyle/>
        <a:p>
          <a:endParaRPr lang="en-AU"/>
        </a:p>
      </dgm:t>
    </dgm:pt>
    <dgm:pt modelId="{50F42B24-7A92-4612-8410-A5BE449EFB62}" type="pres">
      <dgm:prSet presAssocID="{828916B8-8ABF-4863-AF08-AEEED255E463}" presName="parTransOne" presStyleCnt="0"/>
      <dgm:spPr/>
    </dgm:pt>
    <dgm:pt modelId="{107CA4D4-62E9-4A85-B390-F91305DC1968}" type="pres">
      <dgm:prSet presAssocID="{828916B8-8ABF-4863-AF08-AEEED255E463}" presName="horzOne" presStyleCnt="0"/>
      <dgm:spPr/>
    </dgm:pt>
    <dgm:pt modelId="{D661C2AA-9A80-4917-BFD5-00073A8615F2}" type="pres">
      <dgm:prSet presAssocID="{D73B02D0-736C-4F13-A872-2CE307D501E6}" presName="vertTwo" presStyleCnt="0"/>
      <dgm:spPr/>
    </dgm:pt>
    <dgm:pt modelId="{76D4651F-D314-4C86-804A-2568F4AF62DE}" type="pres">
      <dgm:prSet presAssocID="{D73B02D0-736C-4F13-A872-2CE307D501E6}" presName="txTwo" presStyleLbl="node2" presStyleIdx="2" presStyleCnt="3">
        <dgm:presLayoutVars>
          <dgm:chPref val="3"/>
        </dgm:presLayoutVars>
      </dgm:prSet>
      <dgm:spPr/>
      <dgm:t>
        <a:bodyPr/>
        <a:lstStyle/>
        <a:p>
          <a:endParaRPr lang="en-AU"/>
        </a:p>
      </dgm:t>
    </dgm:pt>
    <dgm:pt modelId="{0E0039A6-EB7E-48B5-94E1-F0648E04629A}" type="pres">
      <dgm:prSet presAssocID="{D73B02D0-736C-4F13-A872-2CE307D501E6}" presName="parTransTwo" presStyleCnt="0"/>
      <dgm:spPr/>
    </dgm:pt>
    <dgm:pt modelId="{898E85F3-9117-48F2-9B4D-D750F1451C54}" type="pres">
      <dgm:prSet presAssocID="{D73B02D0-736C-4F13-A872-2CE307D501E6}" presName="horzTwo" presStyleCnt="0"/>
      <dgm:spPr/>
    </dgm:pt>
    <dgm:pt modelId="{B27DF534-1030-4CF8-AED7-F6AF82A6C021}" type="pres">
      <dgm:prSet presAssocID="{A4EC2682-6811-4119-9C25-3FB799348D42}" presName="vertThree" presStyleCnt="0"/>
      <dgm:spPr/>
    </dgm:pt>
    <dgm:pt modelId="{92A5C527-2232-43B0-ADEC-689ED36B4623}" type="pres">
      <dgm:prSet presAssocID="{A4EC2682-6811-4119-9C25-3FB799348D42}" presName="txThree" presStyleLbl="node3" presStyleIdx="2" presStyleCnt="3">
        <dgm:presLayoutVars>
          <dgm:chPref val="3"/>
        </dgm:presLayoutVars>
      </dgm:prSet>
      <dgm:spPr/>
      <dgm:t>
        <a:bodyPr/>
        <a:lstStyle/>
        <a:p>
          <a:endParaRPr lang="en-AU"/>
        </a:p>
      </dgm:t>
    </dgm:pt>
    <dgm:pt modelId="{17154CC9-1282-46DD-8201-BC92043D23BA}" type="pres">
      <dgm:prSet presAssocID="{A4EC2682-6811-4119-9C25-3FB799348D42}" presName="parTransThree" presStyleCnt="0"/>
      <dgm:spPr/>
    </dgm:pt>
    <dgm:pt modelId="{B2B69BFB-2DBB-4643-BD4D-331432047C61}" type="pres">
      <dgm:prSet presAssocID="{A4EC2682-6811-4119-9C25-3FB799348D42}" presName="horzThree" presStyleCnt="0"/>
      <dgm:spPr/>
    </dgm:pt>
    <dgm:pt modelId="{DBF62ACD-7660-48B8-96C9-55F71F046B6D}" type="pres">
      <dgm:prSet presAssocID="{6371566A-9D23-4195-800F-10DA0E1CBAA7}" presName="vertFour" presStyleCnt="0">
        <dgm:presLayoutVars>
          <dgm:chPref val="3"/>
        </dgm:presLayoutVars>
      </dgm:prSet>
      <dgm:spPr/>
    </dgm:pt>
    <dgm:pt modelId="{0BC273A9-03A6-4FC8-BA5B-0DC26D2FBFE8}" type="pres">
      <dgm:prSet presAssocID="{6371566A-9D23-4195-800F-10DA0E1CBAA7}" presName="txFour" presStyleLbl="node4" presStyleIdx="4" presStyleCnt="6">
        <dgm:presLayoutVars>
          <dgm:chPref val="3"/>
        </dgm:presLayoutVars>
      </dgm:prSet>
      <dgm:spPr/>
      <dgm:t>
        <a:bodyPr/>
        <a:lstStyle/>
        <a:p>
          <a:endParaRPr lang="en-AU"/>
        </a:p>
      </dgm:t>
    </dgm:pt>
    <dgm:pt modelId="{12BDA1A5-131F-435F-B273-B3D15A0FA71D}" type="pres">
      <dgm:prSet presAssocID="{6371566A-9D23-4195-800F-10DA0E1CBAA7}" presName="parTransFour" presStyleCnt="0"/>
      <dgm:spPr/>
    </dgm:pt>
    <dgm:pt modelId="{2F9D8F1B-0A3D-4317-A31C-BE2CA2B4E4FF}" type="pres">
      <dgm:prSet presAssocID="{6371566A-9D23-4195-800F-10DA0E1CBAA7}" presName="horzFour" presStyleCnt="0"/>
      <dgm:spPr/>
    </dgm:pt>
    <dgm:pt modelId="{7A6349F8-0917-4754-B1DD-533651D3F7D0}" type="pres">
      <dgm:prSet presAssocID="{F0BB7D08-018A-4655-B5A8-37A028EF72E0}" presName="vertFour" presStyleCnt="0">
        <dgm:presLayoutVars>
          <dgm:chPref val="3"/>
        </dgm:presLayoutVars>
      </dgm:prSet>
      <dgm:spPr/>
    </dgm:pt>
    <dgm:pt modelId="{4418D3B7-61DD-4AB6-87AB-3FD722A5816B}" type="pres">
      <dgm:prSet presAssocID="{F0BB7D08-018A-4655-B5A8-37A028EF72E0}" presName="txFour" presStyleLbl="node4" presStyleIdx="5" presStyleCnt="6">
        <dgm:presLayoutVars>
          <dgm:chPref val="3"/>
        </dgm:presLayoutVars>
      </dgm:prSet>
      <dgm:spPr/>
      <dgm:t>
        <a:bodyPr/>
        <a:lstStyle/>
        <a:p>
          <a:endParaRPr lang="en-AU"/>
        </a:p>
      </dgm:t>
    </dgm:pt>
    <dgm:pt modelId="{B8E5F04D-9C69-4E97-AF3C-5EC4EF3B94CC}" type="pres">
      <dgm:prSet presAssocID="{F0BB7D08-018A-4655-B5A8-37A028EF72E0}" presName="horzFour" presStyleCnt="0"/>
      <dgm:spPr/>
    </dgm:pt>
  </dgm:ptLst>
  <dgm:cxnLst>
    <dgm:cxn modelId="{E68740B5-4422-433A-BB90-D76F69DBE6C6}" srcId="{E67B9F53-2AFB-42EC-8920-1994CFA517CC}" destId="{D5D10909-AB7D-4BC8-874B-ED825F19BD3A}" srcOrd="0" destOrd="0" parTransId="{72239DEC-6D50-443B-BBD1-C7050FC9C3E2}" sibTransId="{38FF6245-0E7E-48E3-962D-51403F473C3B}"/>
    <dgm:cxn modelId="{07C26BC6-4A7A-482F-9682-1F2443277786}" type="presOf" srcId="{E22DF854-7A52-4E2C-9EDE-77740E0C48FF}" destId="{75A40B0E-1B59-44D5-99D2-769AD4E9FC24}" srcOrd="0" destOrd="0" presId="urn:microsoft.com/office/officeart/2005/8/layout/hierarchy4"/>
    <dgm:cxn modelId="{CF1D1329-D1F6-49FC-A28E-75F55462E805}" type="presOf" srcId="{81ABD86D-0AA5-4EF0-B5AB-F49770F6A8EB}" destId="{537A3E6B-BEC1-4D45-A2BA-A2A971FE9E62}" srcOrd="0" destOrd="0" presId="urn:microsoft.com/office/officeart/2005/8/layout/hierarchy4"/>
    <dgm:cxn modelId="{74568C44-C968-4DD0-A119-5063602EA344}" srcId="{A5AF47AB-87CD-46AA-8402-CE25226AD200}" destId="{81ABD86D-0AA5-4EF0-B5AB-F49770F6A8EB}" srcOrd="0" destOrd="0" parTransId="{6EEBFAA4-3EF4-4A43-A68A-3F3AC097D549}" sibTransId="{D05C5F4C-E684-4556-AC6E-974B07A91D1C}"/>
    <dgm:cxn modelId="{B9A7CFAC-93BD-4839-9BA0-E999DB1A39E3}" type="presOf" srcId="{A4EC2682-6811-4119-9C25-3FB799348D42}" destId="{92A5C527-2232-43B0-ADEC-689ED36B4623}" srcOrd="0" destOrd="0" presId="urn:microsoft.com/office/officeart/2005/8/layout/hierarchy4"/>
    <dgm:cxn modelId="{93EC21DC-A90D-4F33-A2E2-EF96E21D255F}" srcId="{A4EC2682-6811-4119-9C25-3FB799348D42}" destId="{6371566A-9D23-4195-800F-10DA0E1CBAA7}" srcOrd="0" destOrd="0" parTransId="{7372D6B8-DEBE-4433-A73B-39481CAF5EDB}" sibTransId="{27EE1F99-4997-4643-83C6-7918EE3969CC}"/>
    <dgm:cxn modelId="{B1FB1653-E1B2-42D7-8AE8-3E0BCBC5633D}" srcId="{D73B02D0-736C-4F13-A872-2CE307D501E6}" destId="{A4EC2682-6811-4119-9C25-3FB799348D42}" srcOrd="0" destOrd="0" parTransId="{C39944C2-D4E4-42B1-AF59-B685884C90C3}" sibTransId="{554CB0ED-0BD5-4456-AF4A-EC68FC74111E}"/>
    <dgm:cxn modelId="{48F1B605-6D94-4221-8126-A1278387A1FA}" srcId="{D8463A83-2C0C-4D21-89F8-B337B0027296}" destId="{828916B8-8ABF-4863-AF08-AEEED255E463}" srcOrd="2" destOrd="0" parTransId="{1960404F-5EB8-4D3E-B79F-C951AA437E63}" sibTransId="{2BF28C29-56DB-40CF-8B2C-80E4BE958C2A}"/>
    <dgm:cxn modelId="{B9D16B3F-2DD6-48D4-8518-5D0DA81C8C93}" type="presOf" srcId="{EB9C4654-BC90-4468-96F4-BEBD6E97BB76}" destId="{A218CF98-755B-4297-A82A-8B54EEC3D5DF}" srcOrd="0" destOrd="0" presId="urn:microsoft.com/office/officeart/2005/8/layout/hierarchy4"/>
    <dgm:cxn modelId="{69E27A92-7846-4709-AD40-5F7BCC9D11CF}" srcId="{828916B8-8ABF-4863-AF08-AEEED255E463}" destId="{D73B02D0-736C-4F13-A872-2CE307D501E6}" srcOrd="0" destOrd="0" parTransId="{C181FFD6-BE27-466E-9BF9-3459EA955F4C}" sibTransId="{559D227C-6714-4041-8943-1E2AE157B21A}"/>
    <dgm:cxn modelId="{8D9DE14B-B825-43B5-BD0C-014F8C7C64C6}" srcId="{24D49C2A-0545-42D7-899C-AB8D85238C55}" destId="{0CCBDFD4-1FE3-428C-AEC0-4C9474E79A8C}" srcOrd="0" destOrd="0" parTransId="{29386BFE-71B6-4DA2-8898-147DBA8238B1}" sibTransId="{591B3426-A8E3-4B1B-A532-17AB9A937558}"/>
    <dgm:cxn modelId="{145F38CF-08B2-4642-960F-4A5CFB420C53}" type="presOf" srcId="{6371566A-9D23-4195-800F-10DA0E1CBAA7}" destId="{0BC273A9-03A6-4FC8-BA5B-0DC26D2FBFE8}" srcOrd="0" destOrd="0" presId="urn:microsoft.com/office/officeart/2005/8/layout/hierarchy4"/>
    <dgm:cxn modelId="{F5B188EA-4817-4E4E-8EF3-62F500F476C4}" srcId="{6371566A-9D23-4195-800F-10DA0E1CBAA7}" destId="{F0BB7D08-018A-4655-B5A8-37A028EF72E0}" srcOrd="0" destOrd="0" parTransId="{F1E59C32-B65D-42EF-AE49-983F22858ABF}" sibTransId="{4AD4FA43-19E0-428A-A752-E50F4573D198}"/>
    <dgm:cxn modelId="{E659FD84-3C89-4C51-A891-CFDE3A286A3B}" type="presOf" srcId="{F4CE4DF9-E136-435C-9C62-FE71FE26ED5D}" destId="{41C2EF3A-D666-4C5A-BA34-39B05FA7D427}" srcOrd="0" destOrd="0" presId="urn:microsoft.com/office/officeart/2005/8/layout/hierarchy4"/>
    <dgm:cxn modelId="{76E1B9CE-CCA7-4A63-B1DB-F99D69E9436F}" srcId="{D5D10909-AB7D-4BC8-874B-ED825F19BD3A}" destId="{EB9C4654-BC90-4468-96F4-BEBD6E97BB76}" srcOrd="0" destOrd="0" parTransId="{40F20927-42E6-4F5D-99B0-9EDF6F9F4A58}" sibTransId="{0AD32982-CC43-4821-BED8-B43649AE208D}"/>
    <dgm:cxn modelId="{2E385423-3A87-4FC5-A6D4-77DF5C35F8B4}" type="presOf" srcId="{D73B02D0-736C-4F13-A872-2CE307D501E6}" destId="{76D4651F-D314-4C86-804A-2568F4AF62DE}" srcOrd="0" destOrd="0" presId="urn:microsoft.com/office/officeart/2005/8/layout/hierarchy4"/>
    <dgm:cxn modelId="{642FDE8F-8B3D-4CB6-ACDD-7D378B419FD5}" srcId="{E22DF854-7A52-4E2C-9EDE-77740E0C48FF}" destId="{97304EED-9BA9-48FF-8033-D49787D343B2}" srcOrd="0" destOrd="0" parTransId="{80C32EB7-9749-494B-9788-4DF964ED6102}" sibTransId="{85A2158B-EC6A-461F-8BCB-4D64A98105A0}"/>
    <dgm:cxn modelId="{9955EBD3-A312-4A12-AF31-07A84CB2388D}" type="presOf" srcId="{E67B9F53-2AFB-42EC-8920-1994CFA517CC}" destId="{837327B0-7A4C-4129-BD92-514A21C8EAE8}" srcOrd="0" destOrd="0" presId="urn:microsoft.com/office/officeart/2005/8/layout/hierarchy4"/>
    <dgm:cxn modelId="{7A59884A-5F38-4CAF-A1F9-3EAAD4B64909}" type="presOf" srcId="{24D49C2A-0545-42D7-899C-AB8D85238C55}" destId="{4C9A0B6A-F724-457D-9BA5-E92B2DF4C1AC}" srcOrd="0" destOrd="0" presId="urn:microsoft.com/office/officeart/2005/8/layout/hierarchy4"/>
    <dgm:cxn modelId="{C80B2317-D057-49B1-B12C-65B9F7D9EA06}" type="presOf" srcId="{0CCBDFD4-1FE3-428C-AEC0-4C9474E79A8C}" destId="{752E6B6A-8D77-4D59-A0EB-51C6B82D3683}" srcOrd="0" destOrd="0" presId="urn:microsoft.com/office/officeart/2005/8/layout/hierarchy4"/>
    <dgm:cxn modelId="{FCC53175-7D59-47AC-9D6B-B7B246E1A20E}" type="presOf" srcId="{A5AF47AB-87CD-46AA-8402-CE25226AD200}" destId="{897B540B-55EB-4D4A-B398-D424A31D29A1}" srcOrd="0" destOrd="0" presId="urn:microsoft.com/office/officeart/2005/8/layout/hierarchy4"/>
    <dgm:cxn modelId="{4493AD2D-5E38-4426-B023-CA8A8831276B}" type="presOf" srcId="{97304EED-9BA9-48FF-8033-D49787D343B2}" destId="{21617769-9E16-442D-B98D-464D7B76C016}" srcOrd="0" destOrd="0" presId="urn:microsoft.com/office/officeart/2005/8/layout/hierarchy4"/>
    <dgm:cxn modelId="{36FE3589-CC1C-4F3A-BBF4-7087CE479117}" type="presOf" srcId="{D5D10909-AB7D-4BC8-874B-ED825F19BD3A}" destId="{27D88B7E-0A92-4B08-A0E3-D8B362FC1ADF}" srcOrd="0" destOrd="0" presId="urn:microsoft.com/office/officeart/2005/8/layout/hierarchy4"/>
    <dgm:cxn modelId="{AD912903-D55A-4F5A-8F6F-53986333177D}" srcId="{81ABD86D-0AA5-4EF0-B5AB-F49770F6A8EB}" destId="{E22DF854-7A52-4E2C-9EDE-77740E0C48FF}" srcOrd="0" destOrd="0" parTransId="{3479C486-0D0E-4573-BD0A-426B01CE1686}" sibTransId="{8A6FAC38-E2F8-49BC-9D69-F3CAAA8E8490}"/>
    <dgm:cxn modelId="{D6B43CBD-D8FB-4337-8C60-68E822D57443}" srcId="{97304EED-9BA9-48FF-8033-D49787D343B2}" destId="{F4CE4DF9-E136-435C-9C62-FE71FE26ED5D}" srcOrd="0" destOrd="0" parTransId="{69BC9A74-7200-4A64-AF84-897F3C6ED2A3}" sibTransId="{9634DFCE-EBD0-4E30-9021-3AF359250754}"/>
    <dgm:cxn modelId="{CEAAAFC0-C719-4184-8BB7-3592EAE8A2CA}" type="presOf" srcId="{F0BB7D08-018A-4655-B5A8-37A028EF72E0}" destId="{4418D3B7-61DD-4AB6-87AB-3FD722A5816B}" srcOrd="0" destOrd="0" presId="urn:microsoft.com/office/officeart/2005/8/layout/hierarchy4"/>
    <dgm:cxn modelId="{6C23382D-01D4-46F9-956D-D83E8359E742}" type="presOf" srcId="{828916B8-8ABF-4863-AF08-AEEED255E463}" destId="{E50D5EFC-A92C-4370-A78B-C5C83634AFAC}" srcOrd="0" destOrd="0" presId="urn:microsoft.com/office/officeart/2005/8/layout/hierarchy4"/>
    <dgm:cxn modelId="{97AB816E-AAC9-4020-B009-D93CB0EABB67}" srcId="{D8463A83-2C0C-4D21-89F8-B337B0027296}" destId="{A5AF47AB-87CD-46AA-8402-CE25226AD200}" srcOrd="0" destOrd="0" parTransId="{4D2A82A4-0076-49D1-AF12-3DB546FF72AB}" sibTransId="{43E703A7-A8D9-429F-BC8E-92FEC0831F6A}"/>
    <dgm:cxn modelId="{AFB41E4F-D35C-4867-A53C-D11414770D01}" srcId="{D8463A83-2C0C-4D21-89F8-B337B0027296}" destId="{24D49C2A-0545-42D7-899C-AB8D85238C55}" srcOrd="1" destOrd="0" parTransId="{B166344C-14BD-4CC0-AAE2-12B446F22FA1}" sibTransId="{14A3634A-6814-4AFB-AD72-7B32EED97FDF}"/>
    <dgm:cxn modelId="{61D72C23-000E-42D7-8E6B-0628AD432F19}" srcId="{0CCBDFD4-1FE3-428C-AEC0-4C9474E79A8C}" destId="{E67B9F53-2AFB-42EC-8920-1994CFA517CC}" srcOrd="0" destOrd="0" parTransId="{200CF044-251B-470D-9B97-21C5981584D6}" sibTransId="{95C098A0-A4CF-4F71-81DD-AEA71B01B26C}"/>
    <dgm:cxn modelId="{D890120C-C126-4565-9548-C53BDBBA67A6}" type="presOf" srcId="{D8463A83-2C0C-4D21-89F8-B337B0027296}" destId="{61F75134-DA43-4CD4-BCCD-0DE10129D1BC}" srcOrd="0" destOrd="0" presId="urn:microsoft.com/office/officeart/2005/8/layout/hierarchy4"/>
    <dgm:cxn modelId="{45745093-3FD8-462E-ACFF-C73AE46A601A}" type="presParOf" srcId="{61F75134-DA43-4CD4-BCCD-0DE10129D1BC}" destId="{1CCF94ED-2C47-4949-9AA7-A0D870C3B492}" srcOrd="0" destOrd="0" presId="urn:microsoft.com/office/officeart/2005/8/layout/hierarchy4"/>
    <dgm:cxn modelId="{166828EE-E213-4E05-963F-8BE32AD8B06F}" type="presParOf" srcId="{1CCF94ED-2C47-4949-9AA7-A0D870C3B492}" destId="{897B540B-55EB-4D4A-B398-D424A31D29A1}" srcOrd="0" destOrd="0" presId="urn:microsoft.com/office/officeart/2005/8/layout/hierarchy4"/>
    <dgm:cxn modelId="{72A7C5D1-5037-4981-833D-228CC32B0CB6}" type="presParOf" srcId="{1CCF94ED-2C47-4949-9AA7-A0D870C3B492}" destId="{E73260F3-0741-44F6-A672-E6BD2909E6AA}" srcOrd="1" destOrd="0" presId="urn:microsoft.com/office/officeart/2005/8/layout/hierarchy4"/>
    <dgm:cxn modelId="{A4F07541-1204-4638-A2AA-E21D7F122745}" type="presParOf" srcId="{1CCF94ED-2C47-4949-9AA7-A0D870C3B492}" destId="{DBB41169-1EA3-4DEF-AAF5-FDCA9559D091}" srcOrd="2" destOrd="0" presId="urn:microsoft.com/office/officeart/2005/8/layout/hierarchy4"/>
    <dgm:cxn modelId="{60C3D8E7-FC52-494B-827C-D9E4467F541A}" type="presParOf" srcId="{DBB41169-1EA3-4DEF-AAF5-FDCA9559D091}" destId="{8D9D9331-8583-474F-8D75-78AE17F5490A}" srcOrd="0" destOrd="0" presId="urn:microsoft.com/office/officeart/2005/8/layout/hierarchy4"/>
    <dgm:cxn modelId="{BE4AA73C-469F-41DE-8869-A3513B0E565B}" type="presParOf" srcId="{8D9D9331-8583-474F-8D75-78AE17F5490A}" destId="{537A3E6B-BEC1-4D45-A2BA-A2A971FE9E62}" srcOrd="0" destOrd="0" presId="urn:microsoft.com/office/officeart/2005/8/layout/hierarchy4"/>
    <dgm:cxn modelId="{DF2317E4-DDA9-4BCC-A68D-0A0874A96BFC}" type="presParOf" srcId="{8D9D9331-8583-474F-8D75-78AE17F5490A}" destId="{F394FD04-2747-4666-B166-DC0330EA4079}" srcOrd="1" destOrd="0" presId="urn:microsoft.com/office/officeart/2005/8/layout/hierarchy4"/>
    <dgm:cxn modelId="{9B2B088E-01B3-49B9-99EF-256C29B03E24}" type="presParOf" srcId="{8D9D9331-8583-474F-8D75-78AE17F5490A}" destId="{61BD4662-266C-4A79-9133-36879D0EC1B9}" srcOrd="2" destOrd="0" presId="urn:microsoft.com/office/officeart/2005/8/layout/hierarchy4"/>
    <dgm:cxn modelId="{510AA333-DB8B-4143-BFB7-B6DC09294C12}" type="presParOf" srcId="{61BD4662-266C-4A79-9133-36879D0EC1B9}" destId="{D0A376F7-19AE-4DB8-9BBD-06DEA40063C1}" srcOrd="0" destOrd="0" presId="urn:microsoft.com/office/officeart/2005/8/layout/hierarchy4"/>
    <dgm:cxn modelId="{38A67A23-8140-452F-BEF5-6C120424A38B}" type="presParOf" srcId="{D0A376F7-19AE-4DB8-9BBD-06DEA40063C1}" destId="{75A40B0E-1B59-44D5-99D2-769AD4E9FC24}" srcOrd="0" destOrd="0" presId="urn:microsoft.com/office/officeart/2005/8/layout/hierarchy4"/>
    <dgm:cxn modelId="{CDF8F6EB-3353-43AB-8AC6-028A764457C2}" type="presParOf" srcId="{D0A376F7-19AE-4DB8-9BBD-06DEA40063C1}" destId="{F7E13F71-0138-4649-A903-FBD15899D127}" srcOrd="1" destOrd="0" presId="urn:microsoft.com/office/officeart/2005/8/layout/hierarchy4"/>
    <dgm:cxn modelId="{16ABFE2B-3970-430F-8408-DCA425E59CFF}" type="presParOf" srcId="{D0A376F7-19AE-4DB8-9BBD-06DEA40063C1}" destId="{A41AFD28-15F2-4878-9251-4E999E1AF604}" srcOrd="2" destOrd="0" presId="urn:microsoft.com/office/officeart/2005/8/layout/hierarchy4"/>
    <dgm:cxn modelId="{6604361E-C12F-4D0A-B749-2E1075B98A8B}" type="presParOf" srcId="{A41AFD28-15F2-4878-9251-4E999E1AF604}" destId="{7B47A174-10F7-4884-8202-BC90E7E80847}" srcOrd="0" destOrd="0" presId="urn:microsoft.com/office/officeart/2005/8/layout/hierarchy4"/>
    <dgm:cxn modelId="{599F2379-EAEB-438C-81A7-D60621CBBA45}" type="presParOf" srcId="{7B47A174-10F7-4884-8202-BC90E7E80847}" destId="{21617769-9E16-442D-B98D-464D7B76C016}" srcOrd="0" destOrd="0" presId="urn:microsoft.com/office/officeart/2005/8/layout/hierarchy4"/>
    <dgm:cxn modelId="{18B702A8-A36B-46BC-8CD1-88027AA3DE4C}" type="presParOf" srcId="{7B47A174-10F7-4884-8202-BC90E7E80847}" destId="{D78F2D7E-FCA1-421E-8DDD-8086DB7CAB27}" srcOrd="1" destOrd="0" presId="urn:microsoft.com/office/officeart/2005/8/layout/hierarchy4"/>
    <dgm:cxn modelId="{6A2E782C-088D-4481-A3F9-124D97047EB3}" type="presParOf" srcId="{7B47A174-10F7-4884-8202-BC90E7E80847}" destId="{4E0315A8-69FA-4E5C-935D-6509D5B1445C}" srcOrd="2" destOrd="0" presId="urn:microsoft.com/office/officeart/2005/8/layout/hierarchy4"/>
    <dgm:cxn modelId="{8831B633-7A42-4002-92CD-86F657807818}" type="presParOf" srcId="{4E0315A8-69FA-4E5C-935D-6509D5B1445C}" destId="{707DA84E-E6B2-441F-8804-F819A4030648}" srcOrd="0" destOrd="0" presId="urn:microsoft.com/office/officeart/2005/8/layout/hierarchy4"/>
    <dgm:cxn modelId="{A1F350D1-6E7F-48AD-8BC6-D4EDB14D96C0}" type="presParOf" srcId="{707DA84E-E6B2-441F-8804-F819A4030648}" destId="{41C2EF3A-D666-4C5A-BA34-39B05FA7D427}" srcOrd="0" destOrd="0" presId="urn:microsoft.com/office/officeart/2005/8/layout/hierarchy4"/>
    <dgm:cxn modelId="{E0025121-8DA7-4107-9F01-0C96B18F02D0}" type="presParOf" srcId="{707DA84E-E6B2-441F-8804-F819A4030648}" destId="{3525C941-A2E0-417F-BF50-5C0DEF2C4AF8}" srcOrd="1" destOrd="0" presId="urn:microsoft.com/office/officeart/2005/8/layout/hierarchy4"/>
    <dgm:cxn modelId="{A2888333-2D7D-4D25-A9C6-D146E11B5354}" type="presParOf" srcId="{61F75134-DA43-4CD4-BCCD-0DE10129D1BC}" destId="{1D9EE666-B1AD-4725-BA6F-B9074A6FD0D3}" srcOrd="1" destOrd="0" presId="urn:microsoft.com/office/officeart/2005/8/layout/hierarchy4"/>
    <dgm:cxn modelId="{9B86E853-F131-46A2-8B7F-58BBC4E19B42}" type="presParOf" srcId="{61F75134-DA43-4CD4-BCCD-0DE10129D1BC}" destId="{30F2416B-7057-4D41-8B11-F4ACE427F914}" srcOrd="2" destOrd="0" presId="urn:microsoft.com/office/officeart/2005/8/layout/hierarchy4"/>
    <dgm:cxn modelId="{94EAD4AD-254A-4129-B4D3-4849F2EE6F78}" type="presParOf" srcId="{30F2416B-7057-4D41-8B11-F4ACE427F914}" destId="{4C9A0B6A-F724-457D-9BA5-E92B2DF4C1AC}" srcOrd="0" destOrd="0" presId="urn:microsoft.com/office/officeart/2005/8/layout/hierarchy4"/>
    <dgm:cxn modelId="{1452D683-05E8-4BF9-9A33-FC1AABE12C8C}" type="presParOf" srcId="{30F2416B-7057-4D41-8B11-F4ACE427F914}" destId="{738F1B99-F365-4700-A58A-B2D76167CE25}" srcOrd="1" destOrd="0" presId="urn:microsoft.com/office/officeart/2005/8/layout/hierarchy4"/>
    <dgm:cxn modelId="{A3AF9A00-599A-4964-BF29-545E98029A70}" type="presParOf" srcId="{30F2416B-7057-4D41-8B11-F4ACE427F914}" destId="{637AA31E-2BBC-4F15-A5F4-578A93BC8D06}" srcOrd="2" destOrd="0" presId="urn:microsoft.com/office/officeart/2005/8/layout/hierarchy4"/>
    <dgm:cxn modelId="{AC29CA4A-5AC6-4CE8-8F8C-10A464962B3E}" type="presParOf" srcId="{637AA31E-2BBC-4F15-A5F4-578A93BC8D06}" destId="{94CA2227-EE31-4126-A69B-FCD3991537B1}" srcOrd="0" destOrd="0" presId="urn:microsoft.com/office/officeart/2005/8/layout/hierarchy4"/>
    <dgm:cxn modelId="{0D5F04CA-A64D-40B9-B8CA-DDD5A0AD050A}" type="presParOf" srcId="{94CA2227-EE31-4126-A69B-FCD3991537B1}" destId="{752E6B6A-8D77-4D59-A0EB-51C6B82D3683}" srcOrd="0" destOrd="0" presId="urn:microsoft.com/office/officeart/2005/8/layout/hierarchy4"/>
    <dgm:cxn modelId="{2B4FF2D5-3E10-46AE-9818-030E94733232}" type="presParOf" srcId="{94CA2227-EE31-4126-A69B-FCD3991537B1}" destId="{94FC198D-3C43-435F-A005-38AA1D732653}" srcOrd="1" destOrd="0" presId="urn:microsoft.com/office/officeart/2005/8/layout/hierarchy4"/>
    <dgm:cxn modelId="{78D787E5-8383-4D90-9A86-64072499E883}" type="presParOf" srcId="{94CA2227-EE31-4126-A69B-FCD3991537B1}" destId="{1BD46D09-5AB8-487E-AF59-909F37FCE8E3}" srcOrd="2" destOrd="0" presId="urn:microsoft.com/office/officeart/2005/8/layout/hierarchy4"/>
    <dgm:cxn modelId="{DD49F49B-C54B-4118-A15B-19895B276C79}" type="presParOf" srcId="{1BD46D09-5AB8-487E-AF59-909F37FCE8E3}" destId="{BD60BFCC-8516-4FDE-826C-8BA08BCA8763}" srcOrd="0" destOrd="0" presId="urn:microsoft.com/office/officeart/2005/8/layout/hierarchy4"/>
    <dgm:cxn modelId="{96BEE4E5-FE3D-4632-B954-F0F6A740A825}" type="presParOf" srcId="{BD60BFCC-8516-4FDE-826C-8BA08BCA8763}" destId="{837327B0-7A4C-4129-BD92-514A21C8EAE8}" srcOrd="0" destOrd="0" presId="urn:microsoft.com/office/officeart/2005/8/layout/hierarchy4"/>
    <dgm:cxn modelId="{DE1D1191-7D34-43B3-84FE-FBCC4B123F68}" type="presParOf" srcId="{BD60BFCC-8516-4FDE-826C-8BA08BCA8763}" destId="{23961ED3-64E5-4436-BC2C-AE53AE4B8D6D}" srcOrd="1" destOrd="0" presId="urn:microsoft.com/office/officeart/2005/8/layout/hierarchy4"/>
    <dgm:cxn modelId="{ADA4324E-57D0-4ADA-9101-CEC2EFCBA671}" type="presParOf" srcId="{BD60BFCC-8516-4FDE-826C-8BA08BCA8763}" destId="{AF04D819-C432-4C61-8FD7-466527168955}" srcOrd="2" destOrd="0" presId="urn:microsoft.com/office/officeart/2005/8/layout/hierarchy4"/>
    <dgm:cxn modelId="{13C2B323-5A00-47E4-9126-D58D597824F7}" type="presParOf" srcId="{AF04D819-C432-4C61-8FD7-466527168955}" destId="{4265356D-4F78-4C85-A07D-BCB03BEF8FB4}" srcOrd="0" destOrd="0" presId="urn:microsoft.com/office/officeart/2005/8/layout/hierarchy4"/>
    <dgm:cxn modelId="{59DA0F9A-9EF3-4F1A-972F-B33BEF9D72BC}" type="presParOf" srcId="{4265356D-4F78-4C85-A07D-BCB03BEF8FB4}" destId="{27D88B7E-0A92-4B08-A0E3-D8B362FC1ADF}" srcOrd="0" destOrd="0" presId="urn:microsoft.com/office/officeart/2005/8/layout/hierarchy4"/>
    <dgm:cxn modelId="{EFFF3307-5043-4009-B088-30E76B0DF3C0}" type="presParOf" srcId="{4265356D-4F78-4C85-A07D-BCB03BEF8FB4}" destId="{8C9034A4-0E3C-42B2-A06C-B6283D97739C}" srcOrd="1" destOrd="0" presId="urn:microsoft.com/office/officeart/2005/8/layout/hierarchy4"/>
    <dgm:cxn modelId="{B0D3A262-FC2A-4E99-953F-F1D16166823C}" type="presParOf" srcId="{4265356D-4F78-4C85-A07D-BCB03BEF8FB4}" destId="{373DF466-8A13-4CF6-BED0-EF31EB78A4D3}" srcOrd="2" destOrd="0" presId="urn:microsoft.com/office/officeart/2005/8/layout/hierarchy4"/>
    <dgm:cxn modelId="{92BE905F-87C8-4C99-8763-EF6BF89A80AD}" type="presParOf" srcId="{373DF466-8A13-4CF6-BED0-EF31EB78A4D3}" destId="{A87289CF-BF30-4EAD-BCFA-676C7A605943}" srcOrd="0" destOrd="0" presId="urn:microsoft.com/office/officeart/2005/8/layout/hierarchy4"/>
    <dgm:cxn modelId="{41D61B97-B343-4C2C-BC42-95AE7149C100}" type="presParOf" srcId="{A87289CF-BF30-4EAD-BCFA-676C7A605943}" destId="{A218CF98-755B-4297-A82A-8B54EEC3D5DF}" srcOrd="0" destOrd="0" presId="urn:microsoft.com/office/officeart/2005/8/layout/hierarchy4"/>
    <dgm:cxn modelId="{C4AB4D2D-C304-4266-9B16-F1E3B7874DAD}" type="presParOf" srcId="{A87289CF-BF30-4EAD-BCFA-676C7A605943}" destId="{A0C4E2F1-4EC8-455D-B52F-E5C356FC5E1F}" srcOrd="1" destOrd="0" presId="urn:microsoft.com/office/officeart/2005/8/layout/hierarchy4"/>
    <dgm:cxn modelId="{99C682B9-183C-406D-8DAC-4A4889B472AA}" type="presParOf" srcId="{61F75134-DA43-4CD4-BCCD-0DE10129D1BC}" destId="{394B94B1-1357-4D32-B4AF-047F2AB8244E}" srcOrd="3" destOrd="0" presId="urn:microsoft.com/office/officeart/2005/8/layout/hierarchy4"/>
    <dgm:cxn modelId="{F3E4A39E-C1D1-4D90-BEA4-BEED02A0801C}" type="presParOf" srcId="{61F75134-DA43-4CD4-BCCD-0DE10129D1BC}" destId="{E9D3B84A-ED36-4D77-91AD-46192E2FC2D2}" srcOrd="4" destOrd="0" presId="urn:microsoft.com/office/officeart/2005/8/layout/hierarchy4"/>
    <dgm:cxn modelId="{28F8F393-84FD-459F-907D-5BA1BC892D7D}" type="presParOf" srcId="{E9D3B84A-ED36-4D77-91AD-46192E2FC2D2}" destId="{E50D5EFC-A92C-4370-A78B-C5C83634AFAC}" srcOrd="0" destOrd="0" presId="urn:microsoft.com/office/officeart/2005/8/layout/hierarchy4"/>
    <dgm:cxn modelId="{4370040B-B347-4DD8-AD47-CA149B95D84E}" type="presParOf" srcId="{E9D3B84A-ED36-4D77-91AD-46192E2FC2D2}" destId="{50F42B24-7A92-4612-8410-A5BE449EFB62}" srcOrd="1" destOrd="0" presId="urn:microsoft.com/office/officeart/2005/8/layout/hierarchy4"/>
    <dgm:cxn modelId="{721CD3AB-DDC8-4D11-A0FA-4F2C410C6471}" type="presParOf" srcId="{E9D3B84A-ED36-4D77-91AD-46192E2FC2D2}" destId="{107CA4D4-62E9-4A85-B390-F91305DC1968}" srcOrd="2" destOrd="0" presId="urn:microsoft.com/office/officeart/2005/8/layout/hierarchy4"/>
    <dgm:cxn modelId="{56A4CBE3-7188-4B41-A12D-E56392E9A6EA}" type="presParOf" srcId="{107CA4D4-62E9-4A85-B390-F91305DC1968}" destId="{D661C2AA-9A80-4917-BFD5-00073A8615F2}" srcOrd="0" destOrd="0" presId="urn:microsoft.com/office/officeart/2005/8/layout/hierarchy4"/>
    <dgm:cxn modelId="{D395C787-B0C2-48D4-9937-D6DB55C8D656}" type="presParOf" srcId="{D661C2AA-9A80-4917-BFD5-00073A8615F2}" destId="{76D4651F-D314-4C86-804A-2568F4AF62DE}" srcOrd="0" destOrd="0" presId="urn:microsoft.com/office/officeart/2005/8/layout/hierarchy4"/>
    <dgm:cxn modelId="{B1413509-9742-4BE7-814C-CB2E2E89D596}" type="presParOf" srcId="{D661C2AA-9A80-4917-BFD5-00073A8615F2}" destId="{0E0039A6-EB7E-48B5-94E1-F0648E04629A}" srcOrd="1" destOrd="0" presId="urn:microsoft.com/office/officeart/2005/8/layout/hierarchy4"/>
    <dgm:cxn modelId="{2DF78007-9221-4E47-AC53-12046713A5A6}" type="presParOf" srcId="{D661C2AA-9A80-4917-BFD5-00073A8615F2}" destId="{898E85F3-9117-48F2-9B4D-D750F1451C54}" srcOrd="2" destOrd="0" presId="urn:microsoft.com/office/officeart/2005/8/layout/hierarchy4"/>
    <dgm:cxn modelId="{E90ECD9C-AA15-4266-8747-564B7FD9AD92}" type="presParOf" srcId="{898E85F3-9117-48F2-9B4D-D750F1451C54}" destId="{B27DF534-1030-4CF8-AED7-F6AF82A6C021}" srcOrd="0" destOrd="0" presId="urn:microsoft.com/office/officeart/2005/8/layout/hierarchy4"/>
    <dgm:cxn modelId="{CB7ABAE0-274B-4A00-B550-8ED09DCBDACB}" type="presParOf" srcId="{B27DF534-1030-4CF8-AED7-F6AF82A6C021}" destId="{92A5C527-2232-43B0-ADEC-689ED36B4623}" srcOrd="0" destOrd="0" presId="urn:microsoft.com/office/officeart/2005/8/layout/hierarchy4"/>
    <dgm:cxn modelId="{B90D24A4-6A67-47A8-9897-3D273E190980}" type="presParOf" srcId="{B27DF534-1030-4CF8-AED7-F6AF82A6C021}" destId="{17154CC9-1282-46DD-8201-BC92043D23BA}" srcOrd="1" destOrd="0" presId="urn:microsoft.com/office/officeart/2005/8/layout/hierarchy4"/>
    <dgm:cxn modelId="{845DE074-0286-4C8D-8D14-BCEE23E60ED4}" type="presParOf" srcId="{B27DF534-1030-4CF8-AED7-F6AF82A6C021}" destId="{B2B69BFB-2DBB-4643-BD4D-331432047C61}" srcOrd="2" destOrd="0" presId="urn:microsoft.com/office/officeart/2005/8/layout/hierarchy4"/>
    <dgm:cxn modelId="{99FCA0A0-F094-46F0-87BA-AC9A264E877C}" type="presParOf" srcId="{B2B69BFB-2DBB-4643-BD4D-331432047C61}" destId="{DBF62ACD-7660-48B8-96C9-55F71F046B6D}" srcOrd="0" destOrd="0" presId="urn:microsoft.com/office/officeart/2005/8/layout/hierarchy4"/>
    <dgm:cxn modelId="{7449F260-7844-43B6-95F0-B7E5CB4B4463}" type="presParOf" srcId="{DBF62ACD-7660-48B8-96C9-55F71F046B6D}" destId="{0BC273A9-03A6-4FC8-BA5B-0DC26D2FBFE8}" srcOrd="0" destOrd="0" presId="urn:microsoft.com/office/officeart/2005/8/layout/hierarchy4"/>
    <dgm:cxn modelId="{F193744B-22DC-4D16-B71F-72A352EFEFDF}" type="presParOf" srcId="{DBF62ACD-7660-48B8-96C9-55F71F046B6D}" destId="{12BDA1A5-131F-435F-B273-B3D15A0FA71D}" srcOrd="1" destOrd="0" presId="urn:microsoft.com/office/officeart/2005/8/layout/hierarchy4"/>
    <dgm:cxn modelId="{EF6B8FE5-E8C8-479A-A647-BC06CBCC30AF}" type="presParOf" srcId="{DBF62ACD-7660-48B8-96C9-55F71F046B6D}" destId="{2F9D8F1B-0A3D-4317-A31C-BE2CA2B4E4FF}" srcOrd="2" destOrd="0" presId="urn:microsoft.com/office/officeart/2005/8/layout/hierarchy4"/>
    <dgm:cxn modelId="{E6A74DDB-ABAE-42AF-A3F6-4D48771747C5}" type="presParOf" srcId="{2F9D8F1B-0A3D-4317-A31C-BE2CA2B4E4FF}" destId="{7A6349F8-0917-4754-B1DD-533651D3F7D0}" srcOrd="0" destOrd="0" presId="urn:microsoft.com/office/officeart/2005/8/layout/hierarchy4"/>
    <dgm:cxn modelId="{16999F3E-0AF9-42D3-BAE5-6890D416A6C0}" type="presParOf" srcId="{7A6349F8-0917-4754-B1DD-533651D3F7D0}" destId="{4418D3B7-61DD-4AB6-87AB-3FD722A5816B}" srcOrd="0" destOrd="0" presId="urn:microsoft.com/office/officeart/2005/8/layout/hierarchy4"/>
    <dgm:cxn modelId="{F7C5BFF9-084A-40EE-8903-1736A0001F7A}" type="presParOf" srcId="{7A6349F8-0917-4754-B1DD-533651D3F7D0}" destId="{B8E5F04D-9C69-4E97-AF3C-5EC4EF3B94CC}"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7B540B-55EB-4D4A-B398-D424A31D29A1}">
      <dsp:nvSpPr>
        <dsp:cNvPr id="0" name=""/>
        <dsp:cNvSpPr/>
      </dsp:nvSpPr>
      <dsp:spPr>
        <a:xfrm>
          <a:off x="4061" y="242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b="1" kern="1200"/>
            <a:t>Key Area</a:t>
          </a:r>
        </a:p>
      </dsp:txBody>
      <dsp:txXfrm>
        <a:off x="29728" y="28089"/>
        <a:ext cx="1590835" cy="824996"/>
      </dsp:txXfrm>
    </dsp:sp>
    <dsp:sp modelId="{537A3E6B-BEC1-4D45-A2BA-A2A971FE9E62}">
      <dsp:nvSpPr>
        <dsp:cNvPr id="0" name=""/>
        <dsp:cNvSpPr/>
      </dsp:nvSpPr>
      <dsp:spPr>
        <a:xfrm>
          <a:off x="4061" y="937034"/>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Energy</a:t>
          </a:r>
        </a:p>
      </dsp:txBody>
      <dsp:txXfrm>
        <a:off x="29728" y="962701"/>
        <a:ext cx="1590835" cy="824996"/>
      </dsp:txXfrm>
    </dsp:sp>
    <dsp:sp modelId="{75A40B0E-1B59-44D5-99D2-769AD4E9FC24}">
      <dsp:nvSpPr>
        <dsp:cNvPr id="0" name=""/>
        <dsp:cNvSpPr/>
      </dsp:nvSpPr>
      <dsp:spPr>
        <a:xfrm>
          <a:off x="4061" y="1871647"/>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Demand</a:t>
          </a:r>
        </a:p>
      </dsp:txBody>
      <dsp:txXfrm>
        <a:off x="29728" y="1897314"/>
        <a:ext cx="1590835" cy="824996"/>
      </dsp:txXfrm>
    </dsp:sp>
    <dsp:sp modelId="{21617769-9E16-442D-B98D-464D7B76C016}">
      <dsp:nvSpPr>
        <dsp:cNvPr id="0" name=""/>
        <dsp:cNvSpPr/>
      </dsp:nvSpPr>
      <dsp:spPr>
        <a:xfrm>
          <a:off x="4061" y="2806259"/>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Linkages</a:t>
          </a:r>
        </a:p>
      </dsp:txBody>
      <dsp:txXfrm>
        <a:off x="29728" y="2831926"/>
        <a:ext cx="1590835" cy="824996"/>
      </dsp:txXfrm>
    </dsp:sp>
    <dsp:sp modelId="{41C2EF3A-D666-4C5A-BA34-39B05FA7D427}">
      <dsp:nvSpPr>
        <dsp:cNvPr id="0" name=""/>
        <dsp:cNvSpPr/>
      </dsp:nvSpPr>
      <dsp:spPr>
        <a:xfrm>
          <a:off x="4061" y="374087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Outputs</a:t>
          </a:r>
        </a:p>
      </dsp:txBody>
      <dsp:txXfrm>
        <a:off x="29728" y="3766539"/>
        <a:ext cx="1590835" cy="824996"/>
      </dsp:txXfrm>
    </dsp:sp>
    <dsp:sp modelId="{4C9A0B6A-F724-457D-9BA5-E92B2DF4C1AC}">
      <dsp:nvSpPr>
        <dsp:cNvPr id="0" name=""/>
        <dsp:cNvSpPr/>
      </dsp:nvSpPr>
      <dsp:spPr>
        <a:xfrm>
          <a:off x="1922115" y="242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b="1" kern="1200"/>
            <a:t>RBS1.0</a:t>
          </a:r>
        </a:p>
      </dsp:txBody>
      <dsp:txXfrm>
        <a:off x="1947782" y="28089"/>
        <a:ext cx="1590835" cy="824996"/>
      </dsp:txXfrm>
    </dsp:sp>
    <dsp:sp modelId="{752E6B6A-8D77-4D59-A0EB-51C6B82D3683}">
      <dsp:nvSpPr>
        <dsp:cNvPr id="0" name=""/>
        <dsp:cNvSpPr/>
      </dsp:nvSpPr>
      <dsp:spPr>
        <a:xfrm>
          <a:off x="1922115" y="937034"/>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to 2030</a:t>
          </a:r>
        </a:p>
      </dsp:txBody>
      <dsp:txXfrm>
        <a:off x="1947782" y="962701"/>
        <a:ext cx="1590835" cy="824996"/>
      </dsp:txXfrm>
    </dsp:sp>
    <dsp:sp modelId="{837327B0-7A4C-4129-BD92-514A21C8EAE8}">
      <dsp:nvSpPr>
        <dsp:cNvPr id="0" name=""/>
        <dsp:cNvSpPr/>
      </dsp:nvSpPr>
      <dsp:spPr>
        <a:xfrm>
          <a:off x="1922115" y="1871647"/>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Peak demand</a:t>
          </a:r>
        </a:p>
      </dsp:txBody>
      <dsp:txXfrm>
        <a:off x="1947782" y="1897314"/>
        <a:ext cx="1590835" cy="824996"/>
      </dsp:txXfrm>
    </dsp:sp>
    <dsp:sp modelId="{27D88B7E-0A92-4B08-A0E3-D8B362FC1ADF}">
      <dsp:nvSpPr>
        <dsp:cNvPr id="0" name=""/>
        <dsp:cNvSpPr/>
      </dsp:nvSpPr>
      <dsp:spPr>
        <a:xfrm>
          <a:off x="1922115" y="2806259"/>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Building thermal shell</a:t>
          </a:r>
        </a:p>
      </dsp:txBody>
      <dsp:txXfrm>
        <a:off x="1947782" y="2831926"/>
        <a:ext cx="1590835" cy="824996"/>
      </dsp:txXfrm>
    </dsp:sp>
    <dsp:sp modelId="{A218CF98-755B-4297-A82A-8B54EEC3D5DF}">
      <dsp:nvSpPr>
        <dsp:cNvPr id="0" name=""/>
        <dsp:cNvSpPr/>
      </dsp:nvSpPr>
      <dsp:spPr>
        <a:xfrm>
          <a:off x="1922115" y="374087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Energy by end-use, State, year</a:t>
          </a:r>
        </a:p>
      </dsp:txBody>
      <dsp:txXfrm>
        <a:off x="1947782" y="3766539"/>
        <a:ext cx="1590835" cy="824996"/>
      </dsp:txXfrm>
    </dsp:sp>
    <dsp:sp modelId="{E50D5EFC-A92C-4370-A78B-C5C83634AFAC}">
      <dsp:nvSpPr>
        <dsp:cNvPr id="0" name=""/>
        <dsp:cNvSpPr/>
      </dsp:nvSpPr>
      <dsp:spPr>
        <a:xfrm>
          <a:off x="3840169" y="242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b="1" kern="1200"/>
            <a:t>RBS2.0 + enhancements</a:t>
          </a:r>
        </a:p>
      </dsp:txBody>
      <dsp:txXfrm>
        <a:off x="3865836" y="28089"/>
        <a:ext cx="1590835" cy="824996"/>
      </dsp:txXfrm>
    </dsp:sp>
    <dsp:sp modelId="{76D4651F-D314-4C86-804A-2568F4AF62DE}">
      <dsp:nvSpPr>
        <dsp:cNvPr id="0" name=""/>
        <dsp:cNvSpPr/>
      </dsp:nvSpPr>
      <dsp:spPr>
        <a:xfrm>
          <a:off x="3840169" y="937034"/>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to 2040, add new products</a:t>
          </a:r>
        </a:p>
      </dsp:txBody>
      <dsp:txXfrm>
        <a:off x="3865836" y="962701"/>
        <a:ext cx="1590835" cy="824996"/>
      </dsp:txXfrm>
    </dsp:sp>
    <dsp:sp modelId="{92A5C527-2232-43B0-ADEC-689ED36B4623}">
      <dsp:nvSpPr>
        <dsp:cNvPr id="0" name=""/>
        <dsp:cNvSpPr/>
      </dsp:nvSpPr>
      <dsp:spPr>
        <a:xfrm>
          <a:off x="3840169" y="1871647"/>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Average demand ToU profiles</a:t>
          </a:r>
        </a:p>
      </dsp:txBody>
      <dsp:txXfrm>
        <a:off x="3865836" y="1897314"/>
        <a:ext cx="1590835" cy="824996"/>
      </dsp:txXfrm>
    </dsp:sp>
    <dsp:sp modelId="{0BC273A9-03A6-4FC8-BA5B-0DC26D2FBFE8}">
      <dsp:nvSpPr>
        <dsp:cNvPr id="0" name=""/>
        <dsp:cNvSpPr/>
      </dsp:nvSpPr>
      <dsp:spPr>
        <a:xfrm>
          <a:off x="3840169" y="2806259"/>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Weather/climate scenarios</a:t>
          </a:r>
        </a:p>
      </dsp:txBody>
      <dsp:txXfrm>
        <a:off x="3865836" y="2831926"/>
        <a:ext cx="1590835" cy="824996"/>
      </dsp:txXfrm>
    </dsp:sp>
    <dsp:sp modelId="{4418D3B7-61DD-4AB6-87AB-3FD722A5816B}">
      <dsp:nvSpPr>
        <dsp:cNvPr id="0" name=""/>
        <dsp:cNvSpPr/>
      </dsp:nvSpPr>
      <dsp:spPr>
        <a:xfrm>
          <a:off x="3840169" y="3740872"/>
          <a:ext cx="1642169" cy="8763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Product disaggregation,</a:t>
          </a:r>
          <a:br>
            <a:rPr lang="en-AU" sz="1600" kern="1200"/>
          </a:br>
          <a:r>
            <a:rPr lang="en-AU" sz="1600" kern="1200"/>
            <a:t>Policy scenarios</a:t>
          </a:r>
        </a:p>
      </dsp:txBody>
      <dsp:txXfrm>
        <a:off x="3865836" y="3766539"/>
        <a:ext cx="1590835" cy="8249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60E551-DFC3-468F-9B2D-B45C11A4E4E0}">
  <we:reference id="wa104380118" version="1.1.0.0" store="en-U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1849</Value>
      <Value>981</Value>
      <Value>2117</Value>
      <Value>73</Value>
      <Value>1</Value>
      <Value>2210</Value>
    </TaxCatchAll>
    <_dlc_DocId xmlns="a36bd50b-1532-4c22-b385-5c082c960938">PRODEL-1896823700-1001</_dlc_DocId>
    <_dlc_DocIdUrl xmlns="a36bd50b-1532-4c22-b385-5c082c960938">
      <Url>https://eeca.cohesion.net.nz/Sites/PD/SaR/_layouts/15/DocIdRedir.aspx?ID=PRODEL-1896823700-1001</Url>
      <Description>PRODEL-1896823700-1001</Description>
    </_dlc_DocIdUrl>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Residential Baseline Study</TermName>
          <TermId xmlns="http://schemas.microsoft.com/office/infopath/2007/PartnerControls">a601a330-8f15-47ba-9f65-a1bd4cdc00e7</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Data Modelling</TermName>
          <TermId xmlns="http://schemas.microsoft.com/office/infopath/2007/PartnerControls">68bb4e36-753b-4864-aa53-5809a65d2edd</TermId>
        </TermInfo>
      </Terms>
    </g7bcb40ba23249a78edca7d43a67c1c9>
    <Comments xmlns="http://schemas.microsoft.com/sharepoint/v3">Final RBS 2.0 Report - for release</Comments>
    <IconOverlay xmlns="http://schemas.microsoft.com/sharepoint/v4" xsi:nil="true"/>
    <m4122e3b340a48c2a51bf89b2926f6c3 xmlns="d92934b5-032c-4da3-958e-788fdb9771c1">
      <Terms xmlns="http://schemas.microsoft.com/office/infopath/2007/PartnerControls"/>
    </m4122e3b340a48c2a51bf89b2926f6c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637fa46ca7278792ef4908d729ea72df">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4ac31906068dab5332e24efc30fd3c4e"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element ref="ns3:m4122e3b340a48c2a51bf89b2926f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4122e3b340a48c2a51bf89b2926f6c3" ma:index="26" nillable="true" ma:taxonomy="true" ma:internalName="m4122e3b340a48c2a51bf89b2926f6c3" ma:taxonomyFieldName="DocHub_GEMSWorkTopics" ma:displayName="Work Topic" ma:indexed="true" ma:default="" ma:fieldId="{64122e3b-340a-48c2-a51b-f89b2926f6c3}" ma:sspId="fb0313f7-9433-48c0-866e-9e0bbee59a50" ma:termSetId="b6203689-1fe6-4f1d-bc49-fcf237058c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E0ADE-455F-4953-B50E-F2A145264C7F}">
  <ds:schemaRefs>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sharepoint/v4"/>
    <ds:schemaRef ds:uri="d92934b5-032c-4da3-958e-788fdb9771c1"/>
    <ds:schemaRef ds:uri="http://purl.org/dc/elements/1.1/"/>
    <ds:schemaRef ds:uri="a36bd50b-1532-4c22-b385-5c082c96093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A978873-C85E-4258-820D-B73F2152B328}">
  <ds:schemaRefs>
    <ds:schemaRef ds:uri="http://schemas.microsoft.com/sharepoint/v3/contenttype/forms"/>
  </ds:schemaRefs>
</ds:datastoreItem>
</file>

<file path=customXml/itemProps3.xml><?xml version="1.0" encoding="utf-8"?>
<ds:datastoreItem xmlns:ds="http://schemas.openxmlformats.org/officeDocument/2006/customXml" ds:itemID="{AA8DAEF4-63BA-49EF-9389-CF4F3638169C}">
  <ds:schemaRefs>
    <ds:schemaRef ds:uri="http://schemas.microsoft.com/sharepoint/events"/>
  </ds:schemaRefs>
</ds:datastoreItem>
</file>

<file path=customXml/itemProps4.xml><?xml version="1.0" encoding="utf-8"?>
<ds:datastoreItem xmlns:ds="http://schemas.openxmlformats.org/officeDocument/2006/customXml" ds:itemID="{304D9691-BFF4-4FAB-8966-21BAA68B2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8251A3-E4F7-4209-9521-8D4E452B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 Report V1.0</Template>
  <TotalTime>15</TotalTime>
  <Pages>40</Pages>
  <Words>12787</Words>
  <Characters>72890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RBS 2.0 Methodology</vt:lpstr>
    </vt:vector>
  </TitlesOfParts>
  <Company>HP</Company>
  <LinksUpToDate>false</LinksUpToDate>
  <CharactersWithSpaces>85506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RBS 2.0 Methodology</dc:title>
  <dc:creator/>
  <cp:keywords>RBS2.0</cp:keywords>
  <cp:lastModifiedBy>Brooks, Prue</cp:lastModifiedBy>
  <cp:revision>4</cp:revision>
  <cp:lastPrinted>2021-11-08T06:13:00Z</cp:lastPrinted>
  <dcterms:created xsi:type="dcterms:W3CDTF">2022-05-16T01:37:00Z</dcterms:created>
  <dcterms:modified xsi:type="dcterms:W3CDTF">2022-05-16T03:52:00Z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ProductName">
    <vt:lpwstr>466;#Electric storage water Heaters|40cbcb2a-cad7-48b7-b68b-874404f3ee82</vt:lpwstr>
  </property>
  <property fmtid="{D5CDD505-2E9C-101B-9397-08002B2CF9AE}" pid="4" name="C3FinancialYear">
    <vt:lpwstr/>
  </property>
  <property fmtid="{D5CDD505-2E9C-101B-9397-08002B2CF9AE}" pid="5" name="_dlc_DocIdItemGuid">
    <vt:lpwstr>aefea339-f503-42f6-b918-9da74c1fc7c6</vt:lpwstr>
  </property>
  <property fmtid="{D5CDD505-2E9C-101B-9397-08002B2CF9AE}" pid="6" name="TaxKeyword">
    <vt:lpwstr>727;#MEPS|e424e296-2e44-46c1-8904-3573a8f9b6b9;#1174;#Roadmap|0da2637b-e25d-4749-af6c-c5426bc8faad;#684;#Hot water|e43db43b-644c-41d5-9f53-14e1cc352b12</vt:lpwstr>
  </property>
  <property fmtid="{D5CDD505-2E9C-101B-9397-08002B2CF9AE}" pid="7" name="C3Topic">
    <vt:lpwstr/>
  </property>
  <property fmtid="{D5CDD505-2E9C-101B-9397-08002B2CF9AE}" pid="8" name="Mendeley Document_1">
    <vt:lpwstr>True</vt:lpwstr>
  </property>
  <property fmtid="{D5CDD505-2E9C-101B-9397-08002B2CF9AE}" pid="9" name="Mendeley Unique User Id_1">
    <vt:lpwstr>27623e82-d66a-32bd-80cf-83ef7956b68e</vt:lpwstr>
  </property>
  <property fmtid="{D5CDD505-2E9C-101B-9397-08002B2CF9AE}" pid="10" name="Mendeley Citation Style_1">
    <vt:lpwstr>http://www.zotero.org/styles/harvard-cite-them-right</vt:lpwstr>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http://www.zotero.org/styles/harvard-cite-them-right</vt:lpwstr>
  </property>
  <property fmtid="{D5CDD505-2E9C-101B-9397-08002B2CF9AE}" pid="20" name="Mendeley Recent Style Name 4_1">
    <vt:lpwstr>Cite Them Right 10th edition - Harvard</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DocHub_DocumentType">
    <vt:lpwstr>73;#Report|116a9244-cef6-47ce-a9a5-088c9cf21292</vt:lpwstr>
  </property>
  <property fmtid="{D5CDD505-2E9C-101B-9397-08002B2CF9AE}" pid="32" name="DocHub_SecurityClassification">
    <vt:lpwstr>1;#OFFICIAL|6106d03b-a1a0-4e30-9d91-d5e9fb4314f9</vt:lpwstr>
  </property>
  <property fmtid="{D5CDD505-2E9C-101B-9397-08002B2CF9AE}" pid="33" name="DocHub_WorkActivity">
    <vt:lpwstr>981;#Data Modelling|68bb4e36-753b-4864-aa53-5809a65d2edd</vt:lpwstr>
  </property>
  <property fmtid="{D5CDD505-2E9C-101B-9397-08002B2CF9AE}" pid="34" name="DocHub_Keywords">
    <vt:lpwstr>2210;#Residential Baseline Study|a601a330-8f15-47ba-9f65-a1bd4cdc00e7</vt:lpwstr>
  </property>
  <property fmtid="{D5CDD505-2E9C-101B-9397-08002B2CF9AE}" pid="35" name="DocHub_Year">
    <vt:lpwstr>2117;#2022|4a777a70-2aa9-481e-a746-cca47d761c8e</vt:lpwstr>
  </property>
  <property fmtid="{D5CDD505-2E9C-101B-9397-08002B2CF9AE}" pid="36" name="DocHub_ResidentialBuildingsPolicyWorkTopics">
    <vt:lpwstr>1849;#Residential Baseline Study|3ccbcf64-9c6c-4db3-95c9-69a4850617ac</vt:lpwstr>
  </property>
</Properties>
</file>