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500BC6" w14:textId="35CC17EC" w:rsidR="006C5304" w:rsidRDefault="00576DC6" w:rsidP="00C129E9">
      <w:pPr>
        <w:pStyle w:val="ReportTitle"/>
      </w:pPr>
      <w:r>
        <w:t xml:space="preserve"> Policy Framework for Hot Water Systems in Australia &amp; New Zealand</w:t>
      </w:r>
    </w:p>
    <w:p w14:paraId="556D351E" w14:textId="77777777" w:rsidR="00F4034E" w:rsidRDefault="00F4034E">
      <w:pPr>
        <w:spacing w:after="0" w:line="240" w:lineRule="auto"/>
        <w:rPr>
          <w:sz w:val="16"/>
        </w:rPr>
      </w:pPr>
      <w:r>
        <w:br w:type="page"/>
      </w:r>
    </w:p>
    <w:p w14:paraId="49E08DAF" w14:textId="07CCC34E" w:rsidR="00620351" w:rsidRDefault="00620351" w:rsidP="00C129E9">
      <w:pPr>
        <w:pStyle w:val="CopyrightInfo"/>
      </w:pPr>
      <w:r>
        <w:lastRenderedPageBreak/>
        <w:t>This work is licensed under the Creative Commons Attribution 3.0 Australia Licence. To view a copy of this license, visit the creative commons website.</w:t>
      </w:r>
    </w:p>
    <w:p w14:paraId="46A85C00" w14:textId="25F1B2F9" w:rsidR="00620351" w:rsidRDefault="00620351" w:rsidP="00C129E9">
      <w:pPr>
        <w:pStyle w:val="CopyrightInfo"/>
      </w:pPr>
      <w:r>
        <w:t xml:space="preserve">The </w:t>
      </w:r>
      <w:r w:rsidR="00317004">
        <w:t>Energy Efficiency Conservation Authority New Zealand</w:t>
      </w:r>
      <w:r>
        <w:t xml:space="preserve"> on behalf of the Equipment Energy Efficiency Program asserts the right to be recognised as author of the original material in the following manner:</w:t>
      </w:r>
    </w:p>
    <w:p w14:paraId="43DE3548" w14:textId="77777777" w:rsidR="00620351" w:rsidRDefault="00620351" w:rsidP="00C129E9">
      <w:pPr>
        <w:pStyle w:val="CopyrightInfo"/>
      </w:pPr>
      <w:r>
        <w:rPr>
          <w:noProof/>
          <w:lang w:val="en-NZ" w:eastAsia="en-NZ"/>
        </w:rPr>
        <w:drawing>
          <wp:inline distT="0" distB="0" distL="0" distR="0" wp14:anchorId="616476D6" wp14:editId="3A9687C0">
            <wp:extent cx="1227455" cy="431800"/>
            <wp:effectExtent l="0" t="0" r="0" b="6350"/>
            <wp:docPr id="4" name="Picture 4" descr="D:\DP Plus\Docs\Giraffe\Environment\NatHERS, E3\sourcedocs\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by.png"/>
                    <pic:cNvPicPr>
                      <a:picLocks noChangeAspect="1" noChangeArrowheads="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1227455" cy="431800"/>
                    </a:xfrm>
                    <a:prstGeom prst="rect">
                      <a:avLst/>
                    </a:prstGeom>
                    <a:noFill/>
                    <a:ln>
                      <a:noFill/>
                    </a:ln>
                  </pic:spPr>
                </pic:pic>
              </a:graphicData>
            </a:graphic>
          </wp:inline>
        </w:drawing>
      </w:r>
    </w:p>
    <w:p w14:paraId="3EAED75C" w14:textId="72F814A9" w:rsidR="00620351" w:rsidRDefault="00620351" w:rsidP="00C129E9">
      <w:pPr>
        <w:pStyle w:val="CopyrightInfo"/>
      </w:pPr>
      <w:r>
        <w:t>© Commonwealth of Australia</w:t>
      </w:r>
      <w:r w:rsidR="00317004">
        <w:t xml:space="preserve"> and New Zealand Government</w:t>
      </w:r>
      <w:r>
        <w:t xml:space="preserve"> (Department of </w:t>
      </w:r>
      <w:r w:rsidR="00317004">
        <w:t>Environment and Energy Australia &amp; Energy Efficiency Conservation Authority New Zealand</w:t>
      </w:r>
      <w:r>
        <w:t>) 2018.</w:t>
      </w:r>
    </w:p>
    <w:p w14:paraId="5488B3D8" w14:textId="77777777" w:rsidR="00620351" w:rsidRDefault="00620351" w:rsidP="00C129E9">
      <w:pPr>
        <w:pStyle w:val="CopyrightInfo"/>
      </w:pPr>
      <w:r>
        <w:t>The material in this publication is provided for general information only, and on the understanding that the Australian Government is providing professional advice. Before any action or decision is taken on the basis of this material the reader should obtain appropriate independent professional advice.</w:t>
      </w:r>
    </w:p>
    <w:p w14:paraId="1B6853FE" w14:textId="77777777" w:rsidR="00620351" w:rsidRDefault="00620351" w:rsidP="00C129E9">
      <w:pPr>
        <w:pStyle w:val="CopyrightInfo"/>
      </w:pPr>
      <w:r>
        <w:t>This document is available at the Energy Rating website.</w:t>
      </w:r>
    </w:p>
    <w:p w14:paraId="0C6AE7AE" w14:textId="77777777" w:rsidR="00620351" w:rsidRDefault="00620351" w:rsidP="00C129E9">
      <w:pPr>
        <w:pStyle w:val="CopyrightInfo"/>
      </w:pPr>
      <w:r>
        <w:t>While reasonable efforts have been made to ensure that the contents of this publication are factually correct, E3 does not accept responsibility for the accuracy or completeness of the content, and shall not be liable for any loss or damage that may be occasioned directly or indirectly through the use of, or reliance on, the contents of</w:t>
      </w:r>
      <w:bookmarkStart w:id="0" w:name="_GoBack"/>
      <w:bookmarkEnd w:id="0"/>
      <w:r>
        <w:t xml:space="preserve"> this publication.</w:t>
      </w:r>
    </w:p>
    <w:p w14:paraId="7C46BEB9" w14:textId="77777777" w:rsidR="00620351" w:rsidRDefault="00620351" w:rsidP="00FD791E">
      <w:pPr>
        <w:sectPr w:rsidR="00620351" w:rsidSect="00F4034E">
          <w:footerReference w:type="default" r:id="rId13"/>
          <w:headerReference w:type="first" r:id="rId14"/>
          <w:footerReference w:type="first" r:id="rId15"/>
          <w:pgSz w:w="11906" w:h="16838" w:code="9"/>
          <w:pgMar w:top="1728" w:right="1138" w:bottom="1699" w:left="1138" w:header="576" w:footer="720" w:gutter="0"/>
          <w:pgNumType w:fmt="lowerRoman"/>
          <w:cols w:space="708"/>
          <w:titlePg/>
          <w:docGrid w:linePitch="360"/>
        </w:sectPr>
      </w:pPr>
    </w:p>
    <w:p w14:paraId="410FA81B" w14:textId="77777777" w:rsidR="00FD791E" w:rsidRDefault="000902DE" w:rsidP="00570A22">
      <w:pPr>
        <w:pStyle w:val="ChapterTitle"/>
      </w:pPr>
      <w:r w:rsidRPr="005A73E0">
        <w:lastRenderedPageBreak/>
        <w:t>Foreword</w:t>
      </w:r>
    </w:p>
    <w:p w14:paraId="10B0F90A" w14:textId="77777777" w:rsidR="00153A04" w:rsidRPr="00BD06AA" w:rsidRDefault="00153A04" w:rsidP="000902DE">
      <w:pPr>
        <w:jc w:val="both"/>
      </w:pPr>
      <w:bookmarkStart w:id="1" w:name="_Toc509835484"/>
      <w:r w:rsidRPr="00BD06AA">
        <w:t xml:space="preserve">Both Australia and New Zealand have committed to reducing greenhouse gas emissions under the Paris Agreement and to achieving affordable, efficient, and low emissions energy use through Australia’s National Energy Productivity Plan (NEPP) and the New Zealand Energy Efficiency and Conservation Strategy (NZEECS). </w:t>
      </w:r>
    </w:p>
    <w:p w14:paraId="704EB751" w14:textId="494E5354" w:rsidR="00153A04" w:rsidRPr="00BD06AA" w:rsidRDefault="00153A04" w:rsidP="000902DE">
      <w:pPr>
        <w:jc w:val="both"/>
      </w:pPr>
      <w:r w:rsidRPr="00BD06AA">
        <w:t>The Equipment Energy Efficiency (E3 Program) can help meet these commitments by improving the energy efficiency of products sold in both markets</w:t>
      </w:r>
      <w:r w:rsidR="004520EF">
        <w:t>,</w:t>
      </w:r>
      <w:r w:rsidRPr="00BD06AA">
        <w:t xml:space="preserve"> thereby reducing household energy bills and greenhouse gas emissions. This </w:t>
      </w:r>
      <w:r w:rsidR="004520EF">
        <w:t>can be done by</w:t>
      </w:r>
      <w:r w:rsidR="00994883">
        <w:t xml:space="preserve"> </w:t>
      </w:r>
      <w:r w:rsidRPr="00BD06AA">
        <w:t>applying minimum energy performance standards</w:t>
      </w:r>
      <w:r w:rsidR="00A33FF5">
        <w:t xml:space="preserve"> (MEPS)</w:t>
      </w:r>
      <w:r w:rsidRPr="00BD06AA">
        <w:t xml:space="preserve"> and energy labelling to </w:t>
      </w:r>
      <w:r w:rsidR="0063746A">
        <w:t xml:space="preserve">new </w:t>
      </w:r>
      <w:r w:rsidRPr="00BD06AA">
        <w:t>products</w:t>
      </w:r>
      <w:r w:rsidR="0063746A">
        <w:t xml:space="preserve"> which are sold</w:t>
      </w:r>
      <w:r w:rsidRPr="00BD06AA">
        <w:t>. MEPS set acceptable</w:t>
      </w:r>
      <w:r w:rsidR="00A33FF5">
        <w:t xml:space="preserve"> </w:t>
      </w:r>
      <w:r w:rsidR="007D365C">
        <w:t>limits</w:t>
      </w:r>
      <w:r w:rsidRPr="00BD06AA">
        <w:t xml:space="preserve"> for how much energy a product can use to operate, and labelling provides information to consumers on</w:t>
      </w:r>
      <w:r w:rsidR="00A33FF5">
        <w:t xml:space="preserve"> the relative energy</w:t>
      </w:r>
      <w:r w:rsidR="0063746A">
        <w:t xml:space="preserve"> efficiency of products (via a Star R</w:t>
      </w:r>
      <w:r w:rsidR="00A33FF5">
        <w:t>ating) and</w:t>
      </w:r>
      <w:r w:rsidRPr="00BD06AA">
        <w:t xml:space="preserve"> how much energy products use, as a basis for comparing different models and informing purchase decisions.</w:t>
      </w:r>
    </w:p>
    <w:p w14:paraId="16DB9198" w14:textId="52ED8593" w:rsidR="00153A04" w:rsidRPr="00BD06AA" w:rsidRDefault="00153A04" w:rsidP="000902DE">
      <w:pPr>
        <w:jc w:val="both"/>
      </w:pPr>
      <w:r w:rsidRPr="00BD06AA">
        <w:t xml:space="preserve">The E3 Program is a joint initiative </w:t>
      </w:r>
      <w:r w:rsidR="0090742A" w:rsidRPr="00BD06AA">
        <w:t>between Australian</w:t>
      </w:r>
      <w:r w:rsidRPr="00BD06AA">
        <w:t xml:space="preserve"> State</w:t>
      </w:r>
      <w:r w:rsidR="00A33FF5">
        <w:t>, Territory</w:t>
      </w:r>
      <w:r w:rsidRPr="00BD06AA">
        <w:t xml:space="preserve"> and Commonwealth</w:t>
      </w:r>
      <w:r w:rsidR="00A33FF5">
        <w:t xml:space="preserve"> governments,</w:t>
      </w:r>
      <w:r w:rsidRPr="00BD06AA">
        <w:t xml:space="preserve"> and</w:t>
      </w:r>
      <w:r w:rsidR="00A33FF5">
        <w:t xml:space="preserve"> the</w:t>
      </w:r>
      <w:r w:rsidRPr="00BD06AA">
        <w:t xml:space="preserve"> New Zealand Government. It is overseen by the Energy Efficiency </w:t>
      </w:r>
      <w:r w:rsidR="00C96C8E">
        <w:t>Advisory</w:t>
      </w:r>
      <w:r w:rsidRPr="00BD06AA">
        <w:t xml:space="preserve"> Team (EEAT), made up of representatives from each jurisdiction participating in the programme</w:t>
      </w:r>
      <w:r w:rsidR="00A33FF5">
        <w:t xml:space="preserve">, and </w:t>
      </w:r>
      <w:r w:rsidR="007820B6">
        <w:t>t</w:t>
      </w:r>
      <w:r w:rsidR="00A33FF5">
        <w:t>his committee reports to the COAG Energy Council for final decision making</w:t>
      </w:r>
      <w:r w:rsidRPr="00BD06AA">
        <w:t xml:space="preserve">. </w:t>
      </w:r>
    </w:p>
    <w:p w14:paraId="006D2EBE" w14:textId="1F73D4A0" w:rsidR="00153A04" w:rsidRPr="00096E92" w:rsidRDefault="00153A04" w:rsidP="00096E92">
      <w:pPr>
        <w:jc w:val="both"/>
      </w:pPr>
      <w:r w:rsidRPr="00BD06AA">
        <w:t>Water heaters are a priority for intervention under the</w:t>
      </w:r>
      <w:r w:rsidR="00A33FF5">
        <w:t xml:space="preserve"> current</w:t>
      </w:r>
      <w:r w:rsidRPr="00BD06AA">
        <w:t xml:space="preserve"> E3 work programme. They use an estimated 23% </w:t>
      </w:r>
      <w:r w:rsidR="004520EF">
        <w:t>and</w:t>
      </w:r>
      <w:r w:rsidRPr="00BD06AA">
        <w:t xml:space="preserve"> 28% of total household energy</w:t>
      </w:r>
      <w:r w:rsidRPr="00B23D0E">
        <w:rPr>
          <w:rStyle w:val="FootnoteReference"/>
        </w:rPr>
        <w:footnoteReference w:id="1"/>
      </w:r>
      <w:r w:rsidR="00FE36CB">
        <w:t xml:space="preserve"> use across</w:t>
      </w:r>
      <w:r w:rsidR="00A33FF5">
        <w:t xml:space="preserve"> Australia and New Zealand</w:t>
      </w:r>
      <w:r w:rsidRPr="00BD06AA">
        <w:t xml:space="preserve">, </w:t>
      </w:r>
      <w:r w:rsidR="00E90E4E">
        <w:t>account for</w:t>
      </w:r>
      <w:r w:rsidR="004520EF">
        <w:t xml:space="preserve"> about</w:t>
      </w:r>
      <w:r w:rsidRPr="00BD06AA">
        <w:t xml:space="preserve"> 20% of householders’ energy costs</w:t>
      </w:r>
      <w:r w:rsidR="00FE36CB">
        <w:t>,</w:t>
      </w:r>
      <w:r w:rsidRPr="00BD06AA">
        <w:t xml:space="preserve"> and </w:t>
      </w:r>
      <w:r w:rsidR="00E90E4E">
        <w:t xml:space="preserve">are responsible for around </w:t>
      </w:r>
      <w:r w:rsidRPr="00BD06AA">
        <w:t xml:space="preserve">20% of total </w:t>
      </w:r>
      <w:r w:rsidR="00A33FF5">
        <w:t xml:space="preserve">Australian </w:t>
      </w:r>
      <w:r w:rsidRPr="00BD06AA">
        <w:t>residential greenhouse gas emission</w:t>
      </w:r>
      <w:r w:rsidR="00E90E4E">
        <w:t>s</w:t>
      </w:r>
      <w:r w:rsidRPr="00BD06AA">
        <w:t xml:space="preserve"> and 33%</w:t>
      </w:r>
      <w:r w:rsidR="00020879">
        <w:rPr>
          <w:rStyle w:val="FootnoteReference"/>
        </w:rPr>
        <w:footnoteReference w:id="2"/>
      </w:r>
      <w:r w:rsidRPr="00BD06AA">
        <w:t xml:space="preserve"> in New Zealand</w:t>
      </w:r>
      <w:r w:rsidR="00096E92">
        <w:t xml:space="preserve"> </w:t>
      </w:r>
      <w:r w:rsidR="00096E92" w:rsidRPr="00096E92">
        <w:t>Hot water systems are an integral product for heating water in both Australian and New Zealand households for a wide range of activities, including cleaning, washing and cooking.</w:t>
      </w:r>
    </w:p>
    <w:p w14:paraId="6ADAECAB" w14:textId="73A0D520" w:rsidR="00B506C1" w:rsidRDefault="004520EF" w:rsidP="000902DE">
      <w:pPr>
        <w:jc w:val="both"/>
      </w:pPr>
      <w:r>
        <w:t xml:space="preserve">The </w:t>
      </w:r>
      <w:r w:rsidR="00A33FF5">
        <w:t>EEAT committee</w:t>
      </w:r>
      <w:r w:rsidR="00A33FF5" w:rsidRPr="00BD06AA">
        <w:t xml:space="preserve"> </w:t>
      </w:r>
      <w:r w:rsidR="00153A04" w:rsidRPr="00BD06AA">
        <w:t>has developed a Policy Framework</w:t>
      </w:r>
      <w:r w:rsidR="00096E92">
        <w:t xml:space="preserve"> and five</w:t>
      </w:r>
      <w:r w:rsidR="001A7B70">
        <w:t>-</w:t>
      </w:r>
      <w:r w:rsidR="00096E92">
        <w:t>year Roadmap</w:t>
      </w:r>
      <w:r w:rsidR="00153A04" w:rsidRPr="00BD06AA">
        <w:t xml:space="preserve"> for Hot Water Systems in Australia and New Zealand</w:t>
      </w:r>
      <w:r w:rsidR="00A33FF5">
        <w:t xml:space="preserve">, identifying how these will be dealt with </w:t>
      </w:r>
      <w:r w:rsidR="00A33FF5" w:rsidRPr="00A33FF5">
        <w:rPr>
          <w:i/>
        </w:rPr>
        <w:t>within the context of the E3 Program</w:t>
      </w:r>
      <w:r w:rsidR="00153A04" w:rsidRPr="00BD06AA">
        <w:t xml:space="preserve">. This sets out proposed measures for raising the energy efficiency of </w:t>
      </w:r>
      <w:r w:rsidR="008160AC">
        <w:t xml:space="preserve">new </w:t>
      </w:r>
      <w:r w:rsidR="00153A04" w:rsidRPr="00BD06AA">
        <w:t>water heaters</w:t>
      </w:r>
      <w:r w:rsidR="008160AC">
        <w:t xml:space="preserve"> sold,</w:t>
      </w:r>
      <w:r w:rsidR="00153A04" w:rsidRPr="00BD06AA">
        <w:t xml:space="preserve"> and a proposed approach to developing and introducing these measures over the next five years, in partnership with industry and other stakeholders. The Policy Framework is accompanied by a Five Year Roadmap </w:t>
      </w:r>
      <w:r>
        <w:t>that</w:t>
      </w:r>
      <w:r w:rsidRPr="00BD06AA">
        <w:t xml:space="preserve"> </w:t>
      </w:r>
      <w:r w:rsidR="00153A04" w:rsidRPr="00BD06AA">
        <w:t>lays out the proposed work</w:t>
      </w:r>
      <w:r w:rsidR="00D66CE1">
        <w:t>-</w:t>
      </w:r>
      <w:r w:rsidR="00153A04" w:rsidRPr="00BD06AA">
        <w:t>streams and timeframes on one page.</w:t>
      </w:r>
      <w:r w:rsidR="00096E92" w:rsidRPr="00096E92">
        <w:t xml:space="preserve"> Our intention for this </w:t>
      </w:r>
      <w:r w:rsidR="00096E92">
        <w:t>program of work</w:t>
      </w:r>
      <w:r w:rsidR="00096E92" w:rsidRPr="00096E92">
        <w:t xml:space="preserve"> is getting all products registered, a</w:t>
      </w:r>
      <w:r w:rsidR="00E90E4E">
        <w:t>n on-line</w:t>
      </w:r>
      <w:r w:rsidR="00096E92" w:rsidRPr="00096E92">
        <w:t xml:space="preserve"> consumer comparison tool with a label, a common test method</w:t>
      </w:r>
      <w:r w:rsidR="00E90E4E">
        <w:t>,</w:t>
      </w:r>
      <w:r w:rsidR="00096E92" w:rsidRPr="00096E92">
        <w:t xml:space="preserve"> and a MEPS for all </w:t>
      </w:r>
      <w:r w:rsidR="00E90E4E">
        <w:t xml:space="preserve">types of residential </w:t>
      </w:r>
      <w:r w:rsidR="00096E92">
        <w:t>hot water system</w:t>
      </w:r>
      <w:r w:rsidR="00096E92" w:rsidRPr="00096E92">
        <w:t>.</w:t>
      </w:r>
      <w:r w:rsidR="00B506C1">
        <w:t xml:space="preserve"> Finally</w:t>
      </w:r>
      <w:r w:rsidR="00E90E4E">
        <w:t>,</w:t>
      </w:r>
      <w:r w:rsidR="00B506C1">
        <w:t xml:space="preserve"> </w:t>
      </w:r>
      <w:r w:rsidR="00E90E4E">
        <w:t xml:space="preserve">we will </w:t>
      </w:r>
      <w:r w:rsidR="00B506C1">
        <w:t>review MEP</w:t>
      </w:r>
      <w:r w:rsidR="001A7B70">
        <w:t>S</w:t>
      </w:r>
      <w:r w:rsidR="00B506C1">
        <w:t xml:space="preserve"> levels between both countries </w:t>
      </w:r>
      <w:r w:rsidR="001A7B70">
        <w:t xml:space="preserve">with the aim of </w:t>
      </w:r>
      <w:r w:rsidR="00B506C1">
        <w:t>align</w:t>
      </w:r>
      <w:r w:rsidR="001A7B70">
        <w:t>ing these levels</w:t>
      </w:r>
      <w:r w:rsidR="00B506C1">
        <w:t xml:space="preserve">, </w:t>
      </w:r>
      <w:r w:rsidR="001A7B70">
        <w:t>subject to</w:t>
      </w:r>
      <w:r w:rsidR="00B506C1">
        <w:t xml:space="preserve"> further investigation of the cost</w:t>
      </w:r>
      <w:r w:rsidR="001A7B70">
        <w:t>s</w:t>
      </w:r>
      <w:r w:rsidR="00B506C1">
        <w:t xml:space="preserve"> and benefits. </w:t>
      </w:r>
    </w:p>
    <w:p w14:paraId="5780035B" w14:textId="6B5D06CE" w:rsidR="00153A04" w:rsidRDefault="00153A04" w:rsidP="000902DE">
      <w:pPr>
        <w:jc w:val="both"/>
      </w:pPr>
      <w:r w:rsidRPr="00BD06AA">
        <w:lastRenderedPageBreak/>
        <w:t xml:space="preserve">The </w:t>
      </w:r>
      <w:r w:rsidR="008160AC">
        <w:t>EEAT Committee</w:t>
      </w:r>
      <w:r w:rsidR="008160AC" w:rsidRPr="00BD06AA">
        <w:t xml:space="preserve"> </w:t>
      </w:r>
      <w:r w:rsidRPr="00BD06AA">
        <w:t>is consulting stakeholders on this Policy Framework</w:t>
      </w:r>
      <w:r w:rsidR="00096E92">
        <w:t xml:space="preserve"> and five year Roadmap</w:t>
      </w:r>
      <w:r w:rsidR="004520EF">
        <w:t>.</w:t>
      </w:r>
    </w:p>
    <w:p w14:paraId="31739604" w14:textId="05F1632F" w:rsidR="00994883" w:rsidRDefault="00994883" w:rsidP="000902DE">
      <w:pPr>
        <w:jc w:val="both"/>
      </w:pPr>
    </w:p>
    <w:bookmarkEnd w:id="1"/>
    <w:p w14:paraId="650D90C0" w14:textId="60514D9C" w:rsidR="00706E33" w:rsidRDefault="00153A04" w:rsidP="00153A04">
      <w:pPr>
        <w:pStyle w:val="Heading1"/>
      </w:pPr>
      <w:r>
        <w:t>Have your say</w:t>
      </w:r>
    </w:p>
    <w:p w14:paraId="5476F5A8" w14:textId="4E7DBBEB" w:rsidR="00153A04" w:rsidRPr="00BD06AA" w:rsidRDefault="00153A04" w:rsidP="000902DE">
      <w:pPr>
        <w:jc w:val="both"/>
      </w:pPr>
      <w:r w:rsidRPr="00BD06AA">
        <w:t>We welcome your feedback on the proposed Policy Framework and Five Year Roadmap, and expressions of interest in being involved in the Technical</w:t>
      </w:r>
      <w:r w:rsidR="005E15A2">
        <w:t xml:space="preserve"> Working Group</w:t>
      </w:r>
      <w:r w:rsidRPr="00BD06AA">
        <w:t xml:space="preserve"> and </w:t>
      </w:r>
      <w:r w:rsidR="005E15A2">
        <w:t>Stakeholder Reference</w:t>
      </w:r>
      <w:r w:rsidRPr="00BD06AA">
        <w:t xml:space="preserve"> Group. Feedback and enquiries can be directed to:</w:t>
      </w:r>
    </w:p>
    <w:p w14:paraId="72BB1B0D" w14:textId="0FDE0C21" w:rsidR="00153A04" w:rsidRPr="00BD06AA" w:rsidRDefault="00153A04" w:rsidP="000902DE">
      <w:pPr>
        <w:jc w:val="both"/>
      </w:pPr>
      <w:r w:rsidRPr="00BD06AA">
        <w:t>Australia</w:t>
      </w:r>
      <w:r w:rsidR="00F46529">
        <w:t xml:space="preserve">: </w:t>
      </w:r>
      <w:r w:rsidRPr="00BD06AA">
        <w:t xml:space="preserve"> </w:t>
      </w:r>
      <w:hyperlink r:id="rId16" w:history="1">
        <w:r w:rsidR="001C088A" w:rsidRPr="001C088A">
          <w:rPr>
            <w:rStyle w:val="Hyperlink"/>
          </w:rPr>
          <w:t>acrac@environment.gov.au</w:t>
        </w:r>
      </w:hyperlink>
      <w:r w:rsidR="001C088A">
        <w:rPr>
          <w:rStyle w:val="Hyperlink"/>
        </w:rPr>
        <w:t xml:space="preserve"> </w:t>
      </w:r>
    </w:p>
    <w:p w14:paraId="0F09A694" w14:textId="728191DD" w:rsidR="00153A04" w:rsidRPr="00BD06AA" w:rsidRDefault="00153A04" w:rsidP="000902DE">
      <w:pPr>
        <w:jc w:val="both"/>
      </w:pPr>
      <w:r w:rsidRPr="00BD06AA">
        <w:t>New Zealand</w:t>
      </w:r>
      <w:r w:rsidR="0009545B">
        <w:t>:</w:t>
      </w:r>
      <w:r w:rsidRPr="00BD06AA">
        <w:t xml:space="preserve"> </w:t>
      </w:r>
      <w:r w:rsidR="0009545B" w:rsidRPr="0009545B">
        <w:rPr>
          <w:rFonts w:eastAsia="Calibri"/>
          <w:lang w:val="en-US" w:eastAsia="en-NZ"/>
        </w:rPr>
        <w:t xml:space="preserve"> </w:t>
      </w:r>
      <w:hyperlink r:id="rId17" w:history="1">
        <w:r w:rsidR="001C088A" w:rsidRPr="004A5959">
          <w:rPr>
            <w:rStyle w:val="Hyperlink"/>
            <w:rFonts w:eastAsia="Calibri"/>
            <w:lang w:val="en-US" w:eastAsia="en-NZ"/>
          </w:rPr>
          <w:t>regs@eeca.govt.nz</w:t>
        </w:r>
      </w:hyperlink>
      <w:r w:rsidR="001C088A">
        <w:rPr>
          <w:rFonts w:eastAsia="Calibri"/>
          <w:color w:val="0563C1"/>
          <w:u w:val="single"/>
          <w:lang w:val="en-US" w:eastAsia="en-NZ"/>
        </w:rPr>
        <w:t xml:space="preserve"> </w:t>
      </w:r>
    </w:p>
    <w:p w14:paraId="73D1BE98" w14:textId="0C31D6F4" w:rsidR="00E40453" w:rsidRDefault="00153A04" w:rsidP="00E40453">
      <w:pPr>
        <w:jc w:val="both"/>
      </w:pPr>
      <w:r w:rsidRPr="00BD06AA">
        <w:t>Submissions on this document close on</w:t>
      </w:r>
      <w:r w:rsidR="005947DB">
        <w:t>:</w:t>
      </w:r>
      <w:r w:rsidRPr="00BD06AA">
        <w:t xml:space="preserve"> </w:t>
      </w:r>
      <w:r w:rsidR="0009545B">
        <w:t>Monday 10 December 2018</w:t>
      </w:r>
    </w:p>
    <w:p w14:paraId="55D04053" w14:textId="532E267A" w:rsidR="00994883" w:rsidRDefault="00E40453" w:rsidP="00E40453">
      <w:pPr>
        <w:spacing w:after="0" w:line="240" w:lineRule="auto"/>
      </w:pPr>
      <w:r>
        <w:br w:type="page"/>
      </w:r>
    </w:p>
    <w:p w14:paraId="6F1D8E9A" w14:textId="57E3B62A" w:rsidR="00DA627C" w:rsidRDefault="00DA627C" w:rsidP="00A720F5">
      <w:pPr>
        <w:pStyle w:val="ChapterTitle"/>
      </w:pPr>
      <w:r w:rsidRPr="00243684">
        <w:lastRenderedPageBreak/>
        <w:t>Introduction</w:t>
      </w:r>
    </w:p>
    <w:p w14:paraId="5BF4A700" w14:textId="77777777" w:rsidR="00DA627C" w:rsidRPr="00BD06AA" w:rsidRDefault="00DA627C" w:rsidP="000902DE">
      <w:pPr>
        <w:jc w:val="both"/>
      </w:pPr>
      <w:bookmarkStart w:id="2" w:name="_Toc509835485"/>
      <w:r w:rsidRPr="00BD06AA">
        <w:t>There are several market barriers to the uptake of efficient water heating technologies in Australia and New Zealand.</w:t>
      </w:r>
    </w:p>
    <w:p w14:paraId="53B7995E" w14:textId="52B578B0" w:rsidR="00DA627C" w:rsidRPr="00BD06AA" w:rsidRDefault="008A29E6" w:rsidP="000902DE">
      <w:pPr>
        <w:jc w:val="both"/>
      </w:pPr>
      <w:r>
        <w:t>W</w:t>
      </w:r>
      <w:r w:rsidR="00DA627C" w:rsidRPr="00BD06AA">
        <w:t>ater heaters are</w:t>
      </w:r>
      <w:r w:rsidR="004520EF">
        <w:t xml:space="preserve"> </w:t>
      </w:r>
      <w:r w:rsidR="006D1AB8">
        <w:t xml:space="preserve">largely </w:t>
      </w:r>
      <w:r w:rsidR="004520EF">
        <w:t>chosen</w:t>
      </w:r>
      <w:r w:rsidR="00DA627C" w:rsidRPr="00BD06AA">
        <w:t xml:space="preserve"> on their capital cost, without considering the life cycle costs</w:t>
      </w:r>
      <w:r w:rsidR="0090742A">
        <w:t xml:space="preserve"> (</w:t>
      </w:r>
      <w:r w:rsidR="0090742A" w:rsidRPr="0090742A">
        <w:t>e.g. initial installation cost plus the cost of energy consumed over a water heater’s lifetime</w:t>
      </w:r>
      <w:r w:rsidR="0090742A">
        <w:t>)</w:t>
      </w:r>
      <w:r w:rsidR="00DA627C" w:rsidRPr="00BD06AA">
        <w:t>. This tends to occur where the purchaser is not the person who will be paying the energy bill, or when water heaters are purchased as emergency replacements</w:t>
      </w:r>
      <w:r w:rsidR="00D37FE1">
        <w:t xml:space="preserve"> and the decision is made by the plumber</w:t>
      </w:r>
      <w:r w:rsidR="00DA627C" w:rsidRPr="00BD06AA">
        <w:t xml:space="preserve">. Secondly, it is difficult to compare the energy use and running costs of different hot water systems, due to a lack of information and because there is no common </w:t>
      </w:r>
      <w:r w:rsidR="006D1AB8">
        <w:t xml:space="preserve">test method or </w:t>
      </w:r>
      <w:r w:rsidR="00DA627C" w:rsidRPr="00BD06AA">
        <w:t xml:space="preserve">metric to provide the basis for comparison. </w:t>
      </w:r>
    </w:p>
    <w:p w14:paraId="45839A58" w14:textId="4A737B53" w:rsidR="00DA627C" w:rsidRPr="00BD06AA" w:rsidRDefault="00DA627C" w:rsidP="000902DE">
      <w:pPr>
        <w:jc w:val="both"/>
      </w:pPr>
      <w:r w:rsidRPr="00BD06AA">
        <w:t xml:space="preserve">There </w:t>
      </w:r>
      <w:r w:rsidR="00461565">
        <w:t>may</w:t>
      </w:r>
      <w:r w:rsidR="00461565" w:rsidRPr="00BD06AA">
        <w:t xml:space="preserve"> </w:t>
      </w:r>
      <w:r w:rsidRPr="00BD06AA">
        <w:t>also</w:t>
      </w:r>
      <w:r w:rsidR="00461565">
        <w:t xml:space="preserve"> be</w:t>
      </w:r>
      <w:r w:rsidRPr="00BD06AA">
        <w:t xml:space="preserve"> untapped potential to use water heaters with smart</w:t>
      </w:r>
      <w:r w:rsidR="00922B0F">
        <w:t xml:space="preserve"> technology or</w:t>
      </w:r>
      <w:r w:rsidRPr="00BD06AA">
        <w:t xml:space="preserve"> controls</w:t>
      </w:r>
      <w:r w:rsidR="00461565">
        <w:t xml:space="preserve"> that are inbuilt into the hot water systems to predict water demand in a household, which could</w:t>
      </w:r>
      <w:r w:rsidRPr="00BD06AA">
        <w:t xml:space="preserve"> influence householders’ energy using behaviour</w:t>
      </w:r>
      <w:r w:rsidR="00922B0F">
        <w:t>,</w:t>
      </w:r>
      <w:r w:rsidRPr="00BD06AA">
        <w:t xml:space="preserve"> and shift their time of use</w:t>
      </w:r>
      <w:r w:rsidR="004520EF">
        <w:t xml:space="preserve"> to</w:t>
      </w:r>
      <w:r w:rsidRPr="00BD06AA">
        <w:t xml:space="preserve"> off-peak</w:t>
      </w:r>
      <w:r w:rsidR="00922B0F">
        <w:t>.</w:t>
      </w:r>
      <w:r w:rsidR="00F247AE">
        <w:t xml:space="preserve"> </w:t>
      </w:r>
      <w:r w:rsidR="00922B0F">
        <w:t>H</w:t>
      </w:r>
      <w:r w:rsidR="00F247AE">
        <w:t>owever, this is dependent on many issues such as, off peak tariffs and the penetration of rooftop photovoltaic panels</w:t>
      </w:r>
      <w:r w:rsidRPr="00BD06AA">
        <w:t xml:space="preserve">. </w:t>
      </w:r>
      <w:r w:rsidR="00F247AE">
        <w:t xml:space="preserve">It is unknown if </w:t>
      </w:r>
      <w:r w:rsidR="00461565">
        <w:t>a l</w:t>
      </w:r>
      <w:r w:rsidRPr="00BD06AA">
        <w:t>ack of information</w:t>
      </w:r>
      <w:r w:rsidR="00922B0F">
        <w:t>,</w:t>
      </w:r>
      <w:r w:rsidRPr="00BD06AA">
        <w:t xml:space="preserve"> and awareness is preventing the widespread adoption of smart technology</w:t>
      </w:r>
      <w:r w:rsidR="00F247AE">
        <w:t xml:space="preserve"> or controls</w:t>
      </w:r>
      <w:r w:rsidRPr="00BD06AA">
        <w:t>,</w:t>
      </w:r>
      <w:r w:rsidR="00F247AE">
        <w:t xml:space="preserve"> which could</w:t>
      </w:r>
      <w:r w:rsidRPr="00BD06AA">
        <w:t xml:space="preserve"> result in lost opportunities to reduce peak </w:t>
      </w:r>
      <w:r w:rsidR="00997215">
        <w:t>electricity</w:t>
      </w:r>
      <w:r w:rsidR="00997215" w:rsidRPr="00BD06AA">
        <w:t xml:space="preserve"> </w:t>
      </w:r>
      <w:r w:rsidRPr="00BD06AA">
        <w:t xml:space="preserve">demand, and save householders money </w:t>
      </w:r>
      <w:r w:rsidR="004520EF">
        <w:t>by</w:t>
      </w:r>
      <w:r w:rsidR="004520EF" w:rsidRPr="00BD06AA">
        <w:t xml:space="preserve"> </w:t>
      </w:r>
      <w:r w:rsidRPr="00BD06AA">
        <w:t xml:space="preserve">modifying their energy using habits. </w:t>
      </w:r>
    </w:p>
    <w:p w14:paraId="64C4EAB9" w14:textId="3CCFCC71" w:rsidR="00DA627C" w:rsidRPr="00BD06AA" w:rsidRDefault="00DA627C" w:rsidP="000902DE">
      <w:pPr>
        <w:jc w:val="both"/>
      </w:pPr>
      <w:r w:rsidRPr="00BD06AA">
        <w:t xml:space="preserve">Market coverage of MEPS and labelling for water heaters is an issue. Australia and New Zealand apply Minimum Energy Performance Standards (MEPS) to gas water heaters and electric storage water heaters. However, these MEPS have not been updated in many years and do not cover </w:t>
      </w:r>
      <w:r w:rsidR="004520EF">
        <w:t>all</w:t>
      </w:r>
      <w:r w:rsidR="004520EF" w:rsidRPr="00BD06AA">
        <w:t xml:space="preserve"> </w:t>
      </w:r>
      <w:r w:rsidRPr="00BD06AA">
        <w:t xml:space="preserve">of the technologies on the market, including solar and heat pump water heaters. They therefore are not serving as well as they could to raise the overall energy efficiency of </w:t>
      </w:r>
      <w:r w:rsidR="002B1E28">
        <w:t xml:space="preserve">the </w:t>
      </w:r>
      <w:r w:rsidRPr="00BD06AA">
        <w:t>water heaters</w:t>
      </w:r>
      <w:r w:rsidR="002B1E28">
        <w:t xml:space="preserve"> available on the market,</w:t>
      </w:r>
      <w:r w:rsidRPr="00BD06AA">
        <w:t xml:space="preserve"> and </w:t>
      </w:r>
      <w:r w:rsidR="00F4533E">
        <w:t xml:space="preserve">to </w:t>
      </w:r>
      <w:r w:rsidRPr="00BD06AA">
        <w:t xml:space="preserve">reduce the associated energy costs and </w:t>
      </w:r>
      <w:r w:rsidR="00F4533E">
        <w:t xml:space="preserve">greenhouse gas </w:t>
      </w:r>
      <w:r w:rsidRPr="00BD06AA">
        <w:t>emissions.</w:t>
      </w:r>
    </w:p>
    <w:p w14:paraId="1620C655" w14:textId="3BFB1488" w:rsidR="00DA627C" w:rsidRPr="00BD06AA" w:rsidRDefault="00DA627C" w:rsidP="000902DE">
      <w:pPr>
        <w:jc w:val="both"/>
      </w:pPr>
      <w:r w:rsidRPr="00BD06AA">
        <w:t xml:space="preserve">By addressing these issues, Australia and New Zealand will benefit from significant reductions in energy consumption, greenhouse gas emissions, and household energy bills, and do so while minimising the compliance burden on industry. </w:t>
      </w:r>
      <w:r w:rsidR="008A29E6">
        <w:t>E3</w:t>
      </w:r>
      <w:r w:rsidR="004520EF" w:rsidRPr="00BD06AA">
        <w:t xml:space="preserve"> </w:t>
      </w:r>
      <w:r w:rsidRPr="00BD06AA">
        <w:t xml:space="preserve">estimates that the combined benefits for Australia and New Zealand across a ten year period to 2030 could be upwards of $AUD 1,355 million, at a cost of $AUD 850 million. Upwards of 7,890 gigawatt hours of </w:t>
      </w:r>
      <w:r w:rsidR="00994883">
        <w:t>electricity</w:t>
      </w:r>
      <w:r w:rsidR="00DC4718" w:rsidRPr="00BD06AA">
        <w:t xml:space="preserve"> </w:t>
      </w:r>
      <w:r w:rsidRPr="00BD06AA">
        <w:t>and 3.67 mega-tonnes of greenhouse gas emissions could be saved</w:t>
      </w:r>
      <w:r w:rsidRPr="00B850D3">
        <w:rPr>
          <w:rStyle w:val="FootnoteReference"/>
        </w:rPr>
        <w:footnoteReference w:id="3"/>
      </w:r>
      <w:r w:rsidRPr="00BD06AA">
        <w:t>.</w:t>
      </w:r>
    </w:p>
    <w:p w14:paraId="0265707E" w14:textId="1CF85575" w:rsidR="00DA627C" w:rsidRPr="00BD06AA" w:rsidRDefault="00DA627C" w:rsidP="000902DE">
      <w:pPr>
        <w:jc w:val="both"/>
      </w:pPr>
      <w:r w:rsidRPr="00BD06AA">
        <w:t>The Policy Framework for Hot Water Systems in Australia and New Zealand proposes th</w:t>
      </w:r>
      <w:r w:rsidR="00DC4718">
        <w:t>re</w:t>
      </w:r>
      <w:r w:rsidRPr="00BD06AA">
        <w:t>e approaches to address these issues:</w:t>
      </w:r>
    </w:p>
    <w:p w14:paraId="08993B70" w14:textId="224E0C50" w:rsidR="00DA627C" w:rsidRPr="00BD06AA" w:rsidRDefault="00DA627C" w:rsidP="000902DE">
      <w:pPr>
        <w:jc w:val="both"/>
      </w:pPr>
      <w:r w:rsidRPr="000902DE">
        <w:rPr>
          <w:b/>
        </w:rPr>
        <w:t>Adopting a technology-neutral method of test and a common energy performance metric</w:t>
      </w:r>
      <w:r w:rsidRPr="00BD06AA">
        <w:t xml:space="preserve">: This </w:t>
      </w:r>
      <w:r w:rsidR="00DC4718">
        <w:t xml:space="preserve">would </w:t>
      </w:r>
      <w:r w:rsidRPr="00BD06AA">
        <w:t>make it possible to provide comparative information, and apply common minimum</w:t>
      </w:r>
      <w:r w:rsidR="00063C99">
        <w:t xml:space="preserve"> efficiency</w:t>
      </w:r>
      <w:r w:rsidRPr="00BD06AA">
        <w:t xml:space="preserve"> standards, across different water heating technologies. This </w:t>
      </w:r>
      <w:r w:rsidR="00DC4718">
        <w:t>approach re</w:t>
      </w:r>
      <w:r w:rsidR="00DC4718">
        <w:lastRenderedPageBreak/>
        <w:t xml:space="preserve">quires a </w:t>
      </w:r>
      <w:r w:rsidRPr="00BD06AA">
        <w:t>review</w:t>
      </w:r>
      <w:r w:rsidR="00DC4718">
        <w:t xml:space="preserve"> of</w:t>
      </w:r>
      <w:r w:rsidRPr="00BD06AA">
        <w:t xml:space="preserve"> the available representative data on household hot water usage to determine if it needs updating, and may require more research to be undertaken. A technology neutral test </w:t>
      </w:r>
      <w:r w:rsidR="00461565" w:rsidRPr="00BD06AA">
        <w:t>method</w:t>
      </w:r>
      <w:r w:rsidR="00461565">
        <w:t>, which</w:t>
      </w:r>
      <w:r w:rsidR="00063C99">
        <w:t xml:space="preserve"> can be used for all water heater types,</w:t>
      </w:r>
      <w:r w:rsidRPr="00BD06AA">
        <w:t xml:space="preserve"> is a necessary prerequisite to the other measures discussed below</w:t>
      </w:r>
      <w:r w:rsidR="00063C99">
        <w:t>, and will be the initial focus of the work program</w:t>
      </w:r>
      <w:r w:rsidRPr="00BD06AA">
        <w:t xml:space="preserve">.  </w:t>
      </w:r>
    </w:p>
    <w:p w14:paraId="7989EADD" w14:textId="43E179BB" w:rsidR="00DA627C" w:rsidRPr="00BD06AA" w:rsidRDefault="00DA627C" w:rsidP="000902DE">
      <w:pPr>
        <w:jc w:val="both"/>
      </w:pPr>
      <w:r w:rsidRPr="000902DE">
        <w:rPr>
          <w:b/>
        </w:rPr>
        <w:t>Improving information</w:t>
      </w:r>
      <w:r w:rsidRPr="00BD06AA">
        <w:t>: This involves providing comprehensive and trustworthy information on energy consumption, costs and emissions across different water heating technologies, via an online comparison tool and potentially an energy rating label</w:t>
      </w:r>
      <w:r w:rsidR="00063C99">
        <w:t>, based on the technology neutral method of test</w:t>
      </w:r>
      <w:r w:rsidRPr="00BD06AA">
        <w:t xml:space="preserve">. This </w:t>
      </w:r>
      <w:r w:rsidR="00DC4718">
        <w:t>would</w:t>
      </w:r>
      <w:r w:rsidR="00DC4718" w:rsidRPr="00BD06AA">
        <w:t xml:space="preserve"> </w:t>
      </w:r>
      <w:r w:rsidRPr="00BD06AA">
        <w:t>require industry to register their products and supply information</w:t>
      </w:r>
      <w:r w:rsidR="00734C7E">
        <w:t xml:space="preserve"> to government for incorporation into the tool</w:t>
      </w:r>
      <w:r w:rsidRPr="00BD06AA">
        <w:t>. Information on the use of smart</w:t>
      </w:r>
      <w:r w:rsidR="006B1614">
        <w:t xml:space="preserve"> technologies or</w:t>
      </w:r>
      <w:r w:rsidRPr="00BD06AA">
        <w:t xml:space="preserve"> controls</w:t>
      </w:r>
      <w:r w:rsidR="00461565">
        <w:t xml:space="preserve"> that are inbuilt into a hot water system to predict water heating demand</w:t>
      </w:r>
      <w:r w:rsidRPr="00BD06AA">
        <w:t xml:space="preserve"> </w:t>
      </w:r>
      <w:r w:rsidR="00DC4718">
        <w:t>could</w:t>
      </w:r>
      <w:r w:rsidR="00DC4718" w:rsidRPr="00BD06AA">
        <w:t xml:space="preserve"> </w:t>
      </w:r>
      <w:r w:rsidRPr="00BD06AA">
        <w:t>also be provided,</w:t>
      </w:r>
      <w:r w:rsidR="00922B0F">
        <w:t xml:space="preserve"> as such there is limited information on the potential benefit to consumers but this could be</w:t>
      </w:r>
      <w:r w:rsidRPr="00BD06AA">
        <w:t xml:space="preserve"> potentially</w:t>
      </w:r>
      <w:r w:rsidR="00922B0F">
        <w:t xml:space="preserve"> provided</w:t>
      </w:r>
      <w:r w:rsidRPr="00BD06AA">
        <w:t xml:space="preserve"> via an endorsement scheme</w:t>
      </w:r>
      <w:r w:rsidR="006B1614">
        <w:t xml:space="preserve"> or label</w:t>
      </w:r>
      <w:r w:rsidR="00922B0F">
        <w:t>.</w:t>
      </w:r>
      <w:r w:rsidR="006B1614">
        <w:t xml:space="preserve"> </w:t>
      </w:r>
      <w:r w:rsidR="00922B0F">
        <w:t>T</w:t>
      </w:r>
      <w:r w:rsidR="006B1614">
        <w:t>his requir</w:t>
      </w:r>
      <w:r w:rsidR="00922B0F">
        <w:t>es</w:t>
      </w:r>
      <w:r w:rsidR="006B1614">
        <w:t xml:space="preserve"> further investigation</w:t>
      </w:r>
      <w:r w:rsidRPr="00BD06AA">
        <w:t>.</w:t>
      </w:r>
    </w:p>
    <w:p w14:paraId="3B041371" w14:textId="3D3BD777" w:rsidR="00DA627C" w:rsidRDefault="00DA627C" w:rsidP="000902DE">
      <w:pPr>
        <w:jc w:val="both"/>
      </w:pPr>
      <w:r w:rsidRPr="000902DE">
        <w:rPr>
          <w:b/>
        </w:rPr>
        <w:t>Extending/consolidating the coverage of MEPS</w:t>
      </w:r>
      <w:r>
        <w:t xml:space="preserve">: This </w:t>
      </w:r>
      <w:r w:rsidR="00DC4718">
        <w:t xml:space="preserve">would </w:t>
      </w:r>
      <w:r>
        <w:t xml:space="preserve">involve extending MEPS to </w:t>
      </w:r>
      <w:r w:rsidR="00063C99">
        <w:t xml:space="preserve">water heating </w:t>
      </w:r>
      <w:r>
        <w:t>technologies that are not currently covered, including solar</w:t>
      </w:r>
      <w:r w:rsidR="00063C99">
        <w:t xml:space="preserve"> (both electric- and gas-boosted systems)</w:t>
      </w:r>
      <w:r>
        <w:t xml:space="preserve">, photovoltaic, heat pump, and electric instantaneous technologies, and potentially applying a technology-neutral, ‘one-size-fits-all’ MEPS. </w:t>
      </w:r>
    </w:p>
    <w:bookmarkEnd w:id="2"/>
    <w:p w14:paraId="64AE5DB9" w14:textId="77777777" w:rsidR="001B5492" w:rsidRDefault="00BD06AA" w:rsidP="00A720F5">
      <w:pPr>
        <w:pStyle w:val="Heading1"/>
      </w:pPr>
      <w:r w:rsidRPr="00BD06AA">
        <w:t>Principles of Engagement</w:t>
      </w:r>
    </w:p>
    <w:p w14:paraId="104E7AEB" w14:textId="77777777" w:rsidR="00BD06AA" w:rsidRDefault="00BD06AA" w:rsidP="00A17357">
      <w:pPr>
        <w:jc w:val="both"/>
      </w:pPr>
      <w:r>
        <w:t>The E3 Program will abide by the following principles to develop these policy approaches:</w:t>
      </w:r>
    </w:p>
    <w:p w14:paraId="2DCE54C0" w14:textId="269FBC94" w:rsidR="00BD06AA" w:rsidRDefault="00BD06AA" w:rsidP="00A720F5">
      <w:pPr>
        <w:pStyle w:val="Bullets-Major"/>
      </w:pPr>
      <w:r>
        <w:t>We will be moving all hot water systems to a new method of testing that is technology neutral, to enable direct</w:t>
      </w:r>
      <w:r w:rsidR="00BD51A3">
        <w:t xml:space="preserve"> and fair</w:t>
      </w:r>
      <w:r>
        <w:t xml:space="preserve"> comparisons between technologies, and to make it possible to develop a technology neutral MEPS</w:t>
      </w:r>
      <w:r w:rsidR="00286F1B">
        <w:t xml:space="preserve"> in future</w:t>
      </w:r>
    </w:p>
    <w:p w14:paraId="5F96193F" w14:textId="7C9BBBAF" w:rsidR="00BD06AA" w:rsidRDefault="00BD06AA" w:rsidP="00A720F5">
      <w:pPr>
        <w:pStyle w:val="Bullets-Major"/>
      </w:pPr>
      <w:r>
        <w:t xml:space="preserve">We will work </w:t>
      </w:r>
      <w:r w:rsidR="009F75C3">
        <w:t xml:space="preserve">collaboratively with </w:t>
      </w:r>
      <w:r>
        <w:t>industry and consumer stakeholders to implement energy efficiency measures (MEPS and energy labelling) across all hot water technologies</w:t>
      </w:r>
      <w:r w:rsidR="00850699">
        <w:t>.</w:t>
      </w:r>
    </w:p>
    <w:p w14:paraId="1C537B60" w14:textId="426EE596" w:rsidR="00BD06AA" w:rsidRDefault="00BD06AA" w:rsidP="00A720F5">
      <w:pPr>
        <w:pStyle w:val="Bullets-Major"/>
      </w:pPr>
      <w:r>
        <w:t xml:space="preserve">We will only introduce new measures where the benefits of doing so are </w:t>
      </w:r>
      <w:r w:rsidR="0077519A">
        <w:t xml:space="preserve">evident. </w:t>
      </w:r>
    </w:p>
    <w:p w14:paraId="65CAF8B7" w14:textId="1D77339F" w:rsidR="0077519A" w:rsidRDefault="009F75C3" w:rsidP="00A720F5">
      <w:pPr>
        <w:pStyle w:val="Bullets-Major"/>
      </w:pPr>
      <w:r>
        <w:t xml:space="preserve">E3 measures introduced </w:t>
      </w:r>
      <w:r w:rsidRPr="006B1614">
        <w:rPr>
          <w:i/>
        </w:rPr>
        <w:t>under this work program</w:t>
      </w:r>
      <w:r>
        <w:t xml:space="preserve"> will not be designed to remove any </w:t>
      </w:r>
      <w:r w:rsidR="00BD51A3">
        <w:t xml:space="preserve">existing water heating </w:t>
      </w:r>
      <w:r>
        <w:t>technologies from the market</w:t>
      </w:r>
      <w:r w:rsidR="0077519A">
        <w:t>. States and Territories may choose to develop additional or complimentary measures for hot water such as subsidies, or building</w:t>
      </w:r>
      <w:r w:rsidR="00A45849">
        <w:t>/plumbing</w:t>
      </w:r>
      <w:r w:rsidR="0077519A">
        <w:t xml:space="preserve"> codes measures</w:t>
      </w:r>
      <w:r w:rsidR="00BD51A3">
        <w:t>, as is already the case</w:t>
      </w:r>
      <w:r w:rsidR="0077519A">
        <w:t>.</w:t>
      </w:r>
    </w:p>
    <w:p w14:paraId="223BA992" w14:textId="5B0D8B9B" w:rsidR="00BD06AA" w:rsidRDefault="0077519A" w:rsidP="00A720F5">
      <w:pPr>
        <w:pStyle w:val="Bullets-Major"/>
      </w:pPr>
      <w:r>
        <w:t>We will register all products</w:t>
      </w:r>
      <w:r w:rsidR="00526319">
        <w:t xml:space="preserve"> based on the technology neutral method of test</w:t>
      </w:r>
      <w:r>
        <w:t xml:space="preserve"> and provide relevant information through a website, online tool and energy rating label that allows consumers to compare water heating options.</w:t>
      </w:r>
    </w:p>
    <w:p w14:paraId="65E5050D" w14:textId="79E9CF25" w:rsidR="00022E5E" w:rsidRDefault="00BD06AA" w:rsidP="00A720F5">
      <w:pPr>
        <w:pStyle w:val="Bullets-Major"/>
      </w:pPr>
      <w:r>
        <w:t>We will look for opportunities to align requirements in both countries (New Zealand &amp; Australia), and base them on international standards, where it makes most sense</w:t>
      </w:r>
      <w:r w:rsidR="0077519A">
        <w:t xml:space="preserve"> to.</w:t>
      </w:r>
    </w:p>
    <w:p w14:paraId="514A630A" w14:textId="77777777" w:rsidR="003038CF" w:rsidRDefault="003038CF" w:rsidP="00A17357">
      <w:pPr>
        <w:jc w:val="both"/>
      </w:pPr>
    </w:p>
    <w:p w14:paraId="20966337" w14:textId="77777777" w:rsidR="003038CF" w:rsidRDefault="003038CF" w:rsidP="00A17357">
      <w:pPr>
        <w:jc w:val="both"/>
      </w:pPr>
    </w:p>
    <w:p w14:paraId="5543894A" w14:textId="77777777" w:rsidR="003038CF" w:rsidRDefault="003038CF" w:rsidP="00A17357">
      <w:pPr>
        <w:jc w:val="both"/>
      </w:pPr>
    </w:p>
    <w:p w14:paraId="597C2DE1" w14:textId="77777777" w:rsidR="003038CF" w:rsidRDefault="003038CF" w:rsidP="00A17357">
      <w:pPr>
        <w:jc w:val="both"/>
      </w:pPr>
    </w:p>
    <w:p w14:paraId="4D5A4ABF" w14:textId="77777777" w:rsidR="003038CF" w:rsidRDefault="003038CF" w:rsidP="00A17357">
      <w:pPr>
        <w:jc w:val="both"/>
      </w:pPr>
    </w:p>
    <w:p w14:paraId="144D2BCA" w14:textId="77777777" w:rsidR="003038CF" w:rsidRDefault="003038CF" w:rsidP="00A17357">
      <w:pPr>
        <w:jc w:val="both"/>
      </w:pPr>
    </w:p>
    <w:p w14:paraId="03B569C1" w14:textId="77777777" w:rsidR="003038CF" w:rsidRDefault="003038CF" w:rsidP="00A17357">
      <w:pPr>
        <w:jc w:val="both"/>
      </w:pPr>
    </w:p>
    <w:p w14:paraId="1DFFBAB6" w14:textId="79EEE593" w:rsidR="00B73325" w:rsidRDefault="00B73325" w:rsidP="00A17357">
      <w:pPr>
        <w:jc w:val="both"/>
      </w:pPr>
      <w:r>
        <w:t xml:space="preserve">This document is divided into several sections. It provides an overview of the issues affecting the uptake of energy efficient, low emissions water heaters, and outlines the government policies that currently apply to (or are proposed for) water heaters.  It then discusses what approaches we can use under the E3 Program to improve the energy performance of hot water systems and lower their emissions, including approaches adopted in other markets that could be applied here. Finally, it sets out options for intervention and a proposed approach to developing and implementing measures over a five-year timeframe. </w:t>
      </w:r>
    </w:p>
    <w:p w14:paraId="76AA9CAC" w14:textId="77777777" w:rsidR="00B73325" w:rsidRDefault="00B73325" w:rsidP="00A17357">
      <w:pPr>
        <w:jc w:val="both"/>
      </w:pPr>
      <w:r>
        <w:t>The hot water system technologies included for consideration under the Policy Framework are:</w:t>
      </w:r>
    </w:p>
    <w:p w14:paraId="0A497A68" w14:textId="77777777" w:rsidR="00B73325" w:rsidRDefault="00B73325" w:rsidP="00A720F5">
      <w:pPr>
        <w:pStyle w:val="Bullets-Major"/>
      </w:pPr>
      <w:r>
        <w:t>Electric storage</w:t>
      </w:r>
    </w:p>
    <w:p w14:paraId="3FE9AE70" w14:textId="77777777" w:rsidR="00B73325" w:rsidRDefault="00B73325" w:rsidP="00A720F5">
      <w:pPr>
        <w:pStyle w:val="Bullets-Major"/>
      </w:pPr>
      <w:r>
        <w:t>Gas storage</w:t>
      </w:r>
    </w:p>
    <w:p w14:paraId="02D5E38C" w14:textId="77777777" w:rsidR="00B73325" w:rsidRDefault="00B73325" w:rsidP="00A720F5">
      <w:pPr>
        <w:pStyle w:val="Bullets-Major"/>
      </w:pPr>
      <w:r>
        <w:t>Instantaneous gas</w:t>
      </w:r>
    </w:p>
    <w:p w14:paraId="628711B4" w14:textId="77777777" w:rsidR="00B73325" w:rsidRDefault="00B73325" w:rsidP="00A720F5">
      <w:pPr>
        <w:pStyle w:val="Bullets-Major"/>
      </w:pPr>
      <w:r>
        <w:t>Heat pump technology</w:t>
      </w:r>
    </w:p>
    <w:p w14:paraId="72BF07CC" w14:textId="77777777" w:rsidR="00B73325" w:rsidRDefault="00B73325" w:rsidP="00A720F5">
      <w:pPr>
        <w:pStyle w:val="Bullets-Major"/>
      </w:pPr>
      <w:r>
        <w:t>Instantaneous electric</w:t>
      </w:r>
    </w:p>
    <w:p w14:paraId="259B130C" w14:textId="77777777" w:rsidR="00B73325" w:rsidRDefault="00B73325" w:rsidP="00A720F5">
      <w:pPr>
        <w:pStyle w:val="Bullets-Major"/>
      </w:pPr>
      <w:r>
        <w:t>Solar hot water with electric boost</w:t>
      </w:r>
    </w:p>
    <w:p w14:paraId="4936899A" w14:textId="77777777" w:rsidR="00B73325" w:rsidRDefault="00B73325" w:rsidP="00A720F5">
      <w:pPr>
        <w:pStyle w:val="Bullets-Major"/>
      </w:pPr>
      <w:r>
        <w:t>Solar hot water with gas boost</w:t>
      </w:r>
    </w:p>
    <w:p w14:paraId="4C49B568" w14:textId="2ADCD433" w:rsidR="00B73325" w:rsidRDefault="00B73325" w:rsidP="00A720F5">
      <w:pPr>
        <w:pStyle w:val="Bullets-Major"/>
      </w:pPr>
      <w:r>
        <w:t>Direct photovoltaic with electric boost.</w:t>
      </w:r>
    </w:p>
    <w:p w14:paraId="74C572B4" w14:textId="5A473047" w:rsidR="003038CF" w:rsidRDefault="003038CF" w:rsidP="003038CF">
      <w:pPr>
        <w:pStyle w:val="Bullets-Major"/>
        <w:numPr>
          <w:ilvl w:val="0"/>
          <w:numId w:val="0"/>
        </w:numPr>
        <w:ind w:left="720"/>
      </w:pPr>
    </w:p>
    <w:p w14:paraId="781403A9" w14:textId="76CBA1F9" w:rsidR="003038CF" w:rsidRDefault="003038CF" w:rsidP="003038CF">
      <w:pPr>
        <w:pStyle w:val="Bullets-Major"/>
        <w:numPr>
          <w:ilvl w:val="0"/>
          <w:numId w:val="0"/>
        </w:numPr>
        <w:ind w:left="720" w:hanging="360"/>
      </w:pPr>
    </w:p>
    <w:p w14:paraId="7D11B335" w14:textId="163C28D0" w:rsidR="003038CF" w:rsidRDefault="003038CF" w:rsidP="003038CF">
      <w:pPr>
        <w:pStyle w:val="Bullets-Major"/>
        <w:numPr>
          <w:ilvl w:val="0"/>
          <w:numId w:val="0"/>
        </w:numPr>
        <w:ind w:left="720" w:hanging="360"/>
      </w:pPr>
    </w:p>
    <w:p w14:paraId="1CF66A6A" w14:textId="3AEA82CF" w:rsidR="003038CF" w:rsidRDefault="003038CF" w:rsidP="003038CF">
      <w:pPr>
        <w:pStyle w:val="Bullets-Major"/>
        <w:numPr>
          <w:ilvl w:val="0"/>
          <w:numId w:val="0"/>
        </w:numPr>
        <w:ind w:left="720" w:hanging="360"/>
      </w:pPr>
    </w:p>
    <w:p w14:paraId="51A91777" w14:textId="6B67D6A0" w:rsidR="003038CF" w:rsidRDefault="003038CF" w:rsidP="003038CF">
      <w:pPr>
        <w:pStyle w:val="Bullets-Major"/>
        <w:numPr>
          <w:ilvl w:val="0"/>
          <w:numId w:val="0"/>
        </w:numPr>
        <w:ind w:left="720" w:hanging="360"/>
      </w:pPr>
    </w:p>
    <w:p w14:paraId="09A1BB67" w14:textId="4E62EAD1" w:rsidR="003038CF" w:rsidRDefault="003038CF" w:rsidP="003038CF">
      <w:pPr>
        <w:pStyle w:val="Bullets-Major"/>
        <w:numPr>
          <w:ilvl w:val="0"/>
          <w:numId w:val="0"/>
        </w:numPr>
        <w:ind w:left="720" w:hanging="360"/>
      </w:pPr>
    </w:p>
    <w:p w14:paraId="43D7419F" w14:textId="0A4DB0B9" w:rsidR="003038CF" w:rsidRDefault="003038CF" w:rsidP="003038CF">
      <w:pPr>
        <w:pStyle w:val="Bullets-Major"/>
        <w:numPr>
          <w:ilvl w:val="0"/>
          <w:numId w:val="0"/>
        </w:numPr>
        <w:ind w:left="720" w:hanging="360"/>
      </w:pPr>
    </w:p>
    <w:p w14:paraId="61816B11" w14:textId="6D728337" w:rsidR="003038CF" w:rsidRDefault="003038CF" w:rsidP="003038CF">
      <w:pPr>
        <w:pStyle w:val="Bullets-Major"/>
        <w:numPr>
          <w:ilvl w:val="0"/>
          <w:numId w:val="0"/>
        </w:numPr>
        <w:ind w:left="720" w:hanging="360"/>
      </w:pPr>
    </w:p>
    <w:p w14:paraId="5D20B4AA" w14:textId="6089E12E" w:rsidR="003038CF" w:rsidRDefault="003038CF" w:rsidP="003038CF">
      <w:pPr>
        <w:pStyle w:val="Bullets-Major"/>
        <w:numPr>
          <w:ilvl w:val="0"/>
          <w:numId w:val="0"/>
        </w:numPr>
        <w:ind w:left="720" w:hanging="360"/>
      </w:pPr>
    </w:p>
    <w:p w14:paraId="249094A7" w14:textId="4CA41F31" w:rsidR="003038CF" w:rsidRDefault="003038CF" w:rsidP="003038CF">
      <w:pPr>
        <w:pStyle w:val="Bullets-Major"/>
        <w:numPr>
          <w:ilvl w:val="0"/>
          <w:numId w:val="0"/>
        </w:numPr>
        <w:ind w:left="720" w:hanging="360"/>
      </w:pPr>
    </w:p>
    <w:p w14:paraId="4F4D67AD" w14:textId="2CEB6BE5" w:rsidR="003038CF" w:rsidRDefault="003038CF" w:rsidP="003038CF">
      <w:pPr>
        <w:pStyle w:val="Bullets-Major"/>
        <w:numPr>
          <w:ilvl w:val="0"/>
          <w:numId w:val="0"/>
        </w:numPr>
        <w:ind w:left="720" w:hanging="360"/>
      </w:pPr>
    </w:p>
    <w:p w14:paraId="5E970C94" w14:textId="7CB1888E" w:rsidR="003038CF" w:rsidRDefault="003038CF" w:rsidP="003038CF">
      <w:pPr>
        <w:pStyle w:val="Bullets-Major"/>
        <w:numPr>
          <w:ilvl w:val="0"/>
          <w:numId w:val="0"/>
        </w:numPr>
        <w:ind w:left="720" w:hanging="360"/>
      </w:pPr>
    </w:p>
    <w:p w14:paraId="41D0AB4B" w14:textId="18310532" w:rsidR="003038CF" w:rsidRDefault="003038CF" w:rsidP="003038CF">
      <w:pPr>
        <w:pStyle w:val="Bullets-Major"/>
        <w:numPr>
          <w:ilvl w:val="0"/>
          <w:numId w:val="0"/>
        </w:numPr>
        <w:ind w:left="720" w:hanging="360"/>
      </w:pPr>
    </w:p>
    <w:p w14:paraId="2BA11646" w14:textId="2C1E998C" w:rsidR="003038CF" w:rsidRDefault="003038CF" w:rsidP="003038CF">
      <w:pPr>
        <w:pStyle w:val="Bullets-Major"/>
        <w:numPr>
          <w:ilvl w:val="0"/>
          <w:numId w:val="0"/>
        </w:numPr>
        <w:ind w:left="720" w:hanging="360"/>
      </w:pPr>
    </w:p>
    <w:p w14:paraId="2CF56BDF" w14:textId="0CADA85A" w:rsidR="003038CF" w:rsidRDefault="003038CF" w:rsidP="003038CF">
      <w:pPr>
        <w:pStyle w:val="Bullets-Major"/>
        <w:numPr>
          <w:ilvl w:val="0"/>
          <w:numId w:val="0"/>
        </w:numPr>
        <w:ind w:left="720" w:hanging="360"/>
      </w:pPr>
    </w:p>
    <w:p w14:paraId="7D2036BE" w14:textId="3A7DC283" w:rsidR="003038CF" w:rsidRDefault="003038CF" w:rsidP="003038CF">
      <w:pPr>
        <w:pStyle w:val="Bullets-Major"/>
        <w:numPr>
          <w:ilvl w:val="0"/>
          <w:numId w:val="0"/>
        </w:numPr>
        <w:ind w:left="720" w:hanging="360"/>
      </w:pPr>
    </w:p>
    <w:p w14:paraId="059BF642" w14:textId="77777777" w:rsidR="003038CF" w:rsidRDefault="003038CF" w:rsidP="003038CF">
      <w:pPr>
        <w:pStyle w:val="Bullets-Major"/>
        <w:numPr>
          <w:ilvl w:val="0"/>
          <w:numId w:val="0"/>
        </w:numPr>
        <w:ind w:left="720" w:hanging="360"/>
      </w:pPr>
    </w:p>
    <w:p w14:paraId="69CA7D0D" w14:textId="4AEEC3E8" w:rsidR="003038CF" w:rsidRDefault="003038CF" w:rsidP="003038CF">
      <w:pPr>
        <w:pStyle w:val="Bullets-Major"/>
        <w:numPr>
          <w:ilvl w:val="0"/>
          <w:numId w:val="0"/>
        </w:numPr>
        <w:ind w:left="720" w:hanging="360"/>
      </w:pPr>
    </w:p>
    <w:p w14:paraId="44DE7E90" w14:textId="47BA3771" w:rsidR="003038CF" w:rsidRDefault="003038CF" w:rsidP="003038CF">
      <w:pPr>
        <w:pStyle w:val="Bullets-Major"/>
        <w:numPr>
          <w:ilvl w:val="0"/>
          <w:numId w:val="0"/>
        </w:numPr>
        <w:ind w:left="720" w:hanging="360"/>
      </w:pPr>
    </w:p>
    <w:p w14:paraId="4DEDD187" w14:textId="4CF20CE9" w:rsidR="003038CF" w:rsidRDefault="003038CF" w:rsidP="003038CF">
      <w:pPr>
        <w:pStyle w:val="Bullets-Major"/>
        <w:numPr>
          <w:ilvl w:val="0"/>
          <w:numId w:val="0"/>
        </w:numPr>
        <w:ind w:left="720" w:hanging="360"/>
      </w:pPr>
    </w:p>
    <w:p w14:paraId="7CE62B58" w14:textId="77777777" w:rsidR="003038CF" w:rsidRDefault="003038CF" w:rsidP="003038CF">
      <w:pPr>
        <w:pStyle w:val="Bullets-Major"/>
        <w:numPr>
          <w:ilvl w:val="0"/>
          <w:numId w:val="0"/>
        </w:numPr>
        <w:ind w:left="720" w:hanging="360"/>
      </w:pPr>
    </w:p>
    <w:p w14:paraId="43BB9053" w14:textId="6C3AAC40" w:rsidR="003038CF" w:rsidRDefault="003038CF" w:rsidP="003038CF">
      <w:pPr>
        <w:pStyle w:val="Bullets-Major"/>
        <w:numPr>
          <w:ilvl w:val="0"/>
          <w:numId w:val="0"/>
        </w:numPr>
        <w:ind w:left="720" w:hanging="360"/>
      </w:pPr>
    </w:p>
    <w:p w14:paraId="21EF1241" w14:textId="75502EDD" w:rsidR="003038CF" w:rsidRDefault="003038CF" w:rsidP="003038CF">
      <w:pPr>
        <w:pStyle w:val="Bullets-Major"/>
        <w:numPr>
          <w:ilvl w:val="0"/>
          <w:numId w:val="0"/>
        </w:numPr>
        <w:ind w:left="720" w:hanging="360"/>
      </w:pPr>
    </w:p>
    <w:p w14:paraId="2022B9D1" w14:textId="77777777" w:rsidR="003038CF" w:rsidRDefault="003038CF" w:rsidP="003038CF">
      <w:pPr>
        <w:pStyle w:val="Bullets-Major"/>
        <w:numPr>
          <w:ilvl w:val="0"/>
          <w:numId w:val="0"/>
        </w:numPr>
        <w:ind w:left="720" w:hanging="360"/>
      </w:pPr>
    </w:p>
    <w:p w14:paraId="0947CBDE" w14:textId="43361734" w:rsidR="00B73325" w:rsidRDefault="00B73325" w:rsidP="00A720F5">
      <w:pPr>
        <w:pStyle w:val="ChapterTitle"/>
      </w:pPr>
      <w:r>
        <w:t xml:space="preserve">Market </w:t>
      </w:r>
      <w:r w:rsidR="008E5ADB">
        <w:t>Issues</w:t>
      </w:r>
    </w:p>
    <w:p w14:paraId="2264B8A0" w14:textId="7DCCDDE7" w:rsidR="00B73325" w:rsidRDefault="00B73325" w:rsidP="00A17357">
      <w:pPr>
        <w:jc w:val="both"/>
      </w:pPr>
      <w:r>
        <w:t xml:space="preserve">There is strong potential for Australia and New Zealand to reduce energy demand, peak </w:t>
      </w:r>
      <w:r w:rsidR="00D00E1E">
        <w:t>electricity</w:t>
      </w:r>
      <w:r w:rsidR="006B1614">
        <w:rPr>
          <w:rStyle w:val="FootnoteReference"/>
        </w:rPr>
        <w:footnoteReference w:id="4"/>
      </w:r>
      <w:r>
        <w:t xml:space="preserve">, greenhouse gas emissions, and energy costs to consumers </w:t>
      </w:r>
      <w:r w:rsidR="00DC4718">
        <w:t xml:space="preserve">by </w:t>
      </w:r>
      <w:r>
        <w:t xml:space="preserve">adopting energy efficient, low-emissions water heaters and smart controls.  However, there are several barriers to realising this potential under the current market conditions. </w:t>
      </w:r>
    </w:p>
    <w:p w14:paraId="12CD27B1" w14:textId="49DBB597" w:rsidR="00CE0784" w:rsidRDefault="008E5ADB" w:rsidP="00CE0784">
      <w:pPr>
        <w:pStyle w:val="Heading2"/>
      </w:pPr>
      <w:r>
        <w:t>Current</w:t>
      </w:r>
      <w:r w:rsidR="00096E92">
        <w:t xml:space="preserve"> market</w:t>
      </w:r>
      <w:r>
        <w:t xml:space="preserve"> </w:t>
      </w:r>
      <w:r w:rsidR="00096E92">
        <w:t>t</w:t>
      </w:r>
      <w:r>
        <w:t>rends</w:t>
      </w:r>
    </w:p>
    <w:p w14:paraId="77340FAA" w14:textId="2C387C36" w:rsidR="00CE0784" w:rsidRDefault="008E5ADB" w:rsidP="00CE0784">
      <w:r>
        <w:t xml:space="preserve">Different </w:t>
      </w:r>
      <w:r w:rsidR="00D66CE1">
        <w:t>States</w:t>
      </w:r>
      <w:r>
        <w:t xml:space="preserve"> and Territories</w:t>
      </w:r>
      <w:r w:rsidR="00CE0784">
        <w:t xml:space="preserve"> in Australia have different profile</w:t>
      </w:r>
      <w:r>
        <w:t>s</w:t>
      </w:r>
      <w:r w:rsidR="00CE0784">
        <w:t xml:space="preserve"> for the stock of hot water systems</w:t>
      </w:r>
      <w:r w:rsidR="001E5A84">
        <w:t>, and therefore different sales mixes</w:t>
      </w:r>
      <w:r w:rsidR="00CE0784">
        <w:t>. How</w:t>
      </w:r>
      <w:r w:rsidR="00277E73">
        <w:t>ever, the increase in sales of solar electric and heat p</w:t>
      </w:r>
      <w:r w:rsidR="00CE0784">
        <w:t xml:space="preserve">ump water heaters in 2009 was due to the rapid uptake of financial incentives provided by the Renewable Energy Target scheme and government </w:t>
      </w:r>
      <w:r w:rsidR="001E5A84">
        <w:t>incentives</w:t>
      </w:r>
      <w:r w:rsidR="00CE0784">
        <w:t xml:space="preserve">. Trends in the sales of gas </w:t>
      </w:r>
      <w:r w:rsidR="001E5A84">
        <w:t>instantaneous systems</w:t>
      </w:r>
      <w:r w:rsidR="00CE0784">
        <w:t xml:space="preserve"> are projected to continue to increase as they replace gas storage an</w:t>
      </w:r>
      <w:r w:rsidR="009B6C96">
        <w:t>d are installed in new homes.  Solar g</w:t>
      </w:r>
      <w:r w:rsidR="00CE0784">
        <w:t xml:space="preserve">as water heaters are almost all sold in Victoria due to the </w:t>
      </w:r>
      <w:r w:rsidR="006B1614">
        <w:t>N</w:t>
      </w:r>
      <w:r w:rsidR="00CE0784" w:rsidRPr="008A60D3">
        <w:t>atio</w:t>
      </w:r>
      <w:r w:rsidR="00CE0784">
        <w:t>nal Construction Cod</w:t>
      </w:r>
      <w:r w:rsidR="009B6C96">
        <w:t>e (NCC)</w:t>
      </w:r>
      <w:r w:rsidR="00CE0784">
        <w:t xml:space="preserve"> requirements for new homes in that State.</w:t>
      </w:r>
      <w:r w:rsidR="009B6C96">
        <w:t xml:space="preserve"> Graph 1: </w:t>
      </w:r>
      <w:r w:rsidR="009B6C96" w:rsidRPr="009B6C96">
        <w:t xml:space="preserve">details the split of the types of hot water systems being used </w:t>
      </w:r>
      <w:r w:rsidR="009B6C96">
        <w:t>Australia by State and Territory,</w:t>
      </w:r>
      <w:r w:rsidR="009B6C96" w:rsidRPr="009B6C96">
        <w:t xml:space="preserve"> and their saturation in the residential market</w:t>
      </w:r>
      <w:r w:rsidR="009B6C96">
        <w:rPr>
          <w:rStyle w:val="FootnoteReference"/>
        </w:rPr>
        <w:footnoteReference w:id="5"/>
      </w:r>
      <w:r w:rsidR="009B6C96">
        <w:t>.</w:t>
      </w:r>
    </w:p>
    <w:p w14:paraId="58287204" w14:textId="77777777" w:rsidR="00CE0784" w:rsidRDefault="00CE0784" w:rsidP="00CE0784">
      <w:pPr>
        <w:spacing w:after="240"/>
        <w:rPr>
          <w:b/>
          <w:sz w:val="20"/>
        </w:rPr>
      </w:pPr>
    </w:p>
    <w:p w14:paraId="56D445FB" w14:textId="77777777" w:rsidR="00460FBB" w:rsidRDefault="00460FBB" w:rsidP="00CE0784">
      <w:pPr>
        <w:spacing w:after="240"/>
        <w:rPr>
          <w:b/>
          <w:sz w:val="20"/>
        </w:rPr>
      </w:pPr>
    </w:p>
    <w:p w14:paraId="266005F4" w14:textId="347D45AA" w:rsidR="00460FBB" w:rsidRDefault="00460FBB" w:rsidP="00CE0784">
      <w:pPr>
        <w:spacing w:after="240"/>
        <w:rPr>
          <w:b/>
          <w:sz w:val="20"/>
        </w:rPr>
      </w:pPr>
    </w:p>
    <w:p w14:paraId="44E655B0" w14:textId="46F41B39" w:rsidR="003038CF" w:rsidRDefault="003038CF" w:rsidP="00CE0784">
      <w:pPr>
        <w:spacing w:after="240"/>
        <w:rPr>
          <w:b/>
          <w:sz w:val="20"/>
        </w:rPr>
      </w:pPr>
    </w:p>
    <w:p w14:paraId="1DC529E2" w14:textId="3B575D95" w:rsidR="003038CF" w:rsidRDefault="003038CF" w:rsidP="00CE0784">
      <w:pPr>
        <w:spacing w:after="240"/>
        <w:rPr>
          <w:b/>
          <w:sz w:val="20"/>
        </w:rPr>
      </w:pPr>
    </w:p>
    <w:p w14:paraId="21ADE849" w14:textId="7589A939" w:rsidR="003038CF" w:rsidRDefault="003038CF" w:rsidP="00CE0784">
      <w:pPr>
        <w:spacing w:after="240"/>
        <w:rPr>
          <w:b/>
          <w:sz w:val="20"/>
        </w:rPr>
      </w:pPr>
    </w:p>
    <w:p w14:paraId="3D2DF06F" w14:textId="2B7C5B73" w:rsidR="003038CF" w:rsidRDefault="003038CF" w:rsidP="00CE0784">
      <w:pPr>
        <w:spacing w:after="240"/>
        <w:rPr>
          <w:b/>
          <w:sz w:val="20"/>
        </w:rPr>
      </w:pPr>
    </w:p>
    <w:p w14:paraId="5CCD01EC" w14:textId="20C6449F" w:rsidR="003038CF" w:rsidRDefault="003038CF" w:rsidP="00CE0784">
      <w:pPr>
        <w:spacing w:after="240"/>
        <w:rPr>
          <w:b/>
          <w:sz w:val="20"/>
        </w:rPr>
      </w:pPr>
    </w:p>
    <w:p w14:paraId="71434C9E" w14:textId="77777777" w:rsidR="003038CF" w:rsidRDefault="003038CF" w:rsidP="00CE0784">
      <w:pPr>
        <w:spacing w:after="240"/>
        <w:rPr>
          <w:b/>
          <w:sz w:val="20"/>
        </w:rPr>
      </w:pPr>
    </w:p>
    <w:p w14:paraId="65B6847C" w14:textId="77777777" w:rsidR="00460FBB" w:rsidRDefault="00460FBB" w:rsidP="00CE0784">
      <w:pPr>
        <w:spacing w:after="240"/>
        <w:rPr>
          <w:b/>
          <w:sz w:val="20"/>
        </w:rPr>
      </w:pPr>
    </w:p>
    <w:p w14:paraId="469AE938" w14:textId="77777777" w:rsidR="00460FBB" w:rsidRDefault="00460FBB" w:rsidP="00CE0784">
      <w:pPr>
        <w:spacing w:after="240"/>
        <w:rPr>
          <w:b/>
          <w:sz w:val="20"/>
        </w:rPr>
      </w:pPr>
    </w:p>
    <w:p w14:paraId="06C74183" w14:textId="151F9274" w:rsidR="00CE0784" w:rsidRPr="00320972" w:rsidRDefault="00CE0784" w:rsidP="00320972">
      <w:pPr>
        <w:spacing w:after="240"/>
        <w:rPr>
          <w:b/>
          <w:sz w:val="20"/>
        </w:rPr>
      </w:pPr>
      <w:r w:rsidRPr="003E5BBE">
        <w:rPr>
          <w:b/>
          <w:sz w:val="20"/>
        </w:rPr>
        <w:t xml:space="preserve">Graph 1: Hot water systems in </w:t>
      </w:r>
      <w:r>
        <w:rPr>
          <w:b/>
          <w:sz w:val="20"/>
        </w:rPr>
        <w:t>Australia:</w:t>
      </w:r>
    </w:p>
    <w:tbl>
      <w:tblPr>
        <w:tblStyle w:val="TableGridLight1"/>
        <w:tblW w:w="0" w:type="auto"/>
        <w:tblLook w:val="04A0" w:firstRow="1" w:lastRow="0" w:firstColumn="1" w:lastColumn="0" w:noHBand="0" w:noVBand="1"/>
      </w:tblPr>
      <w:tblGrid>
        <w:gridCol w:w="4843"/>
        <w:gridCol w:w="4777"/>
      </w:tblGrid>
      <w:tr w:rsidR="00CE0784" w:rsidRPr="00F77911" w14:paraId="5E0ADD42" w14:textId="77777777" w:rsidTr="0064218F">
        <w:tc>
          <w:tcPr>
            <w:tcW w:w="4757" w:type="dxa"/>
          </w:tcPr>
          <w:p w14:paraId="309CA226" w14:textId="77777777" w:rsidR="00CE0784" w:rsidRPr="00F77911" w:rsidRDefault="00CE0784" w:rsidP="0064218F">
            <w:pPr>
              <w:spacing w:after="0"/>
              <w:rPr>
                <w:b/>
                <w:noProof/>
              </w:rPr>
            </w:pPr>
            <w:r w:rsidRPr="00F77911">
              <w:rPr>
                <w:b/>
                <w:noProof/>
              </w:rPr>
              <w:lastRenderedPageBreak/>
              <w:t>NSW</w:t>
            </w:r>
          </w:p>
        </w:tc>
        <w:tc>
          <w:tcPr>
            <w:tcW w:w="4701" w:type="dxa"/>
          </w:tcPr>
          <w:p w14:paraId="04056546" w14:textId="77777777" w:rsidR="00CE0784" w:rsidRPr="00F77911" w:rsidRDefault="00CE0784" w:rsidP="0064218F">
            <w:pPr>
              <w:spacing w:after="0"/>
              <w:rPr>
                <w:b/>
                <w:noProof/>
              </w:rPr>
            </w:pPr>
            <w:r w:rsidRPr="00F77911">
              <w:rPr>
                <w:b/>
                <w:noProof/>
              </w:rPr>
              <w:t>ACT</w:t>
            </w:r>
          </w:p>
        </w:tc>
      </w:tr>
      <w:tr w:rsidR="00CE0784" w14:paraId="729D788F" w14:textId="77777777" w:rsidTr="0064218F">
        <w:tc>
          <w:tcPr>
            <w:tcW w:w="4757" w:type="dxa"/>
          </w:tcPr>
          <w:p w14:paraId="61D71AF8" w14:textId="77777777" w:rsidR="00CE0784" w:rsidRDefault="00CE0784" w:rsidP="0064218F">
            <w:r w:rsidRPr="00F77911">
              <w:rPr>
                <w:noProof/>
                <w:lang w:eastAsia="en-NZ"/>
              </w:rPr>
              <w:drawing>
                <wp:inline distT="0" distB="0" distL="0" distR="0" wp14:anchorId="30010F3E" wp14:editId="7EA1E6AF">
                  <wp:extent cx="2763590" cy="1984029"/>
                  <wp:effectExtent l="0" t="0" r="0" b="0"/>
                  <wp:docPr id="26" name="Picture 26" descr="This graph details the split of the types of hot water systems being used in NSW, Australia. This is as follows;&#10;Electric Storage 58%, Gas instantaneous 18%, Gas storage 16%, Heat pump 2%, Solar electric 6%, Solar gas 0%. " title="Hot water systems in New South Wales (NSW),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email">
                            <a:extLst>
                              <a:ext uri="{28A0092B-C50C-407E-A947-70E740481C1C}">
                                <a14:useLocalDpi xmlns:a14="http://schemas.microsoft.com/office/drawing/2010/main"/>
                              </a:ext>
                            </a:extLst>
                          </a:blip>
                          <a:srcRect/>
                          <a:stretch>
                            <a:fillRect/>
                          </a:stretch>
                        </pic:blipFill>
                        <pic:spPr bwMode="auto">
                          <a:xfrm>
                            <a:off x="0" y="0"/>
                            <a:ext cx="2789771" cy="2002825"/>
                          </a:xfrm>
                          <a:prstGeom prst="rect">
                            <a:avLst/>
                          </a:prstGeom>
                          <a:noFill/>
                          <a:ln>
                            <a:noFill/>
                          </a:ln>
                        </pic:spPr>
                      </pic:pic>
                    </a:graphicData>
                  </a:graphic>
                </wp:inline>
              </w:drawing>
            </w:r>
          </w:p>
        </w:tc>
        <w:tc>
          <w:tcPr>
            <w:tcW w:w="4701" w:type="dxa"/>
          </w:tcPr>
          <w:p w14:paraId="14328ED0" w14:textId="77777777" w:rsidR="00CE0784" w:rsidRDefault="00CE0784" w:rsidP="0064218F">
            <w:r w:rsidRPr="00F77911">
              <w:rPr>
                <w:noProof/>
                <w:lang w:eastAsia="en-NZ"/>
              </w:rPr>
              <w:drawing>
                <wp:inline distT="0" distB="0" distL="0" distR="0" wp14:anchorId="65E6F6A3" wp14:editId="15FF4766">
                  <wp:extent cx="2739905" cy="1967024"/>
                  <wp:effectExtent l="0" t="0" r="3810" b="0"/>
                  <wp:docPr id="24" name="Picture 24" descr="This graph details the split of the types of hot water systems being used in ACT, Australia. This is as follows;&#10;Electric Storage 37%, Gas instantaneous 30%, Gas storage 26%, Heat pump 1%, Solar electric 5%, Solar gas 1%. " title="Hot water systems in Australian Capital Territory (AC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email">
                            <a:extLst>
                              <a:ext uri="{28A0092B-C50C-407E-A947-70E740481C1C}">
                                <a14:useLocalDpi xmlns:a14="http://schemas.microsoft.com/office/drawing/2010/main"/>
                              </a:ext>
                            </a:extLst>
                          </a:blip>
                          <a:srcRect/>
                          <a:stretch>
                            <a:fillRect/>
                          </a:stretch>
                        </pic:blipFill>
                        <pic:spPr bwMode="auto">
                          <a:xfrm>
                            <a:off x="0" y="0"/>
                            <a:ext cx="2765742" cy="1985573"/>
                          </a:xfrm>
                          <a:prstGeom prst="rect">
                            <a:avLst/>
                          </a:prstGeom>
                          <a:noFill/>
                          <a:ln>
                            <a:noFill/>
                          </a:ln>
                        </pic:spPr>
                      </pic:pic>
                    </a:graphicData>
                  </a:graphic>
                </wp:inline>
              </w:drawing>
            </w:r>
          </w:p>
        </w:tc>
      </w:tr>
      <w:tr w:rsidR="00CE0784" w:rsidRPr="00DD1962" w14:paraId="20F3EE33" w14:textId="77777777" w:rsidTr="0064218F">
        <w:tc>
          <w:tcPr>
            <w:tcW w:w="4757" w:type="dxa"/>
          </w:tcPr>
          <w:p w14:paraId="1E26EC3B" w14:textId="77777777" w:rsidR="00CE0784" w:rsidRPr="00DD1962" w:rsidRDefault="00CE0784" w:rsidP="0064218F">
            <w:pPr>
              <w:spacing w:after="0"/>
              <w:rPr>
                <w:b/>
                <w:noProof/>
              </w:rPr>
            </w:pPr>
            <w:r w:rsidRPr="00DD1962">
              <w:rPr>
                <w:b/>
                <w:noProof/>
              </w:rPr>
              <w:t>QLD</w:t>
            </w:r>
          </w:p>
        </w:tc>
        <w:tc>
          <w:tcPr>
            <w:tcW w:w="4701" w:type="dxa"/>
          </w:tcPr>
          <w:p w14:paraId="564144A9" w14:textId="77777777" w:rsidR="00CE0784" w:rsidRPr="00DD1962" w:rsidRDefault="00CE0784" w:rsidP="0064218F">
            <w:pPr>
              <w:spacing w:after="0"/>
              <w:rPr>
                <w:b/>
                <w:noProof/>
              </w:rPr>
            </w:pPr>
            <w:r w:rsidRPr="00DD1962">
              <w:rPr>
                <w:b/>
                <w:noProof/>
              </w:rPr>
              <w:t>SA</w:t>
            </w:r>
          </w:p>
        </w:tc>
      </w:tr>
      <w:tr w:rsidR="00CE0784" w14:paraId="31EDB4DA" w14:textId="77777777" w:rsidTr="0064218F">
        <w:tc>
          <w:tcPr>
            <w:tcW w:w="4757" w:type="dxa"/>
          </w:tcPr>
          <w:p w14:paraId="4905D618" w14:textId="77777777" w:rsidR="00CE0784" w:rsidRDefault="00CE0784" w:rsidP="0064218F">
            <w:r w:rsidRPr="00F77911">
              <w:rPr>
                <w:noProof/>
                <w:lang w:eastAsia="en-NZ"/>
              </w:rPr>
              <w:drawing>
                <wp:inline distT="0" distB="0" distL="0" distR="0" wp14:anchorId="10FBF18B" wp14:editId="0636D8C9">
                  <wp:extent cx="2769524" cy="1988288"/>
                  <wp:effectExtent l="0" t="0" r="0" b="0"/>
                  <wp:docPr id="27" name="Picture 27" descr="This graph details the split of the types of hot water systems being used in QLD, Australia. This is as follows;&#10;Electric Storage 67%, Gas instantaneous 10%, Gas storage 9%, Heat pump 4%, Solar electric 10%, Solar gas 0%. " title="Hot water systems in Queensland (QLD),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cstate="email">
                            <a:extLst>
                              <a:ext uri="{28A0092B-C50C-407E-A947-70E740481C1C}">
                                <a14:useLocalDpi xmlns:a14="http://schemas.microsoft.com/office/drawing/2010/main"/>
                              </a:ext>
                            </a:extLst>
                          </a:blip>
                          <a:srcRect/>
                          <a:stretch>
                            <a:fillRect/>
                          </a:stretch>
                        </pic:blipFill>
                        <pic:spPr bwMode="auto">
                          <a:xfrm>
                            <a:off x="0" y="0"/>
                            <a:ext cx="2806623" cy="2014922"/>
                          </a:xfrm>
                          <a:prstGeom prst="rect">
                            <a:avLst/>
                          </a:prstGeom>
                          <a:noFill/>
                          <a:ln>
                            <a:noFill/>
                          </a:ln>
                        </pic:spPr>
                      </pic:pic>
                    </a:graphicData>
                  </a:graphic>
                </wp:inline>
              </w:drawing>
            </w:r>
          </w:p>
        </w:tc>
        <w:tc>
          <w:tcPr>
            <w:tcW w:w="4701" w:type="dxa"/>
          </w:tcPr>
          <w:p w14:paraId="7FF34010" w14:textId="77777777" w:rsidR="00CE0784" w:rsidRDefault="00CE0784" w:rsidP="0064218F">
            <w:r w:rsidRPr="00F77911">
              <w:rPr>
                <w:noProof/>
                <w:lang w:eastAsia="en-NZ"/>
              </w:rPr>
              <w:drawing>
                <wp:inline distT="0" distB="0" distL="0" distR="0" wp14:anchorId="190A24E5" wp14:editId="58259090">
                  <wp:extent cx="2769378" cy="1988185"/>
                  <wp:effectExtent l="0" t="0" r="0" b="0"/>
                  <wp:docPr id="28" name="Picture 28" descr="This graph details the split of the types of hot water systems being used in SA, Australia. This is as follows;&#10;Electric Storage 34%, Gas instantaneous 30%, Gas storage 28%, Heat pump 2%, Solar electric 5%, Solar gas 1%. " title="Hot water systems in South Australia (S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1" cstate="email">
                            <a:extLst>
                              <a:ext uri="{28A0092B-C50C-407E-A947-70E740481C1C}">
                                <a14:useLocalDpi xmlns:a14="http://schemas.microsoft.com/office/drawing/2010/main"/>
                              </a:ext>
                            </a:extLst>
                          </a:blip>
                          <a:srcRect/>
                          <a:stretch>
                            <a:fillRect/>
                          </a:stretch>
                        </pic:blipFill>
                        <pic:spPr bwMode="auto">
                          <a:xfrm>
                            <a:off x="0" y="0"/>
                            <a:ext cx="2792551" cy="2004821"/>
                          </a:xfrm>
                          <a:prstGeom prst="rect">
                            <a:avLst/>
                          </a:prstGeom>
                          <a:noFill/>
                          <a:ln>
                            <a:noFill/>
                          </a:ln>
                        </pic:spPr>
                      </pic:pic>
                    </a:graphicData>
                  </a:graphic>
                </wp:inline>
              </w:drawing>
            </w:r>
          </w:p>
        </w:tc>
      </w:tr>
      <w:tr w:rsidR="00CE0784" w:rsidRPr="00DD1962" w14:paraId="7A1D0BB7" w14:textId="77777777" w:rsidTr="0064218F">
        <w:tc>
          <w:tcPr>
            <w:tcW w:w="4757" w:type="dxa"/>
          </w:tcPr>
          <w:p w14:paraId="073FDF99" w14:textId="77777777" w:rsidR="00CE0784" w:rsidRPr="00DD1962" w:rsidRDefault="00CE0784" w:rsidP="0064218F">
            <w:pPr>
              <w:spacing w:after="0"/>
              <w:rPr>
                <w:b/>
                <w:noProof/>
              </w:rPr>
            </w:pPr>
            <w:r w:rsidRPr="00DD1962">
              <w:rPr>
                <w:b/>
                <w:noProof/>
              </w:rPr>
              <w:t>VIC</w:t>
            </w:r>
          </w:p>
        </w:tc>
        <w:tc>
          <w:tcPr>
            <w:tcW w:w="4701" w:type="dxa"/>
          </w:tcPr>
          <w:p w14:paraId="3871A03D" w14:textId="77777777" w:rsidR="00CE0784" w:rsidRPr="00DD1962" w:rsidRDefault="00CE0784" w:rsidP="0064218F">
            <w:pPr>
              <w:spacing w:after="0"/>
              <w:rPr>
                <w:b/>
                <w:noProof/>
              </w:rPr>
            </w:pPr>
            <w:r w:rsidRPr="00DD1962">
              <w:rPr>
                <w:b/>
                <w:noProof/>
              </w:rPr>
              <w:t>TAS</w:t>
            </w:r>
          </w:p>
        </w:tc>
      </w:tr>
      <w:tr w:rsidR="00CE0784" w14:paraId="0D781FDF" w14:textId="77777777" w:rsidTr="0064218F">
        <w:tc>
          <w:tcPr>
            <w:tcW w:w="4757" w:type="dxa"/>
          </w:tcPr>
          <w:p w14:paraId="4757573A" w14:textId="77777777" w:rsidR="00CE0784" w:rsidRDefault="00CE0784" w:rsidP="0064218F">
            <w:r w:rsidRPr="00DD1962">
              <w:rPr>
                <w:noProof/>
                <w:lang w:eastAsia="en-NZ"/>
              </w:rPr>
              <w:drawing>
                <wp:inline distT="0" distB="0" distL="0" distR="0" wp14:anchorId="798DB092" wp14:editId="7574DBCB">
                  <wp:extent cx="2783531" cy="1998345"/>
                  <wp:effectExtent l="0" t="0" r="0" b="1905"/>
                  <wp:docPr id="33" name="Picture 33" descr="This graph details the split of the types of hot water systems being used in VIC, Australia. This is as follows;&#10;Electric Storage 21%, Gas instantaneous 36%, Gas storage 34%, Heat pump 1%, Solar electric 1%, Solar gas 7%. " title="Hot water systems in Victoria (VIC),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cstate="email">
                            <a:extLst>
                              <a:ext uri="{28A0092B-C50C-407E-A947-70E740481C1C}">
                                <a14:useLocalDpi xmlns:a14="http://schemas.microsoft.com/office/drawing/2010/main"/>
                              </a:ext>
                            </a:extLst>
                          </a:blip>
                          <a:srcRect/>
                          <a:stretch>
                            <a:fillRect/>
                          </a:stretch>
                        </pic:blipFill>
                        <pic:spPr bwMode="auto">
                          <a:xfrm>
                            <a:off x="0" y="0"/>
                            <a:ext cx="2801693" cy="2011384"/>
                          </a:xfrm>
                          <a:prstGeom prst="rect">
                            <a:avLst/>
                          </a:prstGeom>
                          <a:noFill/>
                          <a:ln>
                            <a:noFill/>
                          </a:ln>
                        </pic:spPr>
                      </pic:pic>
                    </a:graphicData>
                  </a:graphic>
                </wp:inline>
              </w:drawing>
            </w:r>
          </w:p>
        </w:tc>
        <w:tc>
          <w:tcPr>
            <w:tcW w:w="4701" w:type="dxa"/>
          </w:tcPr>
          <w:p w14:paraId="7CBA2DB3" w14:textId="77777777" w:rsidR="00CE0784" w:rsidRDefault="00CE0784" w:rsidP="0064218F">
            <w:r w:rsidRPr="00DD1962">
              <w:rPr>
                <w:noProof/>
                <w:lang w:eastAsia="en-NZ"/>
              </w:rPr>
              <w:drawing>
                <wp:inline distT="0" distB="0" distL="0" distR="0" wp14:anchorId="7F93667A" wp14:editId="43AA50BC">
                  <wp:extent cx="2753685" cy="1976918"/>
                  <wp:effectExtent l="0" t="0" r="8890" b="4445"/>
                  <wp:docPr id="34" name="Picture 34" descr="This graph details the split of the types of hot water systems being used in TAS, Australia. This is as follows;&#10;Electric Storage 87%, Gas instantaneous 4%, Gas storage 3%, Heat pump 2%, Solar electric 3%, Solar gas 0%, wood 1%. " title="Hot water systems in Tasmania (TAS),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cstate="email">
                            <a:extLst>
                              <a:ext uri="{28A0092B-C50C-407E-A947-70E740481C1C}">
                                <a14:useLocalDpi xmlns:a14="http://schemas.microsoft.com/office/drawing/2010/main"/>
                              </a:ext>
                            </a:extLst>
                          </a:blip>
                          <a:srcRect/>
                          <a:stretch>
                            <a:fillRect/>
                          </a:stretch>
                        </pic:blipFill>
                        <pic:spPr bwMode="auto">
                          <a:xfrm>
                            <a:off x="0" y="0"/>
                            <a:ext cx="2763103" cy="1983679"/>
                          </a:xfrm>
                          <a:prstGeom prst="rect">
                            <a:avLst/>
                          </a:prstGeom>
                          <a:noFill/>
                          <a:ln>
                            <a:noFill/>
                          </a:ln>
                        </pic:spPr>
                      </pic:pic>
                    </a:graphicData>
                  </a:graphic>
                </wp:inline>
              </w:drawing>
            </w:r>
          </w:p>
        </w:tc>
      </w:tr>
      <w:tr w:rsidR="00CE0784" w:rsidRPr="00DD1962" w14:paraId="71125313" w14:textId="77777777" w:rsidTr="0064218F">
        <w:tc>
          <w:tcPr>
            <w:tcW w:w="4757" w:type="dxa"/>
          </w:tcPr>
          <w:p w14:paraId="546B5A98" w14:textId="77777777" w:rsidR="00CE0784" w:rsidRPr="00DD1962" w:rsidRDefault="00CE0784" w:rsidP="0064218F">
            <w:pPr>
              <w:keepNext/>
              <w:spacing w:after="0"/>
              <w:rPr>
                <w:b/>
                <w:noProof/>
              </w:rPr>
            </w:pPr>
            <w:r w:rsidRPr="00DD1962">
              <w:rPr>
                <w:b/>
                <w:noProof/>
              </w:rPr>
              <w:t>WA</w:t>
            </w:r>
          </w:p>
        </w:tc>
        <w:tc>
          <w:tcPr>
            <w:tcW w:w="4701" w:type="dxa"/>
          </w:tcPr>
          <w:p w14:paraId="357F55FB" w14:textId="62FF0152" w:rsidR="00CE0784" w:rsidRPr="00DD1962" w:rsidRDefault="00CE0784" w:rsidP="0064218F">
            <w:pPr>
              <w:spacing w:after="0"/>
              <w:rPr>
                <w:b/>
                <w:noProof/>
              </w:rPr>
            </w:pPr>
            <w:r w:rsidRPr="00DD1962">
              <w:rPr>
                <w:b/>
                <w:noProof/>
              </w:rPr>
              <w:t>NT</w:t>
            </w:r>
          </w:p>
        </w:tc>
      </w:tr>
      <w:tr w:rsidR="00CE0784" w14:paraId="5B92F655" w14:textId="77777777" w:rsidTr="0064218F">
        <w:tc>
          <w:tcPr>
            <w:tcW w:w="4757" w:type="dxa"/>
          </w:tcPr>
          <w:p w14:paraId="6709F863" w14:textId="77777777" w:rsidR="00CE0784" w:rsidRDefault="00CE0784" w:rsidP="0064218F">
            <w:r w:rsidRPr="00DD1962">
              <w:rPr>
                <w:noProof/>
                <w:lang w:eastAsia="en-NZ"/>
              </w:rPr>
              <w:drawing>
                <wp:inline distT="0" distB="0" distL="0" distR="0" wp14:anchorId="2FAD5638" wp14:editId="5123AFEF">
                  <wp:extent cx="3019012" cy="2167401"/>
                  <wp:effectExtent l="0" t="0" r="0" b="4445"/>
                  <wp:docPr id="35" name="Picture 35" descr="This graph details the split of the types of hot water systems being used in WA, Australia. This is as follows;&#10;Electric Storage 18%, Gas instantaneous 33%, Gas storage 30%, Heat pump 2%, Solar electric 14%, Solar gas 2%, wood 1%. " title="Hot water systems in Western Australia (WA),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cstate="email">
                            <a:extLst>
                              <a:ext uri="{28A0092B-C50C-407E-A947-70E740481C1C}">
                                <a14:useLocalDpi xmlns:a14="http://schemas.microsoft.com/office/drawing/2010/main"/>
                              </a:ext>
                            </a:extLst>
                          </a:blip>
                          <a:srcRect/>
                          <a:stretch>
                            <a:fillRect/>
                          </a:stretch>
                        </pic:blipFill>
                        <pic:spPr bwMode="auto">
                          <a:xfrm>
                            <a:off x="0" y="0"/>
                            <a:ext cx="3045498" cy="2186416"/>
                          </a:xfrm>
                          <a:prstGeom prst="rect">
                            <a:avLst/>
                          </a:prstGeom>
                          <a:noFill/>
                          <a:ln>
                            <a:noFill/>
                          </a:ln>
                        </pic:spPr>
                      </pic:pic>
                    </a:graphicData>
                  </a:graphic>
                </wp:inline>
              </w:drawing>
            </w:r>
          </w:p>
        </w:tc>
        <w:tc>
          <w:tcPr>
            <w:tcW w:w="4701" w:type="dxa"/>
          </w:tcPr>
          <w:p w14:paraId="048ACACE" w14:textId="77777777" w:rsidR="00CE0784" w:rsidRDefault="00CE0784" w:rsidP="0064218F">
            <w:r w:rsidRPr="00DD1962">
              <w:rPr>
                <w:noProof/>
                <w:lang w:eastAsia="en-NZ"/>
              </w:rPr>
              <w:drawing>
                <wp:inline distT="0" distB="0" distL="0" distR="0" wp14:anchorId="2AFA8439" wp14:editId="1AF356F2">
                  <wp:extent cx="2976868" cy="2137145"/>
                  <wp:effectExtent l="0" t="0" r="0" b="0"/>
                  <wp:docPr id="36" name="Picture 36" descr="This graph details the split of the types of hot water systems being used in NT, Australia. This is as follows;&#10;Electric Storage 64%, Gas instantaneous 4%, Gas storage 4%, Heat pump 2%, Solar electric 26%, Solar gas 0%." title="Hot water systems in Northern Territory (NT),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cstate="email">
                            <a:extLst>
                              <a:ext uri="{28A0092B-C50C-407E-A947-70E740481C1C}">
                                <a14:useLocalDpi xmlns:a14="http://schemas.microsoft.com/office/drawing/2010/main"/>
                              </a:ext>
                            </a:extLst>
                          </a:blip>
                          <a:srcRect/>
                          <a:stretch>
                            <a:fillRect/>
                          </a:stretch>
                        </pic:blipFill>
                        <pic:spPr bwMode="auto">
                          <a:xfrm>
                            <a:off x="0" y="0"/>
                            <a:ext cx="3020186" cy="2168244"/>
                          </a:xfrm>
                          <a:prstGeom prst="rect">
                            <a:avLst/>
                          </a:prstGeom>
                          <a:noFill/>
                          <a:ln>
                            <a:noFill/>
                          </a:ln>
                        </pic:spPr>
                      </pic:pic>
                    </a:graphicData>
                  </a:graphic>
                </wp:inline>
              </w:drawing>
            </w:r>
          </w:p>
        </w:tc>
      </w:tr>
    </w:tbl>
    <w:p w14:paraId="17AB3FC9" w14:textId="77777777" w:rsidR="00CE0784" w:rsidRDefault="00CE0784" w:rsidP="00B86391">
      <w:pPr>
        <w:spacing w:after="240"/>
        <w:jc w:val="both"/>
      </w:pPr>
    </w:p>
    <w:p w14:paraId="74AE0ACE" w14:textId="588A3958" w:rsidR="00B86391" w:rsidRDefault="00B86391" w:rsidP="00B86391">
      <w:pPr>
        <w:spacing w:after="240"/>
        <w:jc w:val="both"/>
      </w:pPr>
      <w:r w:rsidRPr="00025402">
        <w:t>Electric</w:t>
      </w:r>
      <w:r>
        <w:t xml:space="preserve"> storage</w:t>
      </w:r>
      <w:r w:rsidRPr="00025402">
        <w:t xml:space="preserve"> </w:t>
      </w:r>
      <w:r>
        <w:t>hot water systems</w:t>
      </w:r>
      <w:r w:rsidRPr="00025402">
        <w:t xml:space="preserve"> have been, and remain, the dominant </w:t>
      </w:r>
      <w:r>
        <w:t>hot water systems in New Zealand, with trends suggesting a greater move towards smaller electric hot water systems uptake, including in Auckland as installations increase with</w:t>
      </w:r>
      <w:r w:rsidR="009B6C96">
        <w:t xml:space="preserve"> apartment construction. Graph 2</w:t>
      </w:r>
      <w:r>
        <w:t xml:space="preserve"> details the split of the types of hot water systems being used </w:t>
      </w:r>
      <w:r w:rsidRPr="00233484">
        <w:t>New Zealand</w:t>
      </w:r>
      <w:r>
        <w:t xml:space="preserve"> and their saturation in the residential market:</w:t>
      </w:r>
      <w:r w:rsidRPr="00076A8C">
        <w:rPr>
          <w:rStyle w:val="FootnoteReference"/>
        </w:rPr>
        <w:t xml:space="preserve"> </w:t>
      </w:r>
      <w:r>
        <w:rPr>
          <w:rStyle w:val="FootnoteReference"/>
        </w:rPr>
        <w:footnoteReference w:id="6"/>
      </w:r>
    </w:p>
    <w:p w14:paraId="53E1640A" w14:textId="77777777" w:rsidR="00B86391" w:rsidRDefault="00B86391" w:rsidP="00B86391">
      <w:pPr>
        <w:spacing w:after="240"/>
        <w:rPr>
          <w:b/>
          <w:sz w:val="20"/>
        </w:rPr>
      </w:pPr>
    </w:p>
    <w:p w14:paraId="08C7C05C" w14:textId="178EA2D4" w:rsidR="00B86391" w:rsidRPr="003E5BBE" w:rsidRDefault="00CE0784" w:rsidP="00B86391">
      <w:pPr>
        <w:spacing w:after="240"/>
        <w:rPr>
          <w:b/>
          <w:sz w:val="20"/>
        </w:rPr>
      </w:pPr>
      <w:r>
        <w:rPr>
          <w:b/>
          <w:sz w:val="20"/>
        </w:rPr>
        <w:t>Graph 2</w:t>
      </w:r>
      <w:r w:rsidR="00B86391" w:rsidRPr="003E5BBE">
        <w:rPr>
          <w:b/>
          <w:sz w:val="20"/>
        </w:rPr>
        <w:t>: Hot water systems in New Zealand</w:t>
      </w:r>
      <w:r w:rsidR="00F6360B">
        <w:rPr>
          <w:b/>
          <w:sz w:val="20"/>
        </w:rPr>
        <w:t>:</w:t>
      </w:r>
    </w:p>
    <w:p w14:paraId="722B2C09" w14:textId="5299301E" w:rsidR="00B86391" w:rsidRDefault="00B86391" w:rsidP="00B86391">
      <w:pPr>
        <w:spacing w:after="240"/>
        <w:ind w:left="720"/>
        <w:jc w:val="both"/>
      </w:pPr>
      <w:r>
        <w:lastRenderedPageBreak/>
        <w:t xml:space="preserve"> </w:t>
      </w:r>
      <w:r w:rsidR="00C9752F">
        <w:rPr>
          <w:noProof/>
          <w:lang w:val="en-NZ" w:eastAsia="en-NZ"/>
        </w:rPr>
        <w:drawing>
          <wp:inline distT="0" distB="0" distL="0" distR="0" wp14:anchorId="11EC3107" wp14:editId="16D7E657">
            <wp:extent cx="4139565" cy="2743200"/>
            <wp:effectExtent l="0" t="0" r="0" b="0"/>
            <wp:docPr id="12" name="Picture 12" descr="This graph details the split of the types of hot water systems being used in New Zealand. This is as follows;&#10;Electric Storage 67%, Gas instantaneous 18%, Gas storage 2%, Heat pump 0%, Solar electric 2%, Solar gas 0%, wood 11%." title="Hot water systems in New Zea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39565" cy="2743200"/>
                    </a:xfrm>
                    <a:prstGeom prst="rect">
                      <a:avLst/>
                    </a:prstGeom>
                    <a:noFill/>
                  </pic:spPr>
                </pic:pic>
              </a:graphicData>
            </a:graphic>
          </wp:inline>
        </w:drawing>
      </w:r>
    </w:p>
    <w:p w14:paraId="7D455252" w14:textId="6B035642" w:rsidR="00B86391" w:rsidRDefault="00B86391" w:rsidP="00B86391">
      <w:pPr>
        <w:jc w:val="both"/>
      </w:pPr>
      <w:r>
        <w:t xml:space="preserve">Gas instantaneous is the second most </w:t>
      </w:r>
      <w:r w:rsidR="00F03440">
        <w:t>common type of water heating system</w:t>
      </w:r>
      <w:r>
        <w:t xml:space="preserve"> in New Zealand as t</w:t>
      </w:r>
      <w:r w:rsidRPr="00025402">
        <w:t xml:space="preserve">here was previously a </w:t>
      </w:r>
      <w:r>
        <w:t>move towards gas</w:t>
      </w:r>
      <w:r w:rsidRPr="00025402">
        <w:t xml:space="preserve"> for </w:t>
      </w:r>
      <w:r>
        <w:t>hot water</w:t>
      </w:r>
      <w:r w:rsidRPr="00025402">
        <w:t xml:space="preserve"> systems, driven largely by the ability to have unlimited hot water.  Th</w:t>
      </w:r>
      <w:r>
        <w:t>e</w:t>
      </w:r>
      <w:r w:rsidRPr="00025402">
        <w:t xml:space="preserve"> market</w:t>
      </w:r>
      <w:r>
        <w:t xml:space="preserve"> for gas instantaneous</w:t>
      </w:r>
      <w:r w:rsidRPr="00025402">
        <w:t xml:space="preserve"> has now stabilised </w:t>
      </w:r>
      <w:r>
        <w:t>because of the</w:t>
      </w:r>
      <w:r w:rsidRPr="00025402">
        <w:t xml:space="preserve"> relative</w:t>
      </w:r>
      <w:r w:rsidR="00F03440">
        <w:t>ly high cost</w:t>
      </w:r>
      <w:r>
        <w:t xml:space="preserve"> of LPG </w:t>
      </w:r>
      <w:r w:rsidRPr="00025402">
        <w:t>in the South Island</w:t>
      </w:r>
      <w:r>
        <w:t xml:space="preserve"> compared with electricity. </w:t>
      </w:r>
    </w:p>
    <w:p w14:paraId="67741A22" w14:textId="7A110EEB" w:rsidR="00B86391" w:rsidRDefault="00B86391" w:rsidP="00B86391">
      <w:pPr>
        <w:spacing w:after="240" w:line="240" w:lineRule="auto"/>
        <w:jc w:val="both"/>
      </w:pPr>
      <w:r w:rsidRPr="0061350C">
        <w:t xml:space="preserve">Solar electric hot water systems sales were </w:t>
      </w:r>
      <w:r w:rsidR="00F03440">
        <w:t>increasing</w:t>
      </w:r>
      <w:r w:rsidR="00F03440" w:rsidRPr="0061350C">
        <w:t xml:space="preserve"> </w:t>
      </w:r>
      <w:r w:rsidRPr="0061350C">
        <w:t xml:space="preserve">until 2012, but have since slowed, mainly as a result of the removal of Government subsidies of $500 to $1000 that were offered from 2007 until mid-2012.  The Government’s </w:t>
      </w:r>
      <w:r w:rsidRPr="00B86391">
        <w:t>Kiwi Build</w:t>
      </w:r>
      <w:r w:rsidRPr="0061350C">
        <w:t xml:space="preserve"> programme aims to build 100,000 new affordable homes over the next 10 years. This has the potential to drive demand for water heating systems.  For example</w:t>
      </w:r>
      <w:r w:rsidR="00F03440">
        <w:t>,</w:t>
      </w:r>
      <w:r w:rsidRPr="0061350C">
        <w:t xml:space="preserve"> at present there are approximately 30,000 new homes built annually in New Zealand.</w:t>
      </w:r>
    </w:p>
    <w:p w14:paraId="02FE5590" w14:textId="7803F070" w:rsidR="008E5ADB" w:rsidRDefault="008E5ADB" w:rsidP="008E5ADB">
      <w:pPr>
        <w:pStyle w:val="Heading2"/>
      </w:pPr>
      <w:r>
        <w:t xml:space="preserve">Energy use and </w:t>
      </w:r>
      <w:r w:rsidR="00096E92">
        <w:t>e</w:t>
      </w:r>
      <w:r>
        <w:t xml:space="preserve">fficiency </w:t>
      </w:r>
      <w:r w:rsidR="00096E92">
        <w:t>t</w:t>
      </w:r>
      <w:r>
        <w:t>rends in Australia and New Zealand</w:t>
      </w:r>
    </w:p>
    <w:p w14:paraId="78C02200" w14:textId="7C14061C" w:rsidR="008E5ADB" w:rsidRDefault="00780076" w:rsidP="008E5ADB">
      <w:r>
        <w:t>In Australia w</w:t>
      </w:r>
      <w:r w:rsidR="008E5ADB" w:rsidRPr="008E5ADB">
        <w:t xml:space="preserve">ater heating contributes around a quarter (24%) of the overall residential energy consumption of all the end uses.  </w:t>
      </w:r>
      <w:r w:rsidR="0027349C">
        <w:t>Energy use by residential w</w:t>
      </w:r>
      <w:r w:rsidR="008E5ADB" w:rsidRPr="008E5ADB">
        <w:t>ater heating was</w:t>
      </w:r>
      <w:r w:rsidR="008F0C8B">
        <w:t xml:space="preserve"> estimated to be</w:t>
      </w:r>
      <w:r w:rsidR="008E5ADB" w:rsidRPr="008E5ADB">
        <w:t xml:space="preserve"> 85 PJ in 2014, having declined from a pe</w:t>
      </w:r>
      <w:r w:rsidR="00413329">
        <w:t>ak consumption in 2008 of 95 PJ</w:t>
      </w:r>
      <w:r w:rsidR="008E5ADB" w:rsidRPr="008E5ADB">
        <w:t>.  However, total water heating energy use is expected to start to increase and grow until it reaches around 98 PJ in 2030, assuming there are no changes in water heater regulations or incentive programs.</w:t>
      </w:r>
      <w:r w:rsidR="00127A96">
        <w:t xml:space="preserve"> Graph 3 shows the </w:t>
      </w:r>
      <w:r w:rsidR="0027349C">
        <w:t xml:space="preserve">estimated </w:t>
      </w:r>
      <w:r w:rsidR="00127A96">
        <w:t xml:space="preserve">energy use of each type of water heater and forecast to 2030. </w:t>
      </w:r>
    </w:p>
    <w:p w14:paraId="1C191F0A" w14:textId="77777777" w:rsidR="008E5ADB" w:rsidRDefault="008E5ADB" w:rsidP="008E5ADB">
      <w:pPr>
        <w:spacing w:after="240"/>
        <w:rPr>
          <w:b/>
          <w:sz w:val="20"/>
        </w:rPr>
      </w:pPr>
    </w:p>
    <w:p w14:paraId="79685CE6" w14:textId="5320603E" w:rsidR="008E5ADB" w:rsidRPr="008E5ADB" w:rsidRDefault="008E5ADB" w:rsidP="008E5ADB">
      <w:pPr>
        <w:spacing w:after="240"/>
        <w:rPr>
          <w:b/>
          <w:i/>
          <w:iCs/>
          <w:sz w:val="20"/>
        </w:rPr>
      </w:pPr>
      <w:r>
        <w:rPr>
          <w:b/>
          <w:sz w:val="20"/>
        </w:rPr>
        <w:t>Graph 3</w:t>
      </w:r>
      <w:r w:rsidRPr="003E5BBE">
        <w:rPr>
          <w:b/>
          <w:sz w:val="20"/>
        </w:rPr>
        <w:t xml:space="preserve">: </w:t>
      </w:r>
      <w:r w:rsidRPr="00956EFF">
        <w:rPr>
          <w:sz w:val="20"/>
        </w:rPr>
        <w:t>Water Heating Energy Use by Product Group- Australia 2000 - 2030</w:t>
      </w:r>
    </w:p>
    <w:p w14:paraId="4336B3D8" w14:textId="40DD007C" w:rsidR="008E5ADB" w:rsidRPr="003E5BBE" w:rsidRDefault="008E5ADB" w:rsidP="008E5ADB">
      <w:pPr>
        <w:spacing w:after="240"/>
        <w:rPr>
          <w:b/>
          <w:sz w:val="20"/>
        </w:rPr>
      </w:pPr>
    </w:p>
    <w:p w14:paraId="66E7EC48" w14:textId="77777777" w:rsidR="008E5ADB" w:rsidRPr="008E5ADB" w:rsidRDefault="008E5ADB" w:rsidP="008E5ADB"/>
    <w:p w14:paraId="1180505E" w14:textId="5B95C529" w:rsidR="008E5ADB" w:rsidRPr="008E5ADB" w:rsidRDefault="008E5ADB" w:rsidP="00956EFF">
      <w:r w:rsidRPr="00944D44">
        <w:rPr>
          <w:noProof/>
          <w:lang w:val="en-NZ" w:eastAsia="en-NZ"/>
        </w:rPr>
        <w:lastRenderedPageBreak/>
        <w:drawing>
          <wp:inline distT="0" distB="0" distL="0" distR="0" wp14:anchorId="1BB9A038" wp14:editId="25DBCA6A">
            <wp:extent cx="5868670" cy="3906689"/>
            <wp:effectExtent l="0" t="0" r="0" b="0"/>
            <wp:docPr id="39" name="Picture 39" descr="This graph shows the estimated energy use of each type of water heater and forecast to 2030. &#10;Source - DIS 2015, Residential Energy Baseline Study: Australia, Department of the Industry and Science, Canberra, Australia, prepared by EnergyConsult, August 2015" title="Water Heating Energy Use by Product Group - Australia 200-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7" cstate="email">
                      <a:extLst>
                        <a:ext uri="{28A0092B-C50C-407E-A947-70E740481C1C}">
                          <a14:useLocalDpi xmlns:a14="http://schemas.microsoft.com/office/drawing/2010/main"/>
                        </a:ext>
                      </a:extLst>
                    </a:blip>
                    <a:srcRect/>
                    <a:stretch>
                      <a:fillRect/>
                    </a:stretch>
                  </pic:blipFill>
                  <pic:spPr bwMode="auto">
                    <a:xfrm>
                      <a:off x="0" y="0"/>
                      <a:ext cx="5868670" cy="3906689"/>
                    </a:xfrm>
                    <a:prstGeom prst="rect">
                      <a:avLst/>
                    </a:prstGeom>
                    <a:noFill/>
                    <a:ln>
                      <a:noFill/>
                    </a:ln>
                  </pic:spPr>
                </pic:pic>
              </a:graphicData>
            </a:graphic>
          </wp:inline>
        </w:drawing>
      </w:r>
    </w:p>
    <w:p w14:paraId="2F0CB2F2" w14:textId="3769EA0B" w:rsidR="008E5ADB" w:rsidRPr="008E5ADB" w:rsidRDefault="008E5ADB" w:rsidP="008E5ADB">
      <w:pPr>
        <w:spacing w:after="240" w:line="240" w:lineRule="auto"/>
        <w:jc w:val="both"/>
      </w:pPr>
      <w:r w:rsidRPr="005E73D6">
        <w:t>The main factor contributing to the reduction in energy use</w:t>
      </w:r>
      <w:r w:rsidR="000D196A">
        <w:t xml:space="preserve"> for gas water heaters</w:t>
      </w:r>
      <w:r w:rsidRPr="005E73D6">
        <w:t xml:space="preserve"> in the second half of the 2000s</w:t>
      </w:r>
      <w:r w:rsidR="000D196A">
        <w:t>,</w:t>
      </w:r>
      <w:r w:rsidRPr="005E73D6">
        <w:t xml:space="preserve"> has been </w:t>
      </w:r>
      <w:r w:rsidR="000D196A">
        <w:t>consumers</w:t>
      </w:r>
      <w:r w:rsidR="000D196A" w:rsidRPr="005E73D6">
        <w:t xml:space="preserve"> </w:t>
      </w:r>
      <w:r w:rsidRPr="005E73D6">
        <w:t xml:space="preserve">switching </w:t>
      </w:r>
      <w:r w:rsidR="000D196A">
        <w:t xml:space="preserve">from gas storage water heaters </w:t>
      </w:r>
      <w:r w:rsidRPr="005E73D6">
        <w:t>to the more efficient instantaneous gas</w:t>
      </w:r>
      <w:r w:rsidR="00461565">
        <w:t xml:space="preserve"> </w:t>
      </w:r>
      <w:r w:rsidRPr="005E73D6">
        <w:t xml:space="preserve">water heaters. The main factors affecting </w:t>
      </w:r>
      <w:r w:rsidR="000D196A">
        <w:t xml:space="preserve">water heating related </w:t>
      </w:r>
      <w:r w:rsidRPr="005E73D6">
        <w:t>electricity consumption have been consumers moving to solar and heat pump water heaters from electric storage water heaters, encouraged by incentives from state and federal governments</w:t>
      </w:r>
      <w:r w:rsidR="00922B0F">
        <w:t xml:space="preserve">. </w:t>
      </w:r>
      <w:r w:rsidRPr="005E73D6">
        <w:t>Average ownership of electric water heaters declined from 0.62 in 2000 to 0.46 in 2013.  In addition, behavioural changes due to an extended drought and rapid take up of water efficient showers have also contributed to significant reductions in energy use per water heater.  Research conducted for the RBS, utilising electricity distributor data on off-peak and controlled load water heaters, has found that the decline in hot water use from water efficiency measures and changes in behaviour has contributed to approx. 10% of the reduction in total hot water electricity consumption in Australia.</w:t>
      </w:r>
      <w:r w:rsidRPr="008E5ADB">
        <w:t xml:space="preserve">  </w:t>
      </w:r>
    </w:p>
    <w:p w14:paraId="1539CCB4" w14:textId="63440B60" w:rsidR="008E5ADB" w:rsidRPr="008E5ADB" w:rsidRDefault="008E5ADB" w:rsidP="008E5ADB">
      <w:pPr>
        <w:spacing w:after="240" w:line="240" w:lineRule="auto"/>
        <w:jc w:val="both"/>
      </w:pPr>
      <w:r w:rsidRPr="008E5ADB">
        <w:t>The energy use by electric water heaters is now forecast to increase slightly, as the fuel switching rate declines and no other MEPS or water efficiency measures are planned to be implemented</w:t>
      </w:r>
      <w:r w:rsidR="00922B0F">
        <w:t>,</w:t>
      </w:r>
      <w:r w:rsidRPr="008E5ADB">
        <w:t xml:space="preserve"> </w:t>
      </w:r>
      <w:r w:rsidR="00922B0F">
        <w:t>t</w:t>
      </w:r>
      <w:r w:rsidR="00461565">
        <w:t xml:space="preserve">his is also driven by </w:t>
      </w:r>
      <w:r w:rsidR="0069723E">
        <w:t>new builds</w:t>
      </w:r>
      <w:r w:rsidR="00461565">
        <w:t xml:space="preserve">. </w:t>
      </w:r>
      <w:r w:rsidRPr="008E5ADB">
        <w:t>The financial and regulatory incentives</w:t>
      </w:r>
      <w:r w:rsidR="00D753B7">
        <w:t xml:space="preserve"> available</w:t>
      </w:r>
      <w:r w:rsidRPr="008E5ADB">
        <w:t xml:space="preserve"> for solar and heat pump water heaters have also been significantly reduced, resulting in sales of these heaters reducing to pre-2007 levels.  </w:t>
      </w:r>
    </w:p>
    <w:p w14:paraId="0D6CE7E8" w14:textId="38FDA042" w:rsidR="008E5ADB" w:rsidRPr="008E5ADB" w:rsidRDefault="00780076" w:rsidP="008E5ADB">
      <w:pPr>
        <w:spacing w:after="240" w:line="240" w:lineRule="auto"/>
        <w:jc w:val="both"/>
      </w:pPr>
      <w:r>
        <w:t>N</w:t>
      </w:r>
      <w:r w:rsidR="0077519A">
        <w:t>ew Zealand’</w:t>
      </w:r>
      <w:r w:rsidR="008E5ADB" w:rsidRPr="008E5ADB">
        <w:t>s water heating energy use was 16 PJ in 2014, and is slowly increasing to a projected 18 PJ in 2030, as detailed in the Residential Baseline Study report prepared for the Department of Industry and Science on behalf of the trans-Tasman E3 programme.</w:t>
      </w:r>
      <w:r w:rsidR="00D753B7">
        <w:t xml:space="preserve"> </w:t>
      </w:r>
      <w:r w:rsidR="008E5ADB" w:rsidRPr="008E5ADB">
        <w:t>Electricity use dominates the water heating energy use and contributed 78% of the total use in 2014. However, electricity energy use is stable throughout the study period. In contrast, the use of energy from natural gas increases throughout the study period, as does that from LPG, albeit off a lower base for LPG. This reflects the cost-effectiveness of a gas water heating system both in terms of capital cost and energy cost (North Island mains gas).  It is also driven by the convenience of endless hot water and freeing up the space that would otherwise be required for a storage cylinder.</w:t>
      </w:r>
    </w:p>
    <w:p w14:paraId="26096C20" w14:textId="77777777" w:rsidR="008E5ADB" w:rsidRPr="008E5ADB" w:rsidRDefault="008E5ADB" w:rsidP="008E5ADB">
      <w:pPr>
        <w:spacing w:after="240" w:line="240" w:lineRule="auto"/>
        <w:jc w:val="both"/>
        <w:rPr>
          <w:lang w:val="en-NZ"/>
        </w:rPr>
      </w:pPr>
      <w:r w:rsidRPr="008E5ADB">
        <w:rPr>
          <w:lang w:val="en-NZ"/>
        </w:rPr>
        <w:t>Much higher up-front purchase and installation costs for options such as solar water heating and heat pump water heating can outweigh the benefits from their lower running costs.</w:t>
      </w:r>
    </w:p>
    <w:p w14:paraId="5285CDFB" w14:textId="719B6075" w:rsidR="008E5ADB" w:rsidRPr="00127A96" w:rsidRDefault="008E5ADB" w:rsidP="00127A96">
      <w:pPr>
        <w:spacing w:after="240" w:line="240" w:lineRule="auto"/>
        <w:jc w:val="both"/>
      </w:pPr>
      <w:r w:rsidRPr="008E5ADB">
        <w:lastRenderedPageBreak/>
        <w:t>Wood’s use, via wet-backs, remains very small but steady during the study period.  Wetback options continue to be available even as burner emission standards tighten.</w:t>
      </w:r>
      <w:r w:rsidR="00127A96" w:rsidRPr="00127A96">
        <w:t xml:space="preserve"> </w:t>
      </w:r>
      <w:r w:rsidR="00127A96">
        <w:t>Graph 4</w:t>
      </w:r>
      <w:r w:rsidR="00127A96" w:rsidRPr="00127A96">
        <w:t xml:space="preserve"> shows the energy use of each type of water heater and forecast to 2030.</w:t>
      </w:r>
    </w:p>
    <w:p w14:paraId="045638DA" w14:textId="77777777" w:rsidR="00460FBB" w:rsidRDefault="00460FBB" w:rsidP="008E5ADB">
      <w:pPr>
        <w:spacing w:after="240" w:line="240" w:lineRule="auto"/>
        <w:jc w:val="both"/>
        <w:rPr>
          <w:b/>
          <w:sz w:val="20"/>
        </w:rPr>
      </w:pPr>
    </w:p>
    <w:p w14:paraId="6F374D9F" w14:textId="77777777" w:rsidR="00460FBB" w:rsidRDefault="00460FBB" w:rsidP="008E5ADB">
      <w:pPr>
        <w:spacing w:after="240" w:line="240" w:lineRule="auto"/>
        <w:jc w:val="both"/>
        <w:rPr>
          <w:b/>
          <w:sz w:val="20"/>
        </w:rPr>
      </w:pPr>
    </w:p>
    <w:p w14:paraId="62C2E537" w14:textId="77777777" w:rsidR="00460FBB" w:rsidRDefault="00460FBB" w:rsidP="008E5ADB">
      <w:pPr>
        <w:spacing w:after="240" w:line="240" w:lineRule="auto"/>
        <w:jc w:val="both"/>
        <w:rPr>
          <w:b/>
          <w:sz w:val="20"/>
        </w:rPr>
      </w:pPr>
    </w:p>
    <w:p w14:paraId="46439F75" w14:textId="77777777" w:rsidR="00460FBB" w:rsidRDefault="00460FBB" w:rsidP="008E5ADB">
      <w:pPr>
        <w:spacing w:after="240" w:line="240" w:lineRule="auto"/>
        <w:jc w:val="both"/>
        <w:rPr>
          <w:b/>
          <w:sz w:val="20"/>
        </w:rPr>
      </w:pPr>
    </w:p>
    <w:p w14:paraId="35F96587" w14:textId="77777777" w:rsidR="00460FBB" w:rsidRDefault="00460FBB" w:rsidP="008E5ADB">
      <w:pPr>
        <w:spacing w:after="240" w:line="240" w:lineRule="auto"/>
        <w:jc w:val="both"/>
        <w:rPr>
          <w:b/>
          <w:sz w:val="20"/>
        </w:rPr>
      </w:pPr>
    </w:p>
    <w:p w14:paraId="57820571" w14:textId="77777777" w:rsidR="00460FBB" w:rsidRDefault="00460FBB" w:rsidP="008E5ADB">
      <w:pPr>
        <w:spacing w:after="240" w:line="240" w:lineRule="auto"/>
        <w:jc w:val="both"/>
        <w:rPr>
          <w:b/>
          <w:sz w:val="20"/>
        </w:rPr>
      </w:pPr>
    </w:p>
    <w:p w14:paraId="20DAB6E6" w14:textId="77777777" w:rsidR="00460FBB" w:rsidRDefault="00460FBB" w:rsidP="008E5ADB">
      <w:pPr>
        <w:spacing w:after="240" w:line="240" w:lineRule="auto"/>
        <w:jc w:val="both"/>
        <w:rPr>
          <w:b/>
          <w:sz w:val="20"/>
        </w:rPr>
      </w:pPr>
    </w:p>
    <w:p w14:paraId="69417FF0" w14:textId="77777777" w:rsidR="00460FBB" w:rsidRDefault="00460FBB" w:rsidP="008E5ADB">
      <w:pPr>
        <w:spacing w:after="240" w:line="240" w:lineRule="auto"/>
        <w:jc w:val="both"/>
        <w:rPr>
          <w:b/>
          <w:sz w:val="20"/>
        </w:rPr>
      </w:pPr>
    </w:p>
    <w:p w14:paraId="4E2BD866" w14:textId="77777777" w:rsidR="00460FBB" w:rsidRDefault="00460FBB" w:rsidP="008E5ADB">
      <w:pPr>
        <w:spacing w:after="240" w:line="240" w:lineRule="auto"/>
        <w:jc w:val="both"/>
        <w:rPr>
          <w:b/>
          <w:sz w:val="20"/>
        </w:rPr>
      </w:pPr>
    </w:p>
    <w:p w14:paraId="6C74A995" w14:textId="77777777" w:rsidR="00460FBB" w:rsidRDefault="00460FBB" w:rsidP="008E5ADB">
      <w:pPr>
        <w:spacing w:after="240" w:line="240" w:lineRule="auto"/>
        <w:jc w:val="both"/>
        <w:rPr>
          <w:b/>
          <w:sz w:val="20"/>
        </w:rPr>
      </w:pPr>
    </w:p>
    <w:p w14:paraId="11730091" w14:textId="296395C0" w:rsidR="008E5ADB" w:rsidRPr="00956EFF" w:rsidRDefault="008E5ADB" w:rsidP="008E5ADB">
      <w:pPr>
        <w:spacing w:after="240" w:line="240" w:lineRule="auto"/>
        <w:jc w:val="both"/>
        <w:rPr>
          <w:b/>
          <w:i/>
          <w:iCs/>
          <w:sz w:val="20"/>
        </w:rPr>
      </w:pPr>
      <w:r w:rsidRPr="00956EFF">
        <w:rPr>
          <w:b/>
          <w:sz w:val="20"/>
        </w:rPr>
        <w:t xml:space="preserve">Graph </w:t>
      </w:r>
      <w:r w:rsidRPr="008E5ADB">
        <w:rPr>
          <w:b/>
          <w:sz w:val="20"/>
        </w:rPr>
        <w:t>4</w:t>
      </w:r>
      <w:r w:rsidRPr="00956EFF">
        <w:rPr>
          <w:b/>
          <w:sz w:val="20"/>
        </w:rPr>
        <w:t xml:space="preserve">: </w:t>
      </w:r>
      <w:r w:rsidRPr="00956EFF">
        <w:rPr>
          <w:sz w:val="20"/>
        </w:rPr>
        <w:t xml:space="preserve">Water Heating Energy Use by Product Group- </w:t>
      </w:r>
      <w:r>
        <w:rPr>
          <w:sz w:val="20"/>
        </w:rPr>
        <w:t>New Zealand</w:t>
      </w:r>
      <w:r w:rsidRPr="00956EFF">
        <w:rPr>
          <w:sz w:val="20"/>
        </w:rPr>
        <w:t xml:space="preserve"> 2000 - 2030</w:t>
      </w:r>
    </w:p>
    <w:p w14:paraId="35740AA8" w14:textId="44F6D55F" w:rsidR="008E5ADB" w:rsidRPr="0061350C" w:rsidRDefault="008E5ADB" w:rsidP="00B86391">
      <w:pPr>
        <w:spacing w:after="240" w:line="240" w:lineRule="auto"/>
        <w:jc w:val="both"/>
      </w:pPr>
      <w:r w:rsidRPr="00944D44">
        <w:rPr>
          <w:noProof/>
          <w:lang w:val="en-NZ" w:eastAsia="en-NZ"/>
        </w:rPr>
        <w:drawing>
          <wp:inline distT="0" distB="0" distL="0" distR="0" wp14:anchorId="4C6472DB" wp14:editId="1B4BA565">
            <wp:extent cx="5868670" cy="3845099"/>
            <wp:effectExtent l="0" t="0" r="0" b="3175"/>
            <wp:docPr id="40" name="Picture 40" descr="This graph shows the energy use of each type of water heater and forecast to 2030.&#10;Source - DIS 2015, Residential Energy Baseline Study: Australia, Department of the Industry and Science, Canberra, Australia, prepared by EnergyConsult, August 2015" title="Water Heating Energy Use by Product Group - New Zealand 2000 - 20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28" cstate="email">
                      <a:extLst>
                        <a:ext uri="{28A0092B-C50C-407E-A947-70E740481C1C}">
                          <a14:useLocalDpi xmlns:a14="http://schemas.microsoft.com/office/drawing/2010/main"/>
                        </a:ext>
                      </a:extLst>
                    </a:blip>
                    <a:srcRect/>
                    <a:stretch>
                      <a:fillRect/>
                    </a:stretch>
                  </pic:blipFill>
                  <pic:spPr bwMode="auto">
                    <a:xfrm>
                      <a:off x="0" y="0"/>
                      <a:ext cx="5868670" cy="3845099"/>
                    </a:xfrm>
                    <a:prstGeom prst="rect">
                      <a:avLst/>
                    </a:prstGeom>
                    <a:noFill/>
                    <a:ln>
                      <a:noFill/>
                    </a:ln>
                  </pic:spPr>
                </pic:pic>
              </a:graphicData>
            </a:graphic>
          </wp:inline>
        </w:drawing>
      </w:r>
    </w:p>
    <w:p w14:paraId="08B6E6D3" w14:textId="54806A5D" w:rsidR="00CE0784" w:rsidRDefault="00CE0784" w:rsidP="00CE0784">
      <w:pPr>
        <w:pStyle w:val="Heading2"/>
      </w:pPr>
      <w:r>
        <w:t>Differences between Australia and New Zealand</w:t>
      </w:r>
    </w:p>
    <w:p w14:paraId="26A28C54" w14:textId="77777777" w:rsidR="00CE0784" w:rsidRDefault="00CE0784" w:rsidP="00B86391">
      <w:pPr>
        <w:jc w:val="both"/>
        <w:rPr>
          <w:lang w:val="en-NZ"/>
        </w:rPr>
      </w:pPr>
    </w:p>
    <w:p w14:paraId="1B7DA040" w14:textId="74F9E30F" w:rsidR="00B86391" w:rsidRPr="00B86391" w:rsidRDefault="00D753B7" w:rsidP="00B86391">
      <w:pPr>
        <w:jc w:val="both"/>
        <w:rPr>
          <w:lang w:val="en-NZ"/>
        </w:rPr>
      </w:pPr>
      <w:r>
        <w:rPr>
          <w:lang w:val="en-NZ"/>
        </w:rPr>
        <w:t>Hot w</w:t>
      </w:r>
      <w:r w:rsidR="00B86391" w:rsidRPr="00B86391">
        <w:rPr>
          <w:lang w:val="en-NZ"/>
        </w:rPr>
        <w:t>ater cylinders in N</w:t>
      </w:r>
      <w:r w:rsidR="00CE0784">
        <w:rPr>
          <w:lang w:val="en-NZ"/>
        </w:rPr>
        <w:t xml:space="preserve">ew </w:t>
      </w:r>
      <w:r w:rsidR="00B86391" w:rsidRPr="00B86391">
        <w:rPr>
          <w:lang w:val="en-NZ"/>
        </w:rPr>
        <w:t>Z</w:t>
      </w:r>
      <w:r w:rsidR="00CE0784">
        <w:rPr>
          <w:lang w:val="en-NZ"/>
        </w:rPr>
        <w:t>ealand</w:t>
      </w:r>
      <w:r w:rsidR="00B86391" w:rsidRPr="00B86391">
        <w:rPr>
          <w:lang w:val="en-NZ"/>
        </w:rPr>
        <w:t xml:space="preserve"> are generally located in a cupboard (“the cylinder cupboard”) which is centrally located in the home. </w:t>
      </w:r>
    </w:p>
    <w:p w14:paraId="3D797511" w14:textId="61F6F751" w:rsidR="00B86391" w:rsidRPr="00B86391" w:rsidRDefault="00B86391" w:rsidP="00B86391">
      <w:pPr>
        <w:jc w:val="both"/>
        <w:rPr>
          <w:lang w:val="en-NZ"/>
        </w:rPr>
      </w:pPr>
      <w:r w:rsidRPr="00B86391">
        <w:rPr>
          <w:lang w:val="en-NZ"/>
        </w:rPr>
        <w:t xml:space="preserve">In Australia, the majority (61%) of hot water storage </w:t>
      </w:r>
      <w:r w:rsidR="00D753B7">
        <w:rPr>
          <w:lang w:val="en-NZ"/>
        </w:rPr>
        <w:t>cylinder</w:t>
      </w:r>
      <w:r w:rsidRPr="00B86391">
        <w:rPr>
          <w:lang w:val="en-NZ"/>
        </w:rPr>
        <w:t xml:space="preserve">s are located outside the house, in the open-air; this ranges from a high 78% in South Australia down to 47% in New South </w:t>
      </w:r>
      <w:r w:rsidRPr="00B86391">
        <w:rPr>
          <w:lang w:val="en-NZ"/>
        </w:rPr>
        <w:lastRenderedPageBreak/>
        <w:t xml:space="preserve">Wales.  Thirty per cent of Australian </w:t>
      </w:r>
      <w:r w:rsidR="00D753B7">
        <w:rPr>
          <w:lang w:val="en-NZ"/>
        </w:rPr>
        <w:t>cylinder</w:t>
      </w:r>
      <w:r w:rsidRPr="00B86391">
        <w:rPr>
          <w:lang w:val="en-NZ"/>
        </w:rPr>
        <w:t>s are located elsewhere inside the house or garage, with the remaining 9% located in the ceiling or roof space.</w:t>
      </w:r>
    </w:p>
    <w:p w14:paraId="778CE164" w14:textId="16F21652" w:rsidR="00B86391" w:rsidRPr="00B86391" w:rsidRDefault="00B86391" w:rsidP="00B86391">
      <w:pPr>
        <w:jc w:val="both"/>
        <w:rPr>
          <w:lang w:val="en-NZ"/>
        </w:rPr>
      </w:pPr>
      <w:r w:rsidRPr="00B86391">
        <w:rPr>
          <w:lang w:val="en-NZ"/>
        </w:rPr>
        <w:t>N</w:t>
      </w:r>
      <w:r w:rsidR="00CE0784">
        <w:rPr>
          <w:lang w:val="en-NZ"/>
        </w:rPr>
        <w:t xml:space="preserve">ew </w:t>
      </w:r>
      <w:r w:rsidRPr="00B86391">
        <w:rPr>
          <w:lang w:val="en-NZ"/>
        </w:rPr>
        <w:t>Z</w:t>
      </w:r>
      <w:r w:rsidR="00CE0784">
        <w:rPr>
          <w:lang w:val="en-NZ"/>
        </w:rPr>
        <w:t>ealand</w:t>
      </w:r>
      <w:r w:rsidRPr="00B86391">
        <w:rPr>
          <w:lang w:val="en-NZ"/>
        </w:rPr>
        <w:t xml:space="preserve"> has a natural gas transmission network including pipelines covering 2500km and extending from the New Plymouth area to Whangarei in the north, Taupo centrally, to Gisborne and Napier in the east, and to Wellington in the south.</w:t>
      </w:r>
    </w:p>
    <w:p w14:paraId="72AFBFD2" w14:textId="0730F0EA" w:rsidR="00B86391" w:rsidRPr="00B86391" w:rsidRDefault="00B86391" w:rsidP="00B86391">
      <w:pPr>
        <w:jc w:val="both"/>
        <w:rPr>
          <w:lang w:val="en-NZ"/>
        </w:rPr>
      </w:pPr>
      <w:r w:rsidRPr="00B86391">
        <w:rPr>
          <w:lang w:val="en-NZ"/>
        </w:rPr>
        <w:t>In other parts of N</w:t>
      </w:r>
      <w:r w:rsidR="00CE0784">
        <w:rPr>
          <w:lang w:val="en-NZ"/>
        </w:rPr>
        <w:t xml:space="preserve">ew </w:t>
      </w:r>
      <w:r w:rsidRPr="00B86391">
        <w:rPr>
          <w:lang w:val="en-NZ"/>
        </w:rPr>
        <w:t>Z</w:t>
      </w:r>
      <w:r w:rsidR="00CE0784">
        <w:rPr>
          <w:lang w:val="en-NZ"/>
        </w:rPr>
        <w:t>ealand</w:t>
      </w:r>
      <w:r w:rsidRPr="00B86391">
        <w:rPr>
          <w:lang w:val="en-NZ"/>
        </w:rPr>
        <w:t xml:space="preserve"> gas water heating relies on mainly bottled LPG with some small local LPG reticulation networks.</w:t>
      </w:r>
    </w:p>
    <w:p w14:paraId="5B5EDD4A" w14:textId="77777777" w:rsidR="00B86391" w:rsidRPr="00B86391" w:rsidRDefault="00B86391" w:rsidP="00B86391">
      <w:pPr>
        <w:jc w:val="both"/>
        <w:rPr>
          <w:lang w:val="en-NZ"/>
        </w:rPr>
      </w:pPr>
      <w:r w:rsidRPr="00B86391">
        <w:rPr>
          <w:lang w:val="en-NZ"/>
        </w:rPr>
        <w:t>The availability of gas varies from state to state in Australia with the result that gas water heaters are more popular in VIC, WA, SA and ACT, with moderate penetration in NSW and QLD.  Gas water heating is relatively uncommon in NT and TAS.</w:t>
      </w:r>
    </w:p>
    <w:p w14:paraId="615C3F6A" w14:textId="15BDD907" w:rsidR="00B86391" w:rsidRPr="00B86391" w:rsidRDefault="00B86391" w:rsidP="00B86391">
      <w:pPr>
        <w:jc w:val="both"/>
        <w:rPr>
          <w:lang w:val="en-NZ"/>
        </w:rPr>
      </w:pPr>
      <w:r w:rsidRPr="00B86391">
        <w:rPr>
          <w:lang w:val="en-NZ"/>
        </w:rPr>
        <w:t>Electricity generation in N</w:t>
      </w:r>
      <w:r w:rsidR="00CE0784">
        <w:rPr>
          <w:lang w:val="en-NZ"/>
        </w:rPr>
        <w:t xml:space="preserve">ew </w:t>
      </w:r>
      <w:r w:rsidRPr="00B86391">
        <w:rPr>
          <w:lang w:val="en-NZ"/>
        </w:rPr>
        <w:t>Z</w:t>
      </w:r>
      <w:r w:rsidR="00CE0784">
        <w:rPr>
          <w:lang w:val="en-NZ"/>
        </w:rPr>
        <w:t>ealand</w:t>
      </w:r>
      <w:r w:rsidRPr="00B86391">
        <w:rPr>
          <w:lang w:val="en-NZ"/>
        </w:rPr>
        <w:t xml:space="preserve"> is largely renewable based (hydro, geothermal and wind) and typically renewable sources represent around 85% of total electricity generation.</w:t>
      </w:r>
    </w:p>
    <w:p w14:paraId="2AF9B60D" w14:textId="77777777" w:rsidR="00B86391" w:rsidRPr="00B86391" w:rsidRDefault="00B86391" w:rsidP="00B86391">
      <w:pPr>
        <w:jc w:val="both"/>
        <w:rPr>
          <w:lang w:val="en-NZ"/>
        </w:rPr>
      </w:pPr>
      <w:r w:rsidRPr="00B86391">
        <w:rPr>
          <w:lang w:val="en-NZ"/>
        </w:rPr>
        <w:t>Statistics on renewable electricity generation in Australia are essentially the opposite of NZ with 86% of generation being from fossil fuels (mostly coal).  Renewable generation comprises the remaining 14%, half of which is from hydro and the balance coming from wind, bio-energy and rooftop solar. This difference in electricity generation has a fundamental impact on the carbon and GHG impacts of different water heating choices in the two countries.</w:t>
      </w:r>
    </w:p>
    <w:p w14:paraId="018F88EE" w14:textId="4A2BE841" w:rsidR="008E5ADB" w:rsidRDefault="00096E92" w:rsidP="008E5ADB">
      <w:pPr>
        <w:pStyle w:val="Heading2"/>
      </w:pPr>
      <w:r>
        <w:t>The b</w:t>
      </w:r>
      <w:r w:rsidR="008E5ADB">
        <w:t>arriers</w:t>
      </w:r>
      <w:r>
        <w:t xml:space="preserve"> in Australia and New Zealand</w:t>
      </w:r>
    </w:p>
    <w:p w14:paraId="0D0B95B7" w14:textId="32217656" w:rsidR="00B73325" w:rsidRDefault="00B86391" w:rsidP="00A17357">
      <w:pPr>
        <w:jc w:val="both"/>
      </w:pPr>
      <w:r>
        <w:t>The barrier</w:t>
      </w:r>
      <w:r w:rsidR="00B73325">
        <w:t xml:space="preserve"> </w:t>
      </w:r>
      <w:r>
        <w:t xml:space="preserve">in both countries </w:t>
      </w:r>
      <w:r w:rsidR="00096E92">
        <w:t>are</w:t>
      </w:r>
      <w:r w:rsidR="00B73325">
        <w:t xml:space="preserve"> split incentives, where the person making the purchase decision will not be paying the energy bills. This occurs in the new home market where builders tend to adopt water heating options with the lowest capital cost</w:t>
      </w:r>
      <w:r w:rsidR="00632F34">
        <w:t xml:space="preserve"> consistent with consumer fuel preferences</w:t>
      </w:r>
      <w:r w:rsidR="00B73325">
        <w:t xml:space="preserve">, without considering the life cycle costs.  </w:t>
      </w:r>
      <w:r w:rsidR="00F439FB" w:rsidRPr="00F439FB">
        <w:t xml:space="preserve"> It also occurs when the home owner defers the choice of water heater to the plumber, which is quite common.</w:t>
      </w:r>
      <w:r w:rsidR="00F439FB">
        <w:t xml:space="preserve"> </w:t>
      </w:r>
      <w:r w:rsidR="00B73325">
        <w:t>The new home owner is responsible for the ongoing operating costs, and the product with the lowest capital cost will typically cost more to operate over its lifetime.  This also occurs in rental properties, where the landlord selects the lowest capital cost replacement water heater and the renter pays the energy bills.</w:t>
      </w:r>
    </w:p>
    <w:p w14:paraId="107B3AD1" w14:textId="029D4B2A" w:rsidR="00B73325" w:rsidRDefault="00B86391" w:rsidP="00A17357">
      <w:pPr>
        <w:jc w:val="both"/>
      </w:pPr>
      <w:r>
        <w:t>Another barrier in both countries is p</w:t>
      </w:r>
      <w:r w:rsidR="00B73325">
        <w:t xml:space="preserve">resent bias. This is the tendency of consumers to place more value on immediate rewards, at the expense of long-term benefits.  Due to limited time or financial constraints, buyers are more likely to make choices that are not in their longer term best interest.  This is especially true when a water heater fails, as decisions are made </w:t>
      </w:r>
      <w:r w:rsidR="00DC4718">
        <w:t>quickly</w:t>
      </w:r>
      <w:r w:rsidR="00B73325">
        <w:t xml:space="preserve"> and tend to be based on immediate cost and the need to restore hot water as quickly as possible.  </w:t>
      </w:r>
    </w:p>
    <w:p w14:paraId="628C1347" w14:textId="28AB0107" w:rsidR="00B73325" w:rsidRDefault="00B73325" w:rsidP="00A17357">
      <w:pPr>
        <w:jc w:val="both"/>
      </w:pPr>
      <w:r>
        <w:t xml:space="preserve">Minimum energy performance standards can </w:t>
      </w:r>
      <w:r w:rsidR="00DC4718">
        <w:t>reduced</w:t>
      </w:r>
      <w:r>
        <w:t xml:space="preserve"> these barriers by raising the average performance of water heaters in the market regardless of purchase considerations. However, the existing MEPS apply only to gas water heaters and electric water heaters and have not been updated in some time.</w:t>
      </w:r>
      <w:r w:rsidR="00F439FB" w:rsidRPr="00F439FB">
        <w:t xml:space="preserve"> Installation requirements under the </w:t>
      </w:r>
      <w:r w:rsidR="00C76147">
        <w:t>National Construction C</w:t>
      </w:r>
      <w:r w:rsidR="00F439FB" w:rsidRPr="00F439FB">
        <w:t>ode</w:t>
      </w:r>
      <w:r w:rsidR="006B1614">
        <w:t xml:space="preserve"> (NCC)</w:t>
      </w:r>
      <w:r w:rsidR="00F439FB" w:rsidRPr="00F439FB">
        <w:t xml:space="preserve"> are also a powerful policy tool for addressing these barriers for new houses, </w:t>
      </w:r>
      <w:r w:rsidR="00F439FB">
        <w:t>however, this program of work will not look at this</w:t>
      </w:r>
      <w:r w:rsidR="00AB0030">
        <w:t xml:space="preserve">. In Australia, water heating requirements </w:t>
      </w:r>
      <w:r w:rsidR="00AB0030">
        <w:lastRenderedPageBreak/>
        <w:t>for new dwellings are contained in the National Construction Code</w:t>
      </w:r>
      <w:r w:rsidR="00F439FB">
        <w:t>,</w:t>
      </w:r>
      <w:r w:rsidR="00AB0030">
        <w:t xml:space="preserve"> and some jurisdictions have variations to the national requirements (e.g. Victoria).</w:t>
      </w:r>
      <w:r w:rsidR="00F439FB">
        <w:t xml:space="preserve"> </w:t>
      </w:r>
    </w:p>
    <w:p w14:paraId="32CC8334" w14:textId="62BF6835" w:rsidR="00B73325" w:rsidRDefault="00B73325" w:rsidP="00A17357">
      <w:pPr>
        <w:jc w:val="both"/>
      </w:pPr>
      <w:r>
        <w:t>Even where the consumer wishes to make a considered purchase, they lack comprehensive information on the running costs, energy performance, and greenhouse gas emissions of different types of water heaters.  The Gas Energy Label applies to gas water heaters in Australia (and is often applied to products in New Zealand), and Small-scale Technology Certificates under Australia’s Renewable Energy Target serve as de-facto ratings for solar and heat pump water heaters (the more certificates that apply</w:t>
      </w:r>
      <w:r w:rsidR="00632F34">
        <w:t xml:space="preserve"> in a particular zone</w:t>
      </w:r>
      <w:r>
        <w:t xml:space="preserve">, the better).  However, these measures do not apply across all water heating technologies, and do not provide comprehensive information to consumers. </w:t>
      </w:r>
      <w:r w:rsidR="00BC2D14">
        <w:t xml:space="preserve">It also doesn’t allow consumers to compare across the technology types. </w:t>
      </w:r>
      <w:r>
        <w:t xml:space="preserve"> </w:t>
      </w:r>
    </w:p>
    <w:p w14:paraId="6AD237C2" w14:textId="78C07743" w:rsidR="00B73325" w:rsidRDefault="00B73325" w:rsidP="00A17357">
      <w:pPr>
        <w:jc w:val="both"/>
      </w:pPr>
      <w:r>
        <w:t>Some of the major water heater manufacturers, suppliers and merchants have their own cost comparison tools and guides, but there is no comprehensive listing of these available to consumers.  Simple comparison calculators are available in New Zealand on EECA’s website and in South Australia (SA) on the SA Government’s website, which allow users to enter different search parameters but cannot provide information specific to individual models.  Ideally, consumers should be able to search by different models and factor in such variables as household size</w:t>
      </w:r>
      <w:r w:rsidR="00631A0A">
        <w:t xml:space="preserve"> and hot water usage details</w:t>
      </w:r>
      <w:r>
        <w:t xml:space="preserve">, energy tariffs and climate zone to get tailored information on what option best suits their household. </w:t>
      </w:r>
    </w:p>
    <w:p w14:paraId="7FF6F147" w14:textId="6F77234E" w:rsidR="0069723E" w:rsidRDefault="008E5ADB" w:rsidP="008E5ADB">
      <w:pPr>
        <w:jc w:val="both"/>
      </w:pPr>
      <w:r w:rsidRPr="009E5928">
        <w:t xml:space="preserve">There </w:t>
      </w:r>
      <w:r w:rsidR="00594085" w:rsidRPr="009E5928">
        <w:t>is potential</w:t>
      </w:r>
      <w:r w:rsidR="00B73325" w:rsidRPr="009E5928">
        <w:t xml:space="preserve"> of smart technology</w:t>
      </w:r>
      <w:r w:rsidR="00C176D8">
        <w:t xml:space="preserve"> or controls</w:t>
      </w:r>
      <w:r w:rsidR="00B73325" w:rsidRPr="009E5928">
        <w:t xml:space="preserve"> to promote energy conservation and reduce peak demand is largely untapped</w:t>
      </w:r>
      <w:r w:rsidR="00837F6F" w:rsidRPr="009E5928">
        <w:t xml:space="preserve"> (this will need further investigation of peak demand in different jurisdiction</w:t>
      </w:r>
      <w:r w:rsidR="00851C1E">
        <w:t>s</w:t>
      </w:r>
      <w:r w:rsidR="00837F6F" w:rsidRPr="009E5928">
        <w:t xml:space="preserve"> and the cost and benefits of reduction)</w:t>
      </w:r>
      <w:r w:rsidR="00B73325" w:rsidRPr="009E5928">
        <w:t xml:space="preserve">. </w:t>
      </w:r>
      <w:r w:rsidR="0069723E">
        <w:t xml:space="preserve">In this context smart technology or smart controls are inbuilt into a hot water system and can predict demand, and service </w:t>
      </w:r>
      <w:r w:rsidR="00C176D8">
        <w:t xml:space="preserve">demand </w:t>
      </w:r>
      <w:r w:rsidR="0069723E">
        <w:t xml:space="preserve">in a household in the most cost effective and efficient way. This could range from </w:t>
      </w:r>
      <w:r w:rsidR="0069723E" w:rsidRPr="0069723E">
        <w:t>algorithms that can predict demand for hot wa</w:t>
      </w:r>
      <w:r w:rsidR="0069723E">
        <w:t>ter</w:t>
      </w:r>
      <w:r w:rsidR="00F23986">
        <w:t>,</w:t>
      </w:r>
      <w:r w:rsidR="0069723E">
        <w:t xml:space="preserve"> and heat just enough water,</w:t>
      </w:r>
      <w:r w:rsidR="00F23986">
        <w:t xml:space="preserve"> or</w:t>
      </w:r>
      <w:r w:rsidR="0069723E">
        <w:t xml:space="preserve"> </w:t>
      </w:r>
      <w:r w:rsidR="0069723E" w:rsidRPr="0069723E">
        <w:t>intelligent thermostats that could adjust thermostat settings to reduce</w:t>
      </w:r>
      <w:r w:rsidR="0069723E">
        <w:t xml:space="preserve"> standing losses where possible, and</w:t>
      </w:r>
      <w:r w:rsidR="00C176D8">
        <w:t xml:space="preserve"> possibly even</w:t>
      </w:r>
      <w:r w:rsidR="0069723E">
        <w:t xml:space="preserve"> </w:t>
      </w:r>
      <w:r w:rsidR="0069723E" w:rsidRPr="0069723E">
        <w:t>water heaters with a demand response interface</w:t>
      </w:r>
      <w:r w:rsidR="00F23986">
        <w:t xml:space="preserve"> on the system itself</w:t>
      </w:r>
      <w:r w:rsidR="0069723E">
        <w:t>.</w:t>
      </w:r>
      <w:r w:rsidR="00C176D8">
        <w:t xml:space="preserve"> Understanding the commercial context and viability of smart technologies</w:t>
      </w:r>
      <w:r w:rsidR="00F23986">
        <w:t xml:space="preserve"> or controls</w:t>
      </w:r>
      <w:r w:rsidR="00C176D8">
        <w:t xml:space="preserve"> will </w:t>
      </w:r>
      <w:r w:rsidR="000B1CDC">
        <w:t>need further investigation</w:t>
      </w:r>
      <w:r w:rsidR="00C176D8">
        <w:t>.</w:t>
      </w:r>
    </w:p>
    <w:p w14:paraId="6A66D4A5" w14:textId="267AB67E" w:rsidR="007F7AD6" w:rsidRPr="007F7AD6" w:rsidRDefault="00B73325" w:rsidP="007F7AD6">
      <w:pPr>
        <w:jc w:val="both"/>
      </w:pPr>
      <w:r w:rsidRPr="009E5928">
        <w:t xml:space="preserve">There </w:t>
      </w:r>
      <w:r w:rsidR="007F7AD6">
        <w:t>may</w:t>
      </w:r>
      <w:r w:rsidR="000B1CDC">
        <w:t xml:space="preserve"> also</w:t>
      </w:r>
      <w:r w:rsidR="007F7AD6" w:rsidRPr="009E5928">
        <w:t xml:space="preserve"> </w:t>
      </w:r>
      <w:r w:rsidR="007F7AD6">
        <w:t>be</w:t>
      </w:r>
      <w:r w:rsidRPr="009E5928">
        <w:t xml:space="preserve"> a lack of understanding about how consumers can best utilise smart</w:t>
      </w:r>
      <w:r w:rsidR="007F7AD6">
        <w:t xml:space="preserve"> technology or</w:t>
      </w:r>
      <w:r w:rsidRPr="009E5928">
        <w:t xml:space="preserve"> controls to save on energy costs. An endorsement </w:t>
      </w:r>
      <w:r w:rsidR="007F7AD6">
        <w:t xml:space="preserve">scheme or </w:t>
      </w:r>
      <w:r w:rsidRPr="009E5928">
        <w:t>label for water heaters with smart capabilities could go some way towards addressing this</w:t>
      </w:r>
      <w:r w:rsidR="006B1614">
        <w:t xml:space="preserve">, however, at this stage </w:t>
      </w:r>
      <w:r w:rsidR="009623E9">
        <w:t>information is limited</w:t>
      </w:r>
      <w:r w:rsidR="00A521B8">
        <w:t xml:space="preserve"> on this potential</w:t>
      </w:r>
      <w:r w:rsidR="006B1614">
        <w:t xml:space="preserve">. </w:t>
      </w:r>
      <w:r w:rsidR="007F7AD6">
        <w:t>There</w:t>
      </w:r>
      <w:r w:rsidR="007F7AD6" w:rsidRPr="007F7AD6">
        <w:t xml:space="preserve"> will</w:t>
      </w:r>
      <w:r w:rsidR="007F7AD6">
        <w:t xml:space="preserve"> be further investigation into</w:t>
      </w:r>
      <w:r w:rsidR="00A521B8">
        <w:t xml:space="preserve"> the potential of</w:t>
      </w:r>
      <w:r w:rsidR="007F7AD6" w:rsidRPr="007F7AD6">
        <w:t xml:space="preserve"> smart</w:t>
      </w:r>
      <w:r w:rsidR="007F7AD6">
        <w:t xml:space="preserve"> technologies or</w:t>
      </w:r>
      <w:r w:rsidR="007F7AD6" w:rsidRPr="007F7AD6">
        <w:t xml:space="preserve"> controls for </w:t>
      </w:r>
      <w:r w:rsidR="007F7AD6">
        <w:t xml:space="preserve">hot </w:t>
      </w:r>
      <w:r w:rsidR="007F7AD6" w:rsidRPr="007F7AD6">
        <w:t>water heater</w:t>
      </w:r>
      <w:r w:rsidR="007F7AD6">
        <w:t>s</w:t>
      </w:r>
      <w:r w:rsidR="007F7AD6" w:rsidRPr="007F7AD6">
        <w:t xml:space="preserve"> (e.</w:t>
      </w:r>
      <w:r w:rsidR="007F7AD6">
        <w:t>g.</w:t>
      </w:r>
      <w:r w:rsidR="007F7AD6" w:rsidRPr="007F7AD6">
        <w:t xml:space="preserve"> what are they, what is commercially available or in development</w:t>
      </w:r>
      <w:r w:rsidR="007F7AD6">
        <w:t xml:space="preserve"> and</w:t>
      </w:r>
      <w:r w:rsidR="007F7AD6" w:rsidRPr="007F7AD6">
        <w:t xml:space="preserve"> w</w:t>
      </w:r>
      <w:r w:rsidR="007F7AD6">
        <w:t xml:space="preserve">hat are </w:t>
      </w:r>
      <w:r w:rsidR="00A521B8">
        <w:t>cost and benefits</w:t>
      </w:r>
      <w:r w:rsidR="009623E9">
        <w:t xml:space="preserve"> to their uptake</w:t>
      </w:r>
      <w:r w:rsidR="007F7AD6">
        <w:t>)</w:t>
      </w:r>
      <w:r w:rsidR="007F7AD6" w:rsidRPr="007F7AD6">
        <w:t xml:space="preserve"> </w:t>
      </w:r>
      <w:r w:rsidR="007F7AD6">
        <w:t>to</w:t>
      </w:r>
      <w:r w:rsidR="009623E9">
        <w:t xml:space="preserve"> be</w:t>
      </w:r>
      <w:r w:rsidR="007F7AD6">
        <w:t xml:space="preserve"> consider</w:t>
      </w:r>
      <w:r w:rsidR="009623E9">
        <w:t xml:space="preserve">ed </w:t>
      </w:r>
      <w:r w:rsidR="000B1CDC">
        <w:t xml:space="preserve">or </w:t>
      </w:r>
      <w:r w:rsidR="009623E9">
        <w:t>included as a potential option.</w:t>
      </w:r>
      <w:r w:rsidR="007F7AD6" w:rsidRPr="007F7AD6">
        <w:t xml:space="preserve"> </w:t>
      </w:r>
    </w:p>
    <w:p w14:paraId="76A05A68" w14:textId="77777777" w:rsidR="007F7AD6" w:rsidRDefault="007F7AD6" w:rsidP="008E5ADB">
      <w:pPr>
        <w:jc w:val="both"/>
      </w:pPr>
    </w:p>
    <w:p w14:paraId="366C73DA" w14:textId="77777777" w:rsidR="00B86391" w:rsidRDefault="00B86391" w:rsidP="00B86391">
      <w:pPr>
        <w:jc w:val="both"/>
      </w:pPr>
    </w:p>
    <w:p w14:paraId="4DEF9591" w14:textId="77777777" w:rsidR="0066079D" w:rsidRPr="00CA148C" w:rsidRDefault="0066079D" w:rsidP="00A720F5">
      <w:pPr>
        <w:pStyle w:val="Heading1"/>
      </w:pPr>
      <w:r>
        <w:lastRenderedPageBreak/>
        <w:t>Existing policies relating to water heaters</w:t>
      </w:r>
    </w:p>
    <w:p w14:paraId="7B49C360" w14:textId="77777777" w:rsidR="0066079D" w:rsidRDefault="0066079D" w:rsidP="00A720F5">
      <w:pPr>
        <w:pStyle w:val="Heading2"/>
      </w:pPr>
      <w:r w:rsidRPr="000E5246">
        <w:t>Standards and labelling regulations</w:t>
      </w:r>
      <w:r w:rsidR="00A720F5">
        <w:t xml:space="preserve"> in Australia and New Zealand</w:t>
      </w:r>
    </w:p>
    <w:p w14:paraId="57D922B3" w14:textId="77777777" w:rsidR="00A17357" w:rsidRDefault="0066079D" w:rsidP="00A720F5">
      <w:pPr>
        <w:pStyle w:val="Heading3"/>
      </w:pPr>
      <w:r w:rsidRPr="0005334F">
        <w:t>Electric water heaters</w:t>
      </w:r>
    </w:p>
    <w:p w14:paraId="40150B5D" w14:textId="778A7610" w:rsidR="0066079D" w:rsidRDefault="0066079D" w:rsidP="00A17357">
      <w:pPr>
        <w:jc w:val="both"/>
      </w:pPr>
      <w:r>
        <w:t>MEPS for water heaters started with the introduction of MEPS for electric storage water heaters in Australia in 1999, and in NZ in 2002.</w:t>
      </w:r>
      <w:r w:rsidR="00F439FB" w:rsidRPr="00F439FB">
        <w:t xml:space="preserve"> MEPS for small electric water heaters were made more stringent in 2005.</w:t>
      </w:r>
      <w:r>
        <w:t xml:space="preserve"> Different requirements were applied in each country</w:t>
      </w:r>
      <w:r w:rsidR="00DC4718">
        <w:t>,</w:t>
      </w:r>
      <w:r>
        <w:t xml:space="preserve"> due to market differences. In 2013, changes were proposed to move Australia and New Zealand to a single method of test and MEPS level</w:t>
      </w:r>
      <w:r w:rsidR="00DC4718">
        <w:t>,</w:t>
      </w:r>
      <w:r>
        <w:t xml:space="preserve"> but this work ceased in 2014</w:t>
      </w:r>
      <w:r w:rsidR="00F23986">
        <w:t>, in accordance with E3 Program prioritisation</w:t>
      </w:r>
      <w:r>
        <w:t xml:space="preserve">. </w:t>
      </w:r>
      <w:r w:rsidRPr="00C00261">
        <w:t>Significantly, the common standard (</w:t>
      </w:r>
      <w:r w:rsidR="00002A3D" w:rsidRPr="00002A3D">
        <w:rPr>
          <w:i/>
        </w:rPr>
        <w:t>AS/NZS 4692:2005 Electric water heaters Energy consumption, performance and general requirements</w:t>
      </w:r>
      <w:r w:rsidRPr="00C00261">
        <w:t xml:space="preserve">) is used only for performance measurement of Electric Storage Water Heaters. Australia </w:t>
      </w:r>
      <w:r w:rsidR="00DC4718">
        <w:t>also</w:t>
      </w:r>
      <w:r w:rsidR="00DC4718" w:rsidRPr="00C00261">
        <w:t xml:space="preserve"> </w:t>
      </w:r>
      <w:r w:rsidRPr="00C00261">
        <w:t xml:space="preserve">applies a </w:t>
      </w:r>
      <w:r w:rsidR="006F7EFC">
        <w:t>less stringent</w:t>
      </w:r>
      <w:r w:rsidR="006F7EFC" w:rsidRPr="00C00261">
        <w:t xml:space="preserve"> </w:t>
      </w:r>
      <w:r w:rsidRPr="00C00261">
        <w:t>MEPS threshold than New Zealand. This has led to some non-compliant products being imported into and sold in New Zealand under the provisions of the Trans-Tasman Mutual Recognition Arrangement (TTMRA), which allows for products that are legal for sale in Australia to be legally sold in New Zealand (and vice versa), unless an exemption is applied.</w:t>
      </w:r>
      <w:r w:rsidR="006F7EFC">
        <w:t xml:space="preserve"> In addition, there is currently no labelling requirements for electric water heaters, therefore making it difficult for consumers</w:t>
      </w:r>
      <w:r w:rsidR="00BD22D6">
        <w:t xml:space="preserve"> to</w:t>
      </w:r>
      <w:r w:rsidR="006F7EFC">
        <w:t xml:space="preserve"> </w:t>
      </w:r>
      <w:r w:rsidR="00454955">
        <w:t xml:space="preserve">compare efficiency across electric water heaters. </w:t>
      </w:r>
    </w:p>
    <w:p w14:paraId="0261BC91" w14:textId="77777777" w:rsidR="00A17357" w:rsidRDefault="0066079D" w:rsidP="00A720F5">
      <w:pPr>
        <w:pStyle w:val="Heading3"/>
      </w:pPr>
      <w:r w:rsidRPr="0005334F">
        <w:t>Gas Water heaters</w:t>
      </w:r>
      <w:r>
        <w:t xml:space="preserve"> </w:t>
      </w:r>
    </w:p>
    <w:p w14:paraId="7A8BA89D" w14:textId="27E064EF" w:rsidR="0066079D" w:rsidRDefault="0066079D" w:rsidP="00A17357">
      <w:pPr>
        <w:jc w:val="both"/>
      </w:pPr>
      <w:r>
        <w:t>MEPS</w:t>
      </w:r>
      <w:r w:rsidR="000925AE">
        <w:t xml:space="preserve"> under the E3 Program</w:t>
      </w:r>
      <w:r>
        <w:t xml:space="preserve"> were introduced for gas water heaters in 2011 in New Zealand and 2013</w:t>
      </w:r>
      <w:r w:rsidR="00DC4718">
        <w:t xml:space="preserve"> in</w:t>
      </w:r>
      <w:r>
        <w:t xml:space="preserve"> in Australia. </w:t>
      </w:r>
      <w:r w:rsidR="00DC4718">
        <w:t xml:space="preserve">These </w:t>
      </w:r>
      <w:r>
        <w:t xml:space="preserve">MEPS levels and coverage have not been subject to review, but work has </w:t>
      </w:r>
      <w:r w:rsidR="00DC4718">
        <w:t xml:space="preserve">begun to resolve </w:t>
      </w:r>
      <w:r>
        <w:t xml:space="preserve">issues with the performance measurement standard, including problems with its repeatability (i.e. its ability to produce consistent results) and the need for more </w:t>
      </w:r>
      <w:r w:rsidRPr="00B719E6">
        <w:t xml:space="preserve">realistic domestic water </w:t>
      </w:r>
      <w:r>
        <w:t>heating</w:t>
      </w:r>
      <w:r w:rsidRPr="00B719E6">
        <w:t xml:space="preserve"> load</w:t>
      </w:r>
      <w:r>
        <w:t xml:space="preserve">s for Australia and New Zealand. </w:t>
      </w:r>
    </w:p>
    <w:p w14:paraId="5AD09A1A" w14:textId="3FF2B030" w:rsidR="0066079D" w:rsidRDefault="0066079D" w:rsidP="00A17357">
      <w:pPr>
        <w:jc w:val="both"/>
      </w:pPr>
      <w:r>
        <w:t>Th</w:t>
      </w:r>
      <w:r w:rsidR="00DC4718">
        <w:t>is</w:t>
      </w:r>
      <w:r>
        <w:t xml:space="preserve"> work </w:t>
      </w:r>
      <w:r w:rsidR="001531DC">
        <w:t>may</w:t>
      </w:r>
      <w:r>
        <w:t xml:space="preserve"> also </w:t>
      </w:r>
      <w:r w:rsidR="00096E92">
        <w:t>resolve</w:t>
      </w:r>
      <w:r w:rsidR="001531DC">
        <w:t xml:space="preserve"> </w:t>
      </w:r>
      <w:r>
        <w:t xml:space="preserve">similar issues with how the energy performance of solar water heaters is modelled. </w:t>
      </w:r>
      <w:r w:rsidR="001531DC">
        <w:t>T</w:t>
      </w:r>
      <w:r>
        <w:t>he scope of the test for gas water heaters could be extended to other water heater types and</w:t>
      </w:r>
      <w:r w:rsidR="001531DC">
        <w:t xml:space="preserve"> thereby</w:t>
      </w:r>
      <w:r>
        <w:t xml:space="preserve"> form the basis of a common framework for measuring the energy performance of all water heater product classes. </w:t>
      </w:r>
      <w:r w:rsidR="00F439FB">
        <w:t>However, it is important to note that t</w:t>
      </w:r>
      <w:r w:rsidR="00F439FB" w:rsidRPr="00F439FB">
        <w:t>his might require some physical testing of components, and then modelling of solar water heater performance based on the same hot water usage profile as is used for the “black box” test.</w:t>
      </w:r>
    </w:p>
    <w:p w14:paraId="0FB4CD29" w14:textId="709E6E73" w:rsidR="0066079D" w:rsidRDefault="0066079D" w:rsidP="00A17357">
      <w:pPr>
        <w:jc w:val="both"/>
      </w:pPr>
      <w:r>
        <w:t>Gas water heaters have been subject to an industry-based e</w:t>
      </w:r>
      <w:r w:rsidRPr="00B719E6">
        <w:t>nergy rating label in Australia since 1987.</w:t>
      </w:r>
      <w:r>
        <w:t xml:space="preserve"> The Gas Energy Rating is specified in the </w:t>
      </w:r>
      <w:r w:rsidRPr="009304E8">
        <w:rPr>
          <w:i/>
        </w:rPr>
        <w:t>Australia/New Zealand Standard AS/NZS 5263.1.2:2016: Gas appliances Gas fired water heaters for hot water supply and/or central heating</w:t>
      </w:r>
      <w:r>
        <w:t xml:space="preserve">. </w:t>
      </w:r>
      <w:r w:rsidR="000925AE">
        <w:t>The requirements for testing and labelling sit in this standard, and in Australia are given effect by the gas certification scheme.</w:t>
      </w:r>
    </w:p>
    <w:p w14:paraId="262F5F16" w14:textId="77777777" w:rsidR="00D4403E" w:rsidRDefault="0066079D" w:rsidP="00A720F5">
      <w:pPr>
        <w:pStyle w:val="Heading3"/>
      </w:pPr>
      <w:r w:rsidRPr="0005334F">
        <w:t>Solar and heat pump water heaters</w:t>
      </w:r>
    </w:p>
    <w:p w14:paraId="025F8385" w14:textId="4024EE24" w:rsidR="0066079D" w:rsidRDefault="0066079D" w:rsidP="00A17357">
      <w:pPr>
        <w:jc w:val="both"/>
      </w:pPr>
      <w:r>
        <w:t xml:space="preserve">The E3 Program consulted on MEPS for </w:t>
      </w:r>
      <w:r w:rsidRPr="00D84F34">
        <w:t xml:space="preserve">heat pump water heaters, </w:t>
      </w:r>
      <w:r>
        <w:t>e</w:t>
      </w:r>
      <w:r w:rsidRPr="00D84F34">
        <w:t xml:space="preserve">lectric-boosted solar water heaters and </w:t>
      </w:r>
      <w:r>
        <w:t>g</w:t>
      </w:r>
      <w:r w:rsidRPr="00D84F34">
        <w:t>as-boosted solar water heaters in 2013</w:t>
      </w:r>
      <w:r>
        <w:t xml:space="preserve"> (having added these products to its work programme in 2008)</w:t>
      </w:r>
      <w:r w:rsidRPr="00D84F34">
        <w:t xml:space="preserve">.  </w:t>
      </w:r>
      <w:r w:rsidR="001531DC">
        <w:t>T</w:t>
      </w:r>
      <w:r>
        <w:t>his work was stopped</w:t>
      </w:r>
      <w:r w:rsidR="001531DC">
        <w:t xml:space="preserve"> in 2014,</w:t>
      </w:r>
      <w:r>
        <w:t xml:space="preserve"> due to a change in priorities. As touched on above, a key issue for solar and heat pump technologies is the need for </w:t>
      </w:r>
      <w:r w:rsidRPr="00B719E6">
        <w:lastRenderedPageBreak/>
        <w:t xml:space="preserve">realistic domestic water </w:t>
      </w:r>
      <w:r>
        <w:t>heating</w:t>
      </w:r>
      <w:r w:rsidRPr="00B719E6">
        <w:t xml:space="preserve"> load</w:t>
      </w:r>
      <w:r>
        <w:t xml:space="preserve">s for Australia and New Zealand (i.e. amount of hot water households use) in order to accurately calculate or model their </w:t>
      </w:r>
      <w:r w:rsidRPr="00B719E6">
        <w:t>performance</w:t>
      </w:r>
      <w:r w:rsidR="00D73F51">
        <w:t xml:space="preserve"> (</w:t>
      </w:r>
      <w:r w:rsidR="006B1614">
        <w:t xml:space="preserve">i.e. </w:t>
      </w:r>
      <w:r w:rsidR="00D73F51">
        <w:t>cold</w:t>
      </w:r>
      <w:r w:rsidR="006B1614">
        <w:t xml:space="preserve"> and hot</w:t>
      </w:r>
      <w:r w:rsidR="00D73F51">
        <w:t xml:space="preserve"> weather performance)</w:t>
      </w:r>
      <w:r w:rsidR="00935805">
        <w:t>, and to allow a fair comparison between different water heater types and models</w:t>
      </w:r>
      <w:r>
        <w:t xml:space="preserve">. </w:t>
      </w:r>
    </w:p>
    <w:p w14:paraId="25454575" w14:textId="69F2BBDC" w:rsidR="0066079D" w:rsidRDefault="0066079D" w:rsidP="00A17357">
      <w:pPr>
        <w:jc w:val="both"/>
      </w:pPr>
      <w:r>
        <w:t>For newer technologies</w:t>
      </w:r>
      <w:r w:rsidR="00935805">
        <w:t>,</w:t>
      </w:r>
      <w:r>
        <w:t xml:space="preserve"> such as systems that make direct use of photovoltaic energy, an appropriate product measurement method needs to be </w:t>
      </w:r>
      <w:r w:rsidR="00C00986">
        <w:t>developed</w:t>
      </w:r>
      <w:r>
        <w:t>.</w:t>
      </w:r>
    </w:p>
    <w:p w14:paraId="6D865F90" w14:textId="26F97604" w:rsidR="00126E91" w:rsidRDefault="0066079D" w:rsidP="00A17357">
      <w:pPr>
        <w:jc w:val="both"/>
      </w:pPr>
      <w:r>
        <w:t>The table below provides a summary o</w:t>
      </w:r>
      <w:r w:rsidR="001531DC">
        <w:t>f</w:t>
      </w:r>
      <w:r>
        <w:t xml:space="preserve"> hot water technologies, and the product measurement standards that apply.</w:t>
      </w:r>
    </w:p>
    <w:p w14:paraId="570D01C9" w14:textId="77777777" w:rsidR="004B2AA0" w:rsidRPr="004B2AA0" w:rsidRDefault="004B2AA0" w:rsidP="00D4403E">
      <w:pPr>
        <w:pStyle w:val="TableName"/>
      </w:pPr>
      <w:r w:rsidRPr="004B2AA0">
        <w:t>Coverage of hot water technologies under the current E3 Program</w:t>
      </w:r>
    </w:p>
    <w:p w14:paraId="290A5A35" w14:textId="77777777" w:rsidR="00126E91" w:rsidRDefault="00126E91" w:rsidP="00126E91">
      <w:r w:rsidRPr="00E75DBE">
        <w:rPr>
          <w:noProof/>
          <w:lang w:val="en-NZ" w:eastAsia="en-NZ"/>
        </w:rPr>
        <w:drawing>
          <wp:inline distT="0" distB="0" distL="0" distR="0" wp14:anchorId="5443948E" wp14:editId="54E4DA54">
            <wp:extent cx="5731510" cy="3375516"/>
            <wp:effectExtent l="0" t="0" r="2540" b="0"/>
            <wp:docPr id="1" name="Picture 1" descr="Product - Electric storage water heaters, MEPS - yes, Energy labelling - no, Product measurement standards – AS/NZS 4692:2005 Electric water heaters Energy consumption, performance and general requirements.&#10;Product – Gas water heaters, MEPS - yes, Energy labelling – yes (industry label), Product measurement standards – AS/NZS 5263.1.2:2046 Gas appliances Gas fired water heaters for hot water supply and/or central heating.&#10;Product – Heat pump and solar water heaters, MEPS - no, Energy labelling - no, Product measurement standards – AS/NZS 2535.1:2007: Test methods for solar collectors Thermal performance of glazed liquid heating collectors including pressure drop, AS3NZS 5125.1:2010: Heat pump water heaters – Performance assessment, AS/NZS 4234:2008 Heated water systems – Calculation of energy consumption.&#10;Product - Photovoltaic, MEPS – no, Energy labelling - no, Product measurement standards – nil." title="Coverage of hot water technologies under the current E3 Progr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email">
                      <a:extLst>
                        <a:ext uri="{28A0092B-C50C-407E-A947-70E740481C1C}">
                          <a14:useLocalDpi xmlns:a14="http://schemas.microsoft.com/office/drawing/2010/main"/>
                        </a:ext>
                      </a:extLst>
                    </a:blip>
                    <a:srcRect/>
                    <a:stretch>
                      <a:fillRect/>
                    </a:stretch>
                  </pic:blipFill>
                  <pic:spPr bwMode="auto">
                    <a:xfrm>
                      <a:off x="0" y="0"/>
                      <a:ext cx="5731510" cy="3375516"/>
                    </a:xfrm>
                    <a:prstGeom prst="rect">
                      <a:avLst/>
                    </a:prstGeom>
                    <a:noFill/>
                    <a:ln>
                      <a:noFill/>
                    </a:ln>
                  </pic:spPr>
                </pic:pic>
              </a:graphicData>
            </a:graphic>
          </wp:inline>
        </w:drawing>
      </w:r>
    </w:p>
    <w:p w14:paraId="0D336319" w14:textId="77777777" w:rsidR="00D12B04" w:rsidRPr="00A720F5" w:rsidRDefault="00D12B04" w:rsidP="00A720F5">
      <w:pPr>
        <w:pStyle w:val="Heading2"/>
      </w:pPr>
      <w:r>
        <w:t>Building and Plumbing Regulations</w:t>
      </w:r>
      <w:r w:rsidR="00A720F5">
        <w:t xml:space="preserve"> in Australia and New Zealand</w:t>
      </w:r>
    </w:p>
    <w:p w14:paraId="076D6045" w14:textId="79848FB3" w:rsidR="00D12B04" w:rsidRDefault="00D12B04" w:rsidP="00D12B04">
      <w:r>
        <w:t xml:space="preserve">Building regulations apply to the construction and alteration of homes, under Australia’s National Construction Code (NCC) (which includes some State and Territory specific requirements) and the New Zealand Building Code.  Under the NCC, minimum performance requirements apply </w:t>
      </w:r>
      <w:r w:rsidR="00F439FB">
        <w:t>to all</w:t>
      </w:r>
      <w:r>
        <w:t xml:space="preserve"> water heaters, expressed in terms of their greenhouse gas emissions, and calculated either in accordance with </w:t>
      </w:r>
      <w:r w:rsidR="00872890" w:rsidRPr="00872890">
        <w:rPr>
          <w:i/>
        </w:rPr>
        <w:t>AS/NZS 4234:2008 Heated water systems —Calculation of energy consumption</w:t>
      </w:r>
      <w:r>
        <w:t xml:space="preserve"> or by reference to the number of Small-scale technology certificates (STCs) awarded to them (see below).  Minimum requirements for the installation of solar collector panels (orientation and tilt) are also specified, as set out in the Australia/New Zealand Standard </w:t>
      </w:r>
      <w:r w:rsidRPr="009920B8">
        <w:rPr>
          <w:i/>
        </w:rPr>
        <w:t>AS/NZS 3500.4 Plumbing and drainage, Part 4: Heated water services</w:t>
      </w:r>
      <w:r>
        <w:t xml:space="preserve">. </w:t>
      </w:r>
    </w:p>
    <w:p w14:paraId="0A12F4A9" w14:textId="3C633A59" w:rsidR="00D12B04" w:rsidRDefault="00F439FB" w:rsidP="00D12B04">
      <w:r w:rsidRPr="00F439FB">
        <w:t>Victoria currently has a variation in the NCC applying to water heaters in class 1 dwellings – either a rain water tank plumbed to sanitary fixtures, or a solar water heater (must be gas-boosted solar in gas reticulated areas). This has resulted in significant uptake of gas boosted solar water heaters in new class 1 dwellings</w:t>
      </w:r>
      <w:r w:rsidR="00424A81">
        <w:t xml:space="preserve"> since 2005</w:t>
      </w:r>
      <w:r w:rsidRPr="00F439FB">
        <w:t>.</w:t>
      </w:r>
      <w:r w:rsidR="00975800">
        <w:t xml:space="preserve"> Victoria is considering measures on hot water</w:t>
      </w:r>
      <w:r w:rsidR="00327F0A">
        <w:t xml:space="preserve"> requirements</w:t>
      </w:r>
      <w:r w:rsidR="00975800">
        <w:t xml:space="preserve"> but no decisions ha</w:t>
      </w:r>
      <w:r w:rsidR="00BC566C">
        <w:t>s</w:t>
      </w:r>
      <w:r w:rsidR="00975800">
        <w:t xml:space="preserve"> been taken</w:t>
      </w:r>
      <w:r w:rsidR="00BC566C">
        <w:t>.</w:t>
      </w:r>
      <w:r w:rsidR="00975800">
        <w:t xml:space="preserve"> </w:t>
      </w:r>
    </w:p>
    <w:p w14:paraId="1440B6B6" w14:textId="77777777" w:rsidR="00D12B04" w:rsidRDefault="00D12B04" w:rsidP="00A720F5">
      <w:pPr>
        <w:pStyle w:val="Heading2"/>
      </w:pPr>
      <w:r>
        <w:lastRenderedPageBreak/>
        <w:t>Other Australian Government Programs</w:t>
      </w:r>
    </w:p>
    <w:p w14:paraId="11AE2A41" w14:textId="42F0B430" w:rsidR="00D12B04" w:rsidRDefault="001531DC" w:rsidP="00D12B04">
      <w:r>
        <w:t>A big</w:t>
      </w:r>
      <w:r w:rsidR="00D12B04">
        <w:t xml:space="preserve"> influence</w:t>
      </w:r>
      <w:r>
        <w:t xml:space="preserve"> on</w:t>
      </w:r>
      <w:r w:rsidR="00D12B04">
        <w:t xml:space="preserve"> the </w:t>
      </w:r>
      <w:r>
        <w:t xml:space="preserve">choice </w:t>
      </w:r>
      <w:r w:rsidR="00D12B04">
        <w:t xml:space="preserve">of water heaters in Australia include the </w:t>
      </w:r>
      <w:r w:rsidR="004A2040">
        <w:t>Small Technology</w:t>
      </w:r>
      <w:r w:rsidR="00D12B04">
        <w:t xml:space="preserve"> Certificates (RECs) created by solar and heat pump water heaters, and these are legislated to continue until 2030 (although the number of </w:t>
      </w:r>
      <w:r w:rsidR="00DD3929">
        <w:t>Small-scale Technology Certificates (</w:t>
      </w:r>
      <w:r w:rsidR="00D12B04">
        <w:t>STCs</w:t>
      </w:r>
      <w:r w:rsidR="00DD3929">
        <w:t>)</w:t>
      </w:r>
      <w:r w:rsidR="00D12B04">
        <w:t xml:space="preserve"> and hence value of incentive received will decrease from 2022). Suppliers register their products with the Clean Energy Regulator</w:t>
      </w:r>
      <w:r>
        <w:t xml:space="preserve"> to be eligible to create STCs</w:t>
      </w:r>
      <w:r w:rsidR="00D12B04">
        <w:t>. The register lists the STCs available for that product by</w:t>
      </w:r>
      <w:r>
        <w:t xml:space="preserve"> </w:t>
      </w:r>
      <w:r w:rsidR="00D66CE1">
        <w:t>one</w:t>
      </w:r>
      <w:r>
        <w:t xml:space="preserve"> of five</w:t>
      </w:r>
      <w:r w:rsidR="00D12B04">
        <w:t xml:space="preserve"> climate zone</w:t>
      </w:r>
      <w:r>
        <w:t>s</w:t>
      </w:r>
      <w:r w:rsidR="00D12B04">
        <w:t xml:space="preserve"> across Australia)</w:t>
      </w:r>
      <w:r w:rsidR="00424A81">
        <w:t>, and the market value of the STCs is used to provide a financial incentive to consumers</w:t>
      </w:r>
      <w:r w:rsidR="00D12B04">
        <w:t xml:space="preserve">.  This is determined using the Standard AS/NZS 4234 and parameters published by the Clean Energy Regulator. Compliance is </w:t>
      </w:r>
      <w:r>
        <w:t xml:space="preserve">monitored by </w:t>
      </w:r>
      <w:r w:rsidR="00D12B04">
        <w:t>auditing the submitted information.</w:t>
      </w:r>
    </w:p>
    <w:p w14:paraId="6197B3B0" w14:textId="606A6E79" w:rsidR="00D12B04" w:rsidRDefault="00D12B04" w:rsidP="00D12B04">
      <w:r>
        <w:t xml:space="preserve">State Governments also provide incentives for the replacement of electric </w:t>
      </w:r>
      <w:r w:rsidR="0077519A">
        <w:t>and</w:t>
      </w:r>
      <w:r w:rsidR="008C35E4">
        <w:t xml:space="preserve"> other</w:t>
      </w:r>
      <w:r w:rsidR="00F439FB">
        <w:t xml:space="preserve"> less efficient water</w:t>
      </w:r>
      <w:r w:rsidR="008C35E4">
        <w:t xml:space="preserve"> heaters</w:t>
      </w:r>
      <w:r w:rsidR="00F439FB">
        <w:t xml:space="preserve">, </w:t>
      </w:r>
      <w:r>
        <w:t xml:space="preserve">with less greenhouse intensive water heaters (solar, heat pump or gas water heaters).  These programs include the Victorian Energy Upgrades program, South Australian Retailer Energy Efficiency Scheme and the ACT Energy Efficiency Improvement Scheme.  These programs specify eligible products </w:t>
      </w:r>
      <w:r w:rsidR="00454955">
        <w:t xml:space="preserve">(i.e. solar and heat pump water heaters) </w:t>
      </w:r>
      <w:r>
        <w:t xml:space="preserve">according to </w:t>
      </w:r>
      <w:r w:rsidRPr="00AA74F5">
        <w:rPr>
          <w:i/>
        </w:rPr>
        <w:t>AS/NZS 4234:2008</w:t>
      </w:r>
      <w:r>
        <w:t xml:space="preserve"> or by reference to the number of STCs.</w:t>
      </w:r>
      <w:r w:rsidR="00C00986">
        <w:t xml:space="preserve"> More recently the Victorian Government also introduced rebates for solar water heater installation through its Solar Homes Program. </w:t>
      </w:r>
      <w:r w:rsidR="009F75C3" w:rsidRPr="009F75C3">
        <w:t>For gas water heaters eligibility is based on the gas water heater test standard.</w:t>
      </w:r>
    </w:p>
    <w:p w14:paraId="13D549FF" w14:textId="77777777" w:rsidR="00D12B04" w:rsidRDefault="00D12B04" w:rsidP="00A720F5">
      <w:pPr>
        <w:pStyle w:val="Heading1"/>
      </w:pPr>
      <w:r>
        <w:t xml:space="preserve">Coordination issues across government </w:t>
      </w:r>
    </w:p>
    <w:p w14:paraId="7884740E" w14:textId="77777777" w:rsidR="00AA2105" w:rsidRDefault="00D12B04" w:rsidP="00A720F5">
      <w:pPr>
        <w:pStyle w:val="Heading2"/>
      </w:pPr>
      <w:r w:rsidRPr="00AA2105">
        <w:t>Testing and performance measurement</w:t>
      </w:r>
    </w:p>
    <w:p w14:paraId="0C6534AD" w14:textId="19F395E4" w:rsidR="00D12B04" w:rsidRDefault="00D12B04" w:rsidP="00D12B04">
      <w:r>
        <w:t xml:space="preserve">Separate, technology-specific </w:t>
      </w:r>
      <w:r w:rsidR="001531DC">
        <w:t>s</w:t>
      </w:r>
      <w:r>
        <w:t xml:space="preserve">tandards currently apply to </w:t>
      </w:r>
      <w:r w:rsidR="007F4AA8">
        <w:t xml:space="preserve">the different types of </w:t>
      </w:r>
      <w:r>
        <w:t>water heater. These use different metrics and methodologies, and responsibility for them is spread across three different standards committees that operate in two different sectors of Standards Australia</w:t>
      </w:r>
      <w:r w:rsidR="001B7CA2">
        <w:rPr>
          <w:rStyle w:val="FootnoteReference"/>
        </w:rPr>
        <w:footnoteReference w:id="7"/>
      </w:r>
      <w:r>
        <w:t xml:space="preserve">.  Aligning or integrating these </w:t>
      </w:r>
      <w:r w:rsidR="00D73F51">
        <w:t>standards to</w:t>
      </w:r>
      <w:r w:rsidR="007F4AA8">
        <w:t xml:space="preserve"> produce a common energy performance test standard </w:t>
      </w:r>
      <w:r>
        <w:t>could provide the basis for valid comparisons of energy performance between different technologies. This requires a coordinated effort between the responsible standards committees.</w:t>
      </w:r>
    </w:p>
    <w:p w14:paraId="2CBF36BB" w14:textId="77777777" w:rsidR="004B2AA0" w:rsidRDefault="004B2AA0" w:rsidP="00CA0C30">
      <w:pPr>
        <w:pStyle w:val="Heading1"/>
      </w:pPr>
      <w:r>
        <w:t>Measures that apply in other markets</w:t>
      </w:r>
    </w:p>
    <w:p w14:paraId="3EA35EC1" w14:textId="77777777" w:rsidR="004B2AA0" w:rsidRDefault="004B2AA0" w:rsidP="00CA0C30">
      <w:pPr>
        <w:pStyle w:val="Heading2"/>
      </w:pPr>
      <w:r>
        <w:t>Europe</w:t>
      </w:r>
    </w:p>
    <w:p w14:paraId="1C76DC25" w14:textId="7281E90F" w:rsidR="004B2AA0" w:rsidRDefault="004B2AA0" w:rsidP="00AA2105">
      <w:pPr>
        <w:jc w:val="both"/>
      </w:pPr>
      <w:r>
        <w:t xml:space="preserve">The </w:t>
      </w:r>
      <w:r w:rsidR="001531DC">
        <w:t>European Union (</w:t>
      </w:r>
      <w:r>
        <w:t>EU</w:t>
      </w:r>
      <w:r w:rsidR="001531DC">
        <w:t>)</w:t>
      </w:r>
      <w:r>
        <w:t xml:space="preserve"> has introduced a complex but comprehensive label that can be used to compare all water heating technologies. Having all technologies laid out on the same scale provides some difficulty differentiating performance within classes of products, but it does provide clear indications of which types perform better.  </w:t>
      </w:r>
    </w:p>
    <w:p w14:paraId="16E83C9A" w14:textId="06149CF3" w:rsidR="004B2AA0" w:rsidRDefault="004B2AA0" w:rsidP="00AA2105">
      <w:pPr>
        <w:jc w:val="both"/>
      </w:pPr>
      <w:r>
        <w:t>The EU label is based on nominal primary energy consumption rather than secondary energy</w:t>
      </w:r>
      <w:r w:rsidR="00C819A9">
        <w:t xml:space="preserve"> consumption</w:t>
      </w:r>
      <w:r>
        <w:t xml:space="preserve"> (on which the US label is based). Primary energy is used in the label to </w:t>
      </w:r>
      <w:r>
        <w:lastRenderedPageBreak/>
        <w:t>facilitate comparison of products that use electricity and gas. (Primary sources of energy can be used directly, as they appear in the natural environment e.g. natural gas, while secondary sources of energy derive from the transformation of primary energy sources e.g. electricity generated from the combustion of coal or gas.)</w:t>
      </w:r>
    </w:p>
    <w:p w14:paraId="6669AC85" w14:textId="11C6D111" w:rsidR="004B2AA0" w:rsidRDefault="004B2AA0" w:rsidP="00AA2105">
      <w:pPr>
        <w:jc w:val="both"/>
      </w:pPr>
      <w:r>
        <w:t xml:space="preserve">The methodology used to determine ratings features ten separate tapping profiles (i.e. </w:t>
      </w:r>
      <w:r w:rsidR="00571F95">
        <w:t xml:space="preserve">daily </w:t>
      </w:r>
      <w:r>
        <w:t>hot water usage profiles) that could be used, although three tapping profiles cover the most likely uses.</w:t>
      </w:r>
    </w:p>
    <w:p w14:paraId="7F0C5C94" w14:textId="77777777" w:rsidR="004B2AA0" w:rsidRDefault="004B2AA0" w:rsidP="00AA2105">
      <w:pPr>
        <w:jc w:val="both"/>
      </w:pPr>
      <w:r>
        <w:t>The EU has been able to raise minimum performance requirements through the label.  In 2017 Class G was removed from the label, thereby pushing up the minimum performance required for water heating systems to be sold in the EU.</w:t>
      </w:r>
    </w:p>
    <w:p w14:paraId="18489A0C" w14:textId="7E935F0D" w:rsidR="00570A22" w:rsidRDefault="004B2AA0" w:rsidP="00AA2105">
      <w:pPr>
        <w:jc w:val="both"/>
      </w:pPr>
      <w:r>
        <w:t>As yet no study has been undertaken to investigate whether the label is influencing purchase decisions. However, audits indicate that compliance rates are high</w:t>
      </w:r>
      <w:r w:rsidR="00D73F51">
        <w:t xml:space="preserve"> for both labelling and testing compliance</w:t>
      </w:r>
      <w:r>
        <w:t>. The EU is reviewing the labelling programme to decide if revisions are necessary.  It is possible that a label specific to solar water heaters may be introduced.</w:t>
      </w:r>
    </w:p>
    <w:p w14:paraId="344A70A3" w14:textId="3ABBD271" w:rsidR="004B2AA0" w:rsidRDefault="00460FBB" w:rsidP="00D4403E">
      <w:pPr>
        <w:pStyle w:val="TableName"/>
        <w:rPr>
          <w:b w:val="0"/>
        </w:rPr>
      </w:pPr>
      <w:r>
        <w:t>Example</w:t>
      </w:r>
      <w:r w:rsidR="00780076">
        <w:t>s</w:t>
      </w:r>
      <w:r>
        <w:t xml:space="preserve"> of t</w:t>
      </w:r>
      <w:r w:rsidR="004B2AA0" w:rsidRPr="00D4403E">
        <w:t>he European energy label for water heaters</w:t>
      </w:r>
    </w:p>
    <w:p w14:paraId="26CFF27C" w14:textId="77777777" w:rsidR="004B2AA0" w:rsidRDefault="004B2AA0" w:rsidP="004B2AA0">
      <w:pPr>
        <w:rPr>
          <w:b/>
        </w:rPr>
      </w:pPr>
      <w:r w:rsidRPr="00130395">
        <w:rPr>
          <w:noProof/>
          <w:lang w:val="en-NZ" w:eastAsia="en-NZ"/>
        </w:rPr>
        <w:drawing>
          <wp:inline distT="0" distB="0" distL="0" distR="0" wp14:anchorId="03AD7664" wp14:editId="780B6DCA">
            <wp:extent cx="5724525" cy="3752850"/>
            <wp:effectExtent l="0" t="0" r="9525" b="0"/>
            <wp:docPr id="50" name="Picture 50" descr="Examples of the European energy label for conventional water heaters, solar water heaters, and heat pump water heaters. &#10;Label contains: EU flag, A - F performance grade, YZ (noise emissions) dB, kWh/annum, GJ/annum, map of Eurpoe which displays three indicative zones for solar and heat pump.  " title="Examples of the European energy label for water heat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30" cstate="email">
                      <a:extLst>
                        <a:ext uri="{28A0092B-C50C-407E-A947-70E740481C1C}">
                          <a14:useLocalDpi xmlns:a14="http://schemas.microsoft.com/office/drawing/2010/main"/>
                        </a:ext>
                      </a:extLst>
                    </a:blip>
                    <a:srcRect/>
                    <a:stretch>
                      <a:fillRect/>
                    </a:stretch>
                  </pic:blipFill>
                  <pic:spPr bwMode="auto">
                    <a:xfrm>
                      <a:off x="0" y="0"/>
                      <a:ext cx="5724525" cy="3752850"/>
                    </a:xfrm>
                    <a:prstGeom prst="rect">
                      <a:avLst/>
                    </a:prstGeom>
                    <a:noFill/>
                    <a:ln>
                      <a:noFill/>
                    </a:ln>
                  </pic:spPr>
                </pic:pic>
              </a:graphicData>
            </a:graphic>
          </wp:inline>
        </w:drawing>
      </w:r>
    </w:p>
    <w:p w14:paraId="12964DA6" w14:textId="72233747" w:rsidR="00EC1891" w:rsidRDefault="00EC1891" w:rsidP="00CA0C30">
      <w:pPr>
        <w:pStyle w:val="Heading2"/>
      </w:pPr>
      <w:r>
        <w:t>The U</w:t>
      </w:r>
      <w:r w:rsidR="00096E92">
        <w:t xml:space="preserve">nited </w:t>
      </w:r>
      <w:r>
        <w:t>S</w:t>
      </w:r>
      <w:r w:rsidR="00096E92">
        <w:t>tates</w:t>
      </w:r>
    </w:p>
    <w:p w14:paraId="2B2DA18A" w14:textId="27D3422D" w:rsidR="00EC1891" w:rsidRDefault="00EC1891" w:rsidP="00AA2105">
      <w:pPr>
        <w:jc w:val="both"/>
      </w:pPr>
      <w:r>
        <w:t xml:space="preserve">The </w:t>
      </w:r>
      <w:r w:rsidR="00096E92">
        <w:t>United States (</w:t>
      </w:r>
      <w:r>
        <w:t>US</w:t>
      </w:r>
      <w:r w:rsidR="00096E92">
        <w:t>)</w:t>
      </w:r>
      <w:r>
        <w:t xml:space="preserve"> requires different water heating technologies to meet different minimum efficiencies, known as Uniform Energy Factors (UEF), in order to be sold. </w:t>
      </w:r>
    </w:p>
    <w:p w14:paraId="109AE282" w14:textId="77777777" w:rsidR="00EC1891" w:rsidRDefault="00EC1891" w:rsidP="00AA2105">
      <w:pPr>
        <w:jc w:val="both"/>
      </w:pPr>
      <w:r>
        <w:t>The Energy Guide label shows consumers the estimated yearly operating cost of a water heater based on the national average cost of energy and the product’s UEF.</w:t>
      </w:r>
    </w:p>
    <w:p w14:paraId="20F0519F" w14:textId="77777777" w:rsidR="00EC1891" w:rsidRDefault="00EC1891" w:rsidP="00AA2105">
      <w:pPr>
        <w:jc w:val="both"/>
      </w:pPr>
      <w:r>
        <w:t xml:space="preserve">The UEF can be based on one of four loads, which were introduced in 2015 to replace a single large load that had only six draw-offs (i.e. separate usages). </w:t>
      </w:r>
    </w:p>
    <w:p w14:paraId="3E7803AC" w14:textId="1F3D4988" w:rsidR="00EC1891" w:rsidRDefault="00EC1891" w:rsidP="00AA2105">
      <w:pPr>
        <w:jc w:val="both"/>
      </w:pPr>
      <w:r>
        <w:t>There are some concerns from the industry that these 2015 requirements are too high, resulting in additional costs for consumers.  In particular, larger electric storage water heat</w:t>
      </w:r>
      <w:r>
        <w:lastRenderedPageBreak/>
        <w:t xml:space="preserve">ers need to utilise some heat pump heating to displace some of the energy used in a resistance element, in order to meet the minimum UEF. This has led to some unforeseen outcomes, </w:t>
      </w:r>
      <w:r w:rsidR="001531DC">
        <w:t>such as</w:t>
      </w:r>
      <w:r>
        <w:t xml:space="preserve"> multiple small, lower efficiency water heaters </w:t>
      </w:r>
      <w:r w:rsidR="001531DC">
        <w:t xml:space="preserve">being </w:t>
      </w:r>
      <w:r>
        <w:t>installed rather than a single high efficiency unit.</w:t>
      </w:r>
    </w:p>
    <w:p w14:paraId="18808F3F" w14:textId="77777777" w:rsidR="00EC1891" w:rsidRDefault="00EC1891" w:rsidP="00AA2105">
      <w:pPr>
        <w:jc w:val="both"/>
      </w:pPr>
      <w:r>
        <w:t>The Energy Star endorsement label also makes use of the UEF values to designate high efficiency levels for all water heating technologies, except for resistance electric water heaters. Suppliers whose products meet the level designated for their technology can opt to display the Energy Star mark on their products.</w:t>
      </w:r>
    </w:p>
    <w:p w14:paraId="17043290" w14:textId="77777777" w:rsidR="00BD6AB6" w:rsidRDefault="00EC1891" w:rsidP="00D4403E">
      <w:pPr>
        <w:pStyle w:val="TableName"/>
        <w:rPr>
          <w:b w:val="0"/>
        </w:rPr>
      </w:pPr>
      <w:r w:rsidRPr="00D4403E">
        <w:t>Example of the US Energy Guide label</w:t>
      </w:r>
    </w:p>
    <w:p w14:paraId="17148D84" w14:textId="77777777" w:rsidR="00BD6AB6" w:rsidRDefault="00BD6AB6" w:rsidP="00BD6AB6">
      <w:r>
        <w:rPr>
          <w:noProof/>
          <w:lang w:val="en-NZ" w:eastAsia="en-NZ"/>
        </w:rPr>
        <w:drawing>
          <wp:inline distT="0" distB="0" distL="0" distR="0" wp14:anchorId="0C9DF3DB" wp14:editId="1A0B31DC">
            <wp:extent cx="4006585" cy="5448300"/>
            <wp:effectExtent l="0" t="0" r="0" b="0"/>
            <wp:docPr id="6" name="Picture 6" descr="U.S Government Energy Guide label. Federal law prohibits removal of this label before consumer purchase.  Water Heater - Natural Gas, Tank Size (Storage Capacity): 80 galllons. XYZ Corporation, Model XXXXXXX. Estimated Yearly Energy Cost $203, Cost range of Similar Models $177 - $206. First Hour Rating (How much hot water you get in the first hour of use) - medium 70 Gallons. Your cost will depend on your utility rates and use. Cost range based only on models fueled by natural gas with a medium first hour rating (51-75 gallons). Estimated energy cost based on a national average natural gas cost of $1.09 per therm. Estimated yearly energy use: 186 therms. ftc.gov/energy " title="Example of the US Energy Guide lab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1" cstate="email">
                      <a:extLst>
                        <a:ext uri="{28A0092B-C50C-407E-A947-70E740481C1C}">
                          <a14:useLocalDpi xmlns:a14="http://schemas.microsoft.com/office/drawing/2010/main"/>
                        </a:ext>
                      </a:extLst>
                    </a:blip>
                    <a:srcRect/>
                    <a:stretch/>
                  </pic:blipFill>
                  <pic:spPr bwMode="auto">
                    <a:xfrm>
                      <a:off x="0" y="0"/>
                      <a:ext cx="4006585" cy="5448300"/>
                    </a:xfrm>
                    <a:prstGeom prst="rect">
                      <a:avLst/>
                    </a:prstGeom>
                    <a:noFill/>
                    <a:ln>
                      <a:noFill/>
                    </a:ln>
                    <a:extLst>
                      <a:ext uri="{53640926-AAD7-44D8-BBD7-CCE9431645EC}">
                        <a14:shadowObscured xmlns:a14="http://schemas.microsoft.com/office/drawing/2010/main"/>
                      </a:ext>
                    </a:extLst>
                  </pic:spPr>
                </pic:pic>
              </a:graphicData>
            </a:graphic>
          </wp:inline>
        </w:drawing>
      </w:r>
    </w:p>
    <w:p w14:paraId="0A85B435" w14:textId="77777777" w:rsidR="00BD6AB6" w:rsidRDefault="00BD6AB6" w:rsidP="00CA0C30">
      <w:pPr>
        <w:pStyle w:val="Heading2"/>
      </w:pPr>
      <w:r>
        <w:t>Comparing the two approaches</w:t>
      </w:r>
    </w:p>
    <w:p w14:paraId="465F1205" w14:textId="77777777" w:rsidR="00BD6AB6" w:rsidRDefault="00BD6AB6" w:rsidP="00AA2105">
      <w:pPr>
        <w:jc w:val="both"/>
      </w:pPr>
      <w:r>
        <w:t xml:space="preserve">There is no international consensus on whether it is more effective to use nominal primary energy consumption (like the EU) or energy costs (like the US) as the metric on comparative labels.  </w:t>
      </w:r>
    </w:p>
    <w:p w14:paraId="48432F92" w14:textId="1C25F3BF" w:rsidR="00BD6AB6" w:rsidRDefault="00BD6AB6" w:rsidP="00AA2105">
      <w:pPr>
        <w:jc w:val="both"/>
      </w:pPr>
      <w:r>
        <w:t xml:space="preserve">Primary energy was adopted as a comparator on the EU label to provide a method of comparison between electric and gas fuelled water heaters, </w:t>
      </w:r>
      <w:r w:rsidR="00994883">
        <w:t>because</w:t>
      </w:r>
      <w:r w:rsidR="00AC7620">
        <w:t xml:space="preserve"> </w:t>
      </w:r>
      <w:r>
        <w:t xml:space="preserve">the combustion losses occur on different sides of the meter with these two fuels, at least where the electricity has </w:t>
      </w:r>
      <w:r>
        <w:lastRenderedPageBreak/>
        <w:t xml:space="preserve">been sourced from fossil fuels. This approach has some unresolved issues but is generally well received across the EU despite the diversity of primary electricity sources among its members.  </w:t>
      </w:r>
    </w:p>
    <w:p w14:paraId="5484C124" w14:textId="571BE2A6" w:rsidR="004B2AA0" w:rsidRDefault="00BD6AB6" w:rsidP="00AA2105">
      <w:pPr>
        <w:jc w:val="both"/>
      </w:pPr>
      <w:r>
        <w:t>Both the US and European approaches to energy labelling are different to those of Australia and New Zealand, so considerable analysis would be required before deciding to fully or partially replicate either approach locally. However, an approach that allows for comparisons across technologies is preferred.</w:t>
      </w:r>
    </w:p>
    <w:p w14:paraId="0335FE20" w14:textId="77777777" w:rsidR="00BD6AB6" w:rsidRPr="005A73E0" w:rsidRDefault="00BD6AB6" w:rsidP="00CA0C30">
      <w:pPr>
        <w:pStyle w:val="ChapterTitle"/>
      </w:pPr>
      <w:r w:rsidRPr="005A73E0">
        <w:t xml:space="preserve">The proposed way forward to address these issues </w:t>
      </w:r>
    </w:p>
    <w:p w14:paraId="4962C686" w14:textId="77777777" w:rsidR="00BD6AB6" w:rsidRDefault="00BD6AB6" w:rsidP="00CA0C30">
      <w:pPr>
        <w:pStyle w:val="Heading1"/>
      </w:pPr>
      <w:r>
        <w:t>Work undertaken to date</w:t>
      </w:r>
    </w:p>
    <w:p w14:paraId="7075B107" w14:textId="77777777" w:rsidR="00AC7620" w:rsidRDefault="00BD6AB6" w:rsidP="00BD6AB6">
      <w:pPr>
        <w:jc w:val="both"/>
      </w:pPr>
      <w:r>
        <w:t>This Policy Framework and the accompanying Five Year Roadmap have been informed by</w:t>
      </w:r>
      <w:r w:rsidR="00AC7620">
        <w:t>:</w:t>
      </w:r>
    </w:p>
    <w:p w14:paraId="47205B09" w14:textId="26C95DBE" w:rsidR="00AC7620" w:rsidRDefault="00277E73" w:rsidP="00994883">
      <w:pPr>
        <w:pStyle w:val="ListParagraph"/>
        <w:numPr>
          <w:ilvl w:val="0"/>
          <w:numId w:val="13"/>
        </w:numPr>
        <w:jc w:val="both"/>
      </w:pPr>
      <w:r>
        <w:t>meetings with Government o</w:t>
      </w:r>
      <w:r w:rsidR="00BD6AB6">
        <w:t xml:space="preserve">fficials in Australia and New Zealand; </w:t>
      </w:r>
    </w:p>
    <w:p w14:paraId="29A8BBEC" w14:textId="77777777" w:rsidR="00AC7620" w:rsidRDefault="00BD6AB6" w:rsidP="00994883">
      <w:pPr>
        <w:pStyle w:val="ListParagraph"/>
        <w:numPr>
          <w:ilvl w:val="0"/>
          <w:numId w:val="13"/>
        </w:numPr>
        <w:jc w:val="both"/>
      </w:pPr>
      <w:r>
        <w:t xml:space="preserve">interviews with various stakeholders, </w:t>
      </w:r>
      <w:r w:rsidRPr="00C53FD3">
        <w:t>including key participants in the water heating industry</w:t>
      </w:r>
      <w:r>
        <w:t>;</w:t>
      </w:r>
    </w:p>
    <w:p w14:paraId="18FA675A" w14:textId="7F23B713" w:rsidR="00AC7620" w:rsidRDefault="00BD6AB6" w:rsidP="00994883">
      <w:pPr>
        <w:pStyle w:val="ListParagraph"/>
        <w:numPr>
          <w:ilvl w:val="0"/>
          <w:numId w:val="13"/>
        </w:numPr>
        <w:jc w:val="both"/>
      </w:pPr>
      <w:r>
        <w:t xml:space="preserve">review of the E3’s water heating work programme to date; </w:t>
      </w:r>
    </w:p>
    <w:p w14:paraId="432B8E78" w14:textId="6ADF5122" w:rsidR="00AC7620" w:rsidRDefault="00BD6AB6" w:rsidP="00994883">
      <w:pPr>
        <w:pStyle w:val="ListParagraph"/>
        <w:numPr>
          <w:ilvl w:val="0"/>
          <w:numId w:val="13"/>
        </w:numPr>
        <w:jc w:val="both"/>
      </w:pPr>
      <w:r>
        <w:t xml:space="preserve">review of water heating policy initiatives overseas; </w:t>
      </w:r>
    </w:p>
    <w:p w14:paraId="6D66E5A9" w14:textId="259C0D9C" w:rsidR="00BD6AB6" w:rsidRDefault="00BD6AB6" w:rsidP="00994883">
      <w:pPr>
        <w:pStyle w:val="ListParagraph"/>
        <w:numPr>
          <w:ilvl w:val="0"/>
          <w:numId w:val="13"/>
        </w:numPr>
        <w:jc w:val="both"/>
      </w:pPr>
      <w:r>
        <w:t xml:space="preserve">review of </w:t>
      </w:r>
      <w:r w:rsidRPr="00C53FD3">
        <w:t>new technical developments likely to have an impact on water heating systems</w:t>
      </w:r>
      <w:r>
        <w:t xml:space="preserve">; and analysis of </w:t>
      </w:r>
      <w:r w:rsidRPr="00C53FD3">
        <w:t>policy options that will most effectively deliver on the objective</w:t>
      </w:r>
      <w:r>
        <w:t xml:space="preserve"> to cost effectively raise the energy efficiency and lower the energy costs and greenhouse gas </w:t>
      </w:r>
      <w:r w:rsidR="00994883">
        <w:t>emissions of</w:t>
      </w:r>
      <w:r>
        <w:t xml:space="preserve"> hot water systems in Australia and New Zealand.</w:t>
      </w:r>
    </w:p>
    <w:p w14:paraId="1F857337" w14:textId="57C52AC9" w:rsidR="00BD6AB6" w:rsidRDefault="00BD6AB6" w:rsidP="00BD6AB6">
      <w:pPr>
        <w:jc w:val="both"/>
      </w:pPr>
      <w:r>
        <w:t xml:space="preserve">Consultation commenced in 2017 to inform this Policy Framework and will be ongoing throughout the proposed five-year work programme. Consultation to date </w:t>
      </w:r>
      <w:r w:rsidRPr="007A33E4">
        <w:t>has focussed on reviewing</w:t>
      </w:r>
      <w:r w:rsidRPr="00AA2105">
        <w:t xml:space="preserve"> </w:t>
      </w:r>
      <w:r w:rsidRPr="008A72E3">
        <w:t>assumptions around market size and trends</w:t>
      </w:r>
      <w:r>
        <w:t>,</w:t>
      </w:r>
      <w:r w:rsidRPr="008A72E3">
        <w:t xml:space="preserve"> and seeking general feedback on existing MEPS and gas labelling of hot water systems, as well as international programmes.  </w:t>
      </w:r>
    </w:p>
    <w:p w14:paraId="13893D36" w14:textId="30CA1004" w:rsidR="0077519A" w:rsidRPr="0077519A" w:rsidRDefault="0077519A" w:rsidP="0077519A">
      <w:pPr>
        <w:jc w:val="both"/>
      </w:pPr>
      <w:r>
        <w:t xml:space="preserve">It is important to note that the </w:t>
      </w:r>
      <w:r w:rsidRPr="0077519A">
        <w:t>E3</w:t>
      </w:r>
      <w:r>
        <w:t xml:space="preserve"> program</w:t>
      </w:r>
      <w:r w:rsidRPr="0077519A">
        <w:t xml:space="preserve"> is a </w:t>
      </w:r>
      <w:r w:rsidR="004E6E8C">
        <w:t xml:space="preserve">trans-Tasman </w:t>
      </w:r>
      <w:r w:rsidRPr="0077519A">
        <w:t>program that addresses the energy performance or information disclosure requirements of all regulated equipment sold</w:t>
      </w:r>
      <w:r>
        <w:t xml:space="preserve"> in Australia and New Zealand</w:t>
      </w:r>
      <w:r w:rsidRPr="0077519A">
        <w:t xml:space="preserve">. In Australia, </w:t>
      </w:r>
      <w:r w:rsidR="00B174A7">
        <w:t xml:space="preserve">the National Construction Code applies a greenhouse benchmark to water heaters installed in new class 1 dwellings, with some state variations to these requirements, and </w:t>
      </w:r>
      <w:r w:rsidRPr="0077519A">
        <w:t xml:space="preserve">individual state and territory governments </w:t>
      </w:r>
      <w:r w:rsidR="00B174A7">
        <w:t>may</w:t>
      </w:r>
      <w:r w:rsidRPr="0077519A">
        <w:t xml:space="preserve"> use other policy tools</w:t>
      </w:r>
      <w:r>
        <w:t xml:space="preserve">, such as </w:t>
      </w:r>
      <w:r w:rsidR="00B174A7">
        <w:t xml:space="preserve">plumbing </w:t>
      </w:r>
      <w:r w:rsidRPr="0077519A">
        <w:t>install</w:t>
      </w:r>
      <w:r>
        <w:t>ation standards and incentives</w:t>
      </w:r>
      <w:r w:rsidRPr="0077519A">
        <w:t xml:space="preserve"> to address state</w:t>
      </w:r>
      <w:r w:rsidR="0064218F">
        <w:t xml:space="preserve"> and territory</w:t>
      </w:r>
      <w:r w:rsidRPr="0077519A">
        <w:t xml:space="preserve"> specific issues.</w:t>
      </w:r>
      <w:r w:rsidR="004E6E8C">
        <w:t xml:space="preserve"> In New Zealand other government interventions such as, building codes may be considered.  </w:t>
      </w:r>
      <w:r w:rsidR="004E6E8C" w:rsidRPr="0077519A">
        <w:t>The</w:t>
      </w:r>
      <w:r w:rsidRPr="0077519A">
        <w:t xml:space="preserve"> testing and information disclosure requirements implemented </w:t>
      </w:r>
      <w:r w:rsidR="0064218F">
        <w:t>through the</w:t>
      </w:r>
      <w:r w:rsidRPr="0077519A">
        <w:t xml:space="preserve"> E3</w:t>
      </w:r>
      <w:r w:rsidR="0064218F">
        <w:t xml:space="preserve"> program</w:t>
      </w:r>
      <w:r w:rsidRPr="0077519A">
        <w:t xml:space="preserve"> can help to underpin other regulations and incentives, </w:t>
      </w:r>
      <w:r w:rsidR="0064218F">
        <w:t>which may lead to</w:t>
      </w:r>
      <w:r w:rsidRPr="0077519A">
        <w:t xml:space="preserve"> efficienc</w:t>
      </w:r>
      <w:r w:rsidR="0064218F">
        <w:t xml:space="preserve">ies for industry and government. </w:t>
      </w:r>
    </w:p>
    <w:p w14:paraId="5DA1D155" w14:textId="77777777" w:rsidR="00BD6AB6" w:rsidRDefault="00BD6AB6" w:rsidP="00BD6AB6">
      <w:pPr>
        <w:jc w:val="both"/>
      </w:pPr>
      <w:r w:rsidRPr="008A72E3">
        <w:t>The</w:t>
      </w:r>
      <w:r>
        <w:t xml:space="preserve"> proposed</w:t>
      </w:r>
      <w:r w:rsidRPr="008A72E3">
        <w:t xml:space="preserve"> </w:t>
      </w:r>
      <w:r>
        <w:t>P</w:t>
      </w:r>
      <w:r w:rsidRPr="008A72E3">
        <w:t xml:space="preserve">olicy </w:t>
      </w:r>
      <w:r>
        <w:t>F</w:t>
      </w:r>
      <w:r w:rsidRPr="008A72E3">
        <w:t xml:space="preserve">ramework </w:t>
      </w:r>
      <w:r>
        <w:t xml:space="preserve">will </w:t>
      </w:r>
      <w:r w:rsidRPr="008A72E3">
        <w:t>provide various opportunities for consultation, as well as opportunities for stakeholders to participate in the working groups being established (see “Proposed work programme” below).</w:t>
      </w:r>
    </w:p>
    <w:p w14:paraId="23E8873E" w14:textId="77777777" w:rsidR="00BD6AB6" w:rsidRDefault="00BD6AB6" w:rsidP="00CA0C30">
      <w:pPr>
        <w:pStyle w:val="Heading1"/>
      </w:pPr>
      <w:r>
        <w:lastRenderedPageBreak/>
        <w:t xml:space="preserve">Policy options and provisional costs and benefits </w:t>
      </w:r>
    </w:p>
    <w:p w14:paraId="2A991570" w14:textId="43F8D9FD" w:rsidR="00AC2AE9" w:rsidRDefault="00BD6AB6" w:rsidP="00BD6AB6">
      <w:pPr>
        <w:jc w:val="both"/>
      </w:pPr>
      <w:r>
        <w:t xml:space="preserve">Policy options are outlined below along with a </w:t>
      </w:r>
      <w:r w:rsidR="00CD5373">
        <w:t xml:space="preserve">high-level </w:t>
      </w:r>
      <w:r>
        <w:t xml:space="preserve">indicative cost and benefit assessment.  Costs and benefits have been forecast over ten years out to 2030 and are shown in Australian Dollars (AUD), with discount rates of 7% (Australia) and 5% (New Zealand) applied. Energy savings are shown in gigawatt hours (GWh) and reductions in greenhouse gas emissions are shown in mega-tonnes (Mt) and kilo-tonnes (kt) of carbon dioxide equivalent (CO2-e). </w:t>
      </w:r>
    </w:p>
    <w:p w14:paraId="4DD84134" w14:textId="01BF5F76" w:rsidR="00BD6AB6" w:rsidRPr="00465992" w:rsidRDefault="00BD6AB6" w:rsidP="00BD6AB6">
      <w:pPr>
        <w:jc w:val="both"/>
      </w:pPr>
      <w:r>
        <w:t xml:space="preserve">The analysis </w:t>
      </w:r>
      <w:r w:rsidR="00AC7620">
        <w:t xml:space="preserve">of </w:t>
      </w:r>
      <w:r>
        <w:t xml:space="preserve">MEPS for solar and heat pump water heaters is </w:t>
      </w:r>
      <w:r w:rsidR="00AC7620">
        <w:t xml:space="preserve">drawn </w:t>
      </w:r>
      <w:r>
        <w:t>from an E3 Consultation RIS developed in 2015, which applied a twenty year assessment period. It is important to note that these figures need updating and are indicative only at this stage.</w:t>
      </w:r>
    </w:p>
    <w:p w14:paraId="7C4A47B8" w14:textId="77777777" w:rsidR="00BD6AB6" w:rsidRPr="00CA0C30" w:rsidRDefault="00BD6AB6" w:rsidP="00CA0C30">
      <w:pPr>
        <w:pStyle w:val="Heading2"/>
      </w:pPr>
      <w:r w:rsidRPr="00CA0C30">
        <w:rPr>
          <w:rStyle w:val="Heading3Char"/>
          <w:b w:val="0"/>
          <w:bCs/>
          <w:color w:val="ED1B24"/>
          <w:sz w:val="28"/>
        </w:rPr>
        <w:t xml:space="preserve">Adopting a technology-neutral </w:t>
      </w:r>
      <w:r w:rsidR="00CA0C30">
        <w:rPr>
          <w:rStyle w:val="Heading3Char"/>
          <w:b w:val="0"/>
          <w:bCs/>
          <w:color w:val="ED1B24"/>
          <w:sz w:val="28"/>
        </w:rPr>
        <w:t xml:space="preserve">test </w:t>
      </w:r>
      <w:r w:rsidRPr="00CA0C30">
        <w:rPr>
          <w:rStyle w:val="Heading3Char"/>
          <w:b w:val="0"/>
          <w:bCs/>
          <w:color w:val="ED1B24"/>
          <w:sz w:val="28"/>
        </w:rPr>
        <w:t>method and energy performance metric</w:t>
      </w:r>
      <w:r w:rsidRPr="00CA0C30">
        <w:t xml:space="preserve"> </w:t>
      </w:r>
    </w:p>
    <w:p w14:paraId="48AE6A42" w14:textId="28F7A68B" w:rsidR="00BD6AB6" w:rsidRDefault="00BD6AB6" w:rsidP="00BD6AB6">
      <w:pPr>
        <w:jc w:val="both"/>
      </w:pPr>
      <w:r>
        <w:t>This is a necessary prerequisite to developing information tools that enable comparisons between technologies, and minimum energy performance standards</w:t>
      </w:r>
      <w:r w:rsidR="003B6A3E">
        <w:t xml:space="preserve"> and energy labelling</w:t>
      </w:r>
      <w:r>
        <w:t xml:space="preserve"> that are common to all technologies. Identification and development of a suitable test method will be a time consuming exercise that will rely on extensive stakeholder input and a coordinated work programme across the three standards committees responsible for water heating </w:t>
      </w:r>
      <w:r w:rsidR="00AC7620">
        <w:t>s</w:t>
      </w:r>
      <w:r>
        <w:t xml:space="preserve">tandards. </w:t>
      </w:r>
      <w:r w:rsidR="00AC7620">
        <w:t xml:space="preserve">The </w:t>
      </w:r>
      <w:r>
        <w:t>EU approach to energy performance measurement has potential to provide a basis for the Australian and New Zealand method to be developed, along with the work that has commenced to update energy measurement protocols for gas water heaters. Alignment or convergence of test methods and energy performance measurement can potentially benefit industry by reducing their compliance burden.</w:t>
      </w:r>
    </w:p>
    <w:p w14:paraId="72280354" w14:textId="5672D4BC" w:rsidR="0064218F" w:rsidRPr="0064218F" w:rsidRDefault="00BD6AB6" w:rsidP="0064218F">
      <w:pPr>
        <w:jc w:val="both"/>
      </w:pPr>
      <w:r>
        <w:t xml:space="preserve">It will be necessary to </w:t>
      </w:r>
      <w:r w:rsidR="003B6A3E">
        <w:t xml:space="preserve">review and </w:t>
      </w:r>
      <w:r>
        <w:t>update</w:t>
      </w:r>
      <w:r w:rsidR="003B6A3E">
        <w:t>, if necessary,</w:t>
      </w:r>
      <w:r>
        <w:t xml:space="preserve"> the parameters for household hot water usage (i.e. typical household load and draw-off profiles) that are used to test, model and calculate energy performance. This will require a review of the available </w:t>
      </w:r>
      <w:r w:rsidR="003B6A3E">
        <w:t>evidence</w:t>
      </w:r>
      <w:r>
        <w:t xml:space="preserve"> on household hot water usage</w:t>
      </w:r>
      <w:r w:rsidR="00B80783">
        <w:t xml:space="preserve"> </w:t>
      </w:r>
      <w:r>
        <w:t>and a decision on</w:t>
      </w:r>
      <w:r w:rsidRPr="00994CAA">
        <w:t xml:space="preserve"> </w:t>
      </w:r>
      <w:r>
        <w:t xml:space="preserve">whether more research is required. Research of this nature </w:t>
      </w:r>
      <w:r w:rsidR="00AC7620">
        <w:t xml:space="preserve">would </w:t>
      </w:r>
      <w:r>
        <w:t>involve monitoring hot water use in a representative range of households (of varying sizes, locations, etc.).</w:t>
      </w:r>
      <w:r w:rsidRPr="009151F7">
        <w:t xml:space="preserve"> </w:t>
      </w:r>
      <w:r w:rsidR="004E6E8C">
        <w:t>A</w:t>
      </w:r>
      <w:r w:rsidR="0064218F">
        <w:t xml:space="preserve">ctual field measurement may be required </w:t>
      </w:r>
      <w:r w:rsidR="0064218F" w:rsidRPr="0064218F">
        <w:t xml:space="preserve">to find out how much hot water people actually use. </w:t>
      </w:r>
    </w:p>
    <w:p w14:paraId="662F4F19" w14:textId="6B7D2FBE" w:rsidR="00BD6AB6" w:rsidRDefault="00BD6AB6" w:rsidP="00BD6AB6">
      <w:pPr>
        <w:jc w:val="both"/>
      </w:pPr>
    </w:p>
    <w:p w14:paraId="3FFA6C37" w14:textId="77777777" w:rsidR="00BD6AB6" w:rsidRDefault="00BD6AB6" w:rsidP="00EC5834">
      <w:pPr>
        <w:pStyle w:val="Heading3"/>
        <w:rPr>
          <w:rFonts w:eastAsia="Calibri"/>
          <w:lang w:eastAsia="en-AU"/>
        </w:rPr>
      </w:pPr>
      <w:r w:rsidRPr="007A565E">
        <w:rPr>
          <w:rFonts w:eastAsia="Calibri"/>
          <w:lang w:eastAsia="en-AU"/>
        </w:rPr>
        <w:t>Costs and benefits</w:t>
      </w:r>
    </w:p>
    <w:p w14:paraId="051656AC" w14:textId="77777777" w:rsidR="00BD6AB6" w:rsidRPr="00AA2105" w:rsidRDefault="00BD6AB6" w:rsidP="00BD6AB6">
      <w:pPr>
        <w:jc w:val="both"/>
      </w:pPr>
      <w:r w:rsidRPr="00AA2105">
        <w:t xml:space="preserve">The costs and benefits of developing a technology neutral test method have not yet been assessed and will need to be explored in </w:t>
      </w:r>
      <w:r w:rsidR="00B80783">
        <w:t>more</w:t>
      </w:r>
      <w:r w:rsidRPr="00AA2105">
        <w:t xml:space="preserve"> detail</w:t>
      </w:r>
      <w:r w:rsidR="00B80783">
        <w:t>.</w:t>
      </w:r>
    </w:p>
    <w:p w14:paraId="4507AC0C" w14:textId="77777777" w:rsidR="00E6666A" w:rsidRDefault="00BD6AB6" w:rsidP="00EC5834">
      <w:pPr>
        <w:pStyle w:val="Heading2"/>
        <w:rPr>
          <w:rFonts w:eastAsia="Calibri"/>
          <w:u w:color="000000"/>
          <w:lang w:eastAsia="en-AU"/>
        </w:rPr>
      </w:pPr>
      <w:r w:rsidRPr="00243518">
        <w:rPr>
          <w:rFonts w:eastAsia="Calibri"/>
          <w:lang w:eastAsia="en-AU"/>
        </w:rPr>
        <w:t>Improving Information</w:t>
      </w:r>
    </w:p>
    <w:p w14:paraId="52601E9A" w14:textId="50A785C6" w:rsidR="00BD6AB6" w:rsidRPr="00AA2105" w:rsidRDefault="00BD6AB6" w:rsidP="00BD6AB6">
      <w:pPr>
        <w:jc w:val="both"/>
      </w:pPr>
      <w:r w:rsidRPr="00AA2105">
        <w:t>Consumers will be able to make more informed purchase decisions if they are provided with comparative information on the energy use</w:t>
      </w:r>
      <w:r w:rsidR="00E6207D">
        <w:t>, annual energy costs</w:t>
      </w:r>
      <w:r w:rsidRPr="00AA2105">
        <w:t xml:space="preserve"> and greenhouse gas emissions of water heaters. This could be achieved by</w:t>
      </w:r>
      <w:r w:rsidR="005B564F">
        <w:t xml:space="preserve"> testing to a common standard (see above) and</w:t>
      </w:r>
      <w:r w:rsidRPr="00AA2105">
        <w:t xml:space="preserve"> registering water heaters to the E3 Program’s online Energy Rating database. The data supplied can then be used with online tools such as search filters and calculators</w:t>
      </w:r>
      <w:r w:rsidR="005B564F">
        <w:t xml:space="preserve"> to enable consumers to make a fair comparison of water heater types/models for their location and </w:t>
      </w:r>
      <w:r w:rsidR="005B564F">
        <w:lastRenderedPageBreak/>
        <w:t>household</w:t>
      </w:r>
      <w:r w:rsidRPr="00AA2105">
        <w:t>, and to generate energy ratings and labels to improve</w:t>
      </w:r>
      <w:r w:rsidR="00AC7620">
        <w:t xml:space="preserve"> the</w:t>
      </w:r>
      <w:r w:rsidRPr="00AA2105">
        <w:t xml:space="preserve"> information</w:t>
      </w:r>
      <w:r w:rsidR="00AC7620">
        <w:t xml:space="preserve"> available</w:t>
      </w:r>
      <w:r w:rsidRPr="00AA2105">
        <w:t xml:space="preserve"> to consumers. </w:t>
      </w:r>
    </w:p>
    <w:p w14:paraId="4C82D668" w14:textId="1E9D5CB4" w:rsidR="00BD6AB6" w:rsidRPr="00AA2105" w:rsidRDefault="00AC7620" w:rsidP="00BD6AB6">
      <w:pPr>
        <w:jc w:val="both"/>
      </w:pPr>
      <w:r>
        <w:t>T</w:t>
      </w:r>
      <w:r w:rsidR="00BD6AB6" w:rsidRPr="00AA2105">
        <w:t>o develop a</w:t>
      </w:r>
      <w:r w:rsidR="00594819">
        <w:t xml:space="preserve"> commo</w:t>
      </w:r>
      <w:r w:rsidR="00BD6AB6" w:rsidRPr="00AA2105">
        <w:t xml:space="preserve">n energy rating label, work would be required to identify the appropriate performance parameters, metrics and design.  </w:t>
      </w:r>
      <w:r>
        <w:t>D</w:t>
      </w:r>
      <w:r w:rsidR="00BD6AB6" w:rsidRPr="00AA2105">
        <w:t>ecisions would need to be made on how much information to display on the label, whether or not it could include information specific to different climate zones, and whether to rate models in terms of their emissions, energy costs, or primary or secondary energy use</w:t>
      </w:r>
      <w:r>
        <w:t>.</w:t>
      </w:r>
      <w:r w:rsidR="00BD6AB6" w:rsidRPr="00AA2105">
        <w:t xml:space="preserve">  </w:t>
      </w:r>
      <w:r>
        <w:t>D</w:t>
      </w:r>
      <w:r w:rsidR="00BD6AB6" w:rsidRPr="00AA2105">
        <w:t xml:space="preserve">esign concepts would need to be tested with consumers. Given the different energy supply mixes across Australia and New Zealand, it </w:t>
      </w:r>
      <w:r>
        <w:t>may be</w:t>
      </w:r>
      <w:r w:rsidR="00BD6AB6" w:rsidRPr="00AA2105">
        <w:t xml:space="preserve"> that ratings would </w:t>
      </w:r>
      <w:r>
        <w:t xml:space="preserve">have to </w:t>
      </w:r>
      <w:r w:rsidR="00BD6AB6" w:rsidRPr="00AA2105">
        <w:t>be based on a ratio of energy used</w:t>
      </w:r>
      <w:r w:rsidR="0064218F">
        <w:t xml:space="preserve"> (at this stage we need further investigation on whether this would be based on primary or secondary energy use, the work program will seek to establish this) t</w:t>
      </w:r>
      <w:r w:rsidR="00BD6AB6" w:rsidRPr="00AA2105">
        <w:t xml:space="preserve">o hot water delivered, and that other comparisons could be made </w:t>
      </w:r>
      <w:r>
        <w:t>using</w:t>
      </w:r>
      <w:r w:rsidRPr="00AA2105">
        <w:t xml:space="preserve"> </w:t>
      </w:r>
      <w:r w:rsidR="00BD6AB6" w:rsidRPr="00AA2105">
        <w:t>an online tool that has the capacity to plug in different usage parameters.</w:t>
      </w:r>
    </w:p>
    <w:p w14:paraId="6F998D9F" w14:textId="75447D09" w:rsidR="00D73F51" w:rsidRDefault="00D73F51" w:rsidP="00BD6AB6">
      <w:pPr>
        <w:jc w:val="both"/>
      </w:pPr>
      <w:r>
        <w:t>Research to understand the benefits of smart technology and controls will need to be undertaken, and EEAT will make a decision on how to proceed based on evidence. If the benefits of</w:t>
      </w:r>
      <w:r w:rsidR="006B1614">
        <w:t xml:space="preserve"> </w:t>
      </w:r>
      <w:r>
        <w:t>s</w:t>
      </w:r>
      <w:r w:rsidR="00BD6AB6" w:rsidRPr="00AA2105">
        <w:t>mart</w:t>
      </w:r>
      <w:r>
        <w:t xml:space="preserve"> technologies or</w:t>
      </w:r>
      <w:r w:rsidR="00BD6AB6" w:rsidRPr="00AA2105">
        <w:t xml:space="preserve"> control capability</w:t>
      </w:r>
      <w:r>
        <w:t xml:space="preserve"> are deemed to be influential to reducing cost and greenhouse gas emissions then they</w:t>
      </w:r>
      <w:r w:rsidR="00BD6AB6" w:rsidRPr="00AA2105">
        <w:t xml:space="preserve"> could be included in the information captured</w:t>
      </w:r>
      <w:r>
        <w:t xml:space="preserve">, however, </w:t>
      </w:r>
      <w:r w:rsidR="0064218F">
        <w:t xml:space="preserve">defining the parameters of smart controls and its benefits will </w:t>
      </w:r>
      <w:r>
        <w:t xml:space="preserve">need to also be </w:t>
      </w:r>
      <w:r w:rsidR="0064218F">
        <w:t>undertaken by th</w:t>
      </w:r>
      <w:r>
        <w:t>e</w:t>
      </w:r>
      <w:r w:rsidR="0064218F">
        <w:t xml:space="preserve"> work program. </w:t>
      </w:r>
    </w:p>
    <w:p w14:paraId="027FB4DE" w14:textId="77777777" w:rsidR="00E6666A" w:rsidRDefault="00BD6AB6" w:rsidP="00EC5834">
      <w:pPr>
        <w:pStyle w:val="Heading3"/>
        <w:rPr>
          <w:rFonts w:eastAsia="Calibri"/>
          <w:u w:color="000000"/>
          <w:lang w:eastAsia="en-AU"/>
        </w:rPr>
      </w:pPr>
      <w:r w:rsidRPr="004625BC">
        <w:rPr>
          <w:rFonts w:eastAsia="Calibri"/>
          <w:u w:color="000000"/>
          <w:lang w:eastAsia="en-AU"/>
        </w:rPr>
        <w:t>Costs and benefits</w:t>
      </w:r>
    </w:p>
    <w:p w14:paraId="0DC9BA0E" w14:textId="3456F161" w:rsidR="009623E9" w:rsidRDefault="00BD6AB6" w:rsidP="00BD6AB6">
      <w:pPr>
        <w:jc w:val="both"/>
      </w:pPr>
      <w:r w:rsidRPr="00AA2105">
        <w:t xml:space="preserve">Developing an online comparison tool and database would involve combined costs to Australia and New Zealand </w:t>
      </w:r>
      <w:r w:rsidR="00AC7620">
        <w:t>of approximately</w:t>
      </w:r>
      <w:r w:rsidRPr="00AA2105">
        <w:t xml:space="preserve"> at </w:t>
      </w:r>
      <w:r w:rsidRPr="00146965">
        <w:t>$180M</w:t>
      </w:r>
      <w:r w:rsidR="0064218F" w:rsidRPr="0064218F">
        <w:t xml:space="preserve"> </w:t>
      </w:r>
      <w:r w:rsidR="0064218F">
        <w:t>(</w:t>
      </w:r>
      <w:r w:rsidR="0064218F" w:rsidRPr="0064218F">
        <w:t>There may be some overlap between the costs attributed to online information and those attributed to the energy rating label</w:t>
      </w:r>
      <w:r w:rsidR="0064218F">
        <w:t>)</w:t>
      </w:r>
      <w:r w:rsidRPr="00146965">
        <w:t xml:space="preserve"> </w:t>
      </w:r>
      <w:r>
        <w:t xml:space="preserve">over a ten year period to 2030, and </w:t>
      </w:r>
      <w:r w:rsidR="00AC7620">
        <w:t>provide</w:t>
      </w:r>
      <w:r>
        <w:t xml:space="preserve"> estimated $320M in combined benefits ($140</w:t>
      </w:r>
      <w:r w:rsidR="00AC7620">
        <w:t>M</w:t>
      </w:r>
      <w:r>
        <w:t xml:space="preserve"> net benefit). </w:t>
      </w:r>
      <w:r w:rsidR="003C36FE">
        <w:t xml:space="preserve">The costs </w:t>
      </w:r>
      <w:r w:rsidR="003C36FE" w:rsidRPr="003C36FE">
        <w:t xml:space="preserve">include </w:t>
      </w:r>
      <w:r w:rsidR="003C36FE">
        <w:t xml:space="preserve">testing and </w:t>
      </w:r>
      <w:r w:rsidR="003C36FE" w:rsidRPr="003C36FE">
        <w:t>registration, but</w:t>
      </w:r>
      <w:r w:rsidR="009623E9">
        <w:t xml:space="preserve"> are</w:t>
      </w:r>
      <w:r w:rsidR="003C36FE" w:rsidRPr="003C36FE">
        <w:t xml:space="preserve"> mainly</w:t>
      </w:r>
      <w:r w:rsidR="009623E9">
        <w:t xml:space="preserve"> made up of</w:t>
      </w:r>
      <w:r w:rsidR="003C36FE" w:rsidRPr="003C36FE">
        <w:t xml:space="preserve"> the</w:t>
      </w:r>
      <w:r w:rsidR="009623E9">
        <w:t xml:space="preserve"> capital</w:t>
      </w:r>
      <w:r w:rsidR="003C36FE" w:rsidRPr="003C36FE">
        <w:t xml:space="preserve"> cost of more efficient water heaters</w:t>
      </w:r>
      <w:r w:rsidR="009623E9">
        <w:t>,</w:t>
      </w:r>
      <w:r w:rsidR="003C36FE" w:rsidRPr="003C36FE">
        <w:t xml:space="preserve"> which are assumed to be bought.</w:t>
      </w:r>
      <w:r w:rsidR="003C36FE">
        <w:t xml:space="preserve"> </w:t>
      </w:r>
    </w:p>
    <w:p w14:paraId="4576B4CC" w14:textId="7789030B" w:rsidR="009623E9" w:rsidRDefault="00D139DD" w:rsidP="00BD6AB6">
      <w:pPr>
        <w:jc w:val="both"/>
      </w:pPr>
      <w:r>
        <w:t xml:space="preserve">Energy </w:t>
      </w:r>
      <w:r w:rsidR="00BD6AB6">
        <w:t>savings are estimated at 300 GWh (annual) and 1,300 GWh</w:t>
      </w:r>
      <w:r w:rsidR="00534AFD">
        <w:t xml:space="preserve"> (</w:t>
      </w:r>
      <w:r w:rsidR="00460FBB">
        <w:t>cumulative</w:t>
      </w:r>
      <w:r w:rsidR="00534AFD">
        <w:t>)</w:t>
      </w:r>
      <w:r w:rsidR="00BD6AB6">
        <w:t xml:space="preserve"> in Australia, and 42 GWh (annual) and 190 GWh (cumulative) in New Zealand by 2030. </w:t>
      </w:r>
      <w:r>
        <w:t>Cumulative e</w:t>
      </w:r>
      <w:r w:rsidR="00BD6AB6">
        <w:t>mission reductions by 2030 have been estimated at 1.08 Mt of CO2-e in Australia and 24 kt of CO2-e in New Zealand in total. These figures are based on solar and heat pump water heaters replacing 12% of electric storage</w:t>
      </w:r>
      <w:r w:rsidR="00BD6AB6">
        <w:rPr>
          <w:lang w:eastAsia="en-AU"/>
        </w:rPr>
        <w:t xml:space="preserve"> </w:t>
      </w:r>
      <w:r w:rsidR="00BD6AB6">
        <w:t>water heaters annually by 2025.</w:t>
      </w:r>
      <w:r w:rsidR="00956EFF">
        <w:t xml:space="preserve"> </w:t>
      </w:r>
    </w:p>
    <w:p w14:paraId="784A5D9F" w14:textId="08347E7C" w:rsidR="00BD6AB6" w:rsidRDefault="00956EFF" w:rsidP="00BD6AB6">
      <w:pPr>
        <w:jc w:val="both"/>
      </w:pPr>
      <w:r>
        <w:t xml:space="preserve">It is important to note that </w:t>
      </w:r>
      <w:r w:rsidR="00D139DD">
        <w:t xml:space="preserve">this </w:t>
      </w:r>
      <w:r>
        <w:t>replacement rate is based on an indicative estimate.</w:t>
      </w:r>
      <w:r w:rsidR="00BD6AB6">
        <w:t xml:space="preserve"> Estimated costs are mainly attributed to increases in the capital cost of water heaters.</w:t>
      </w:r>
      <w:r w:rsidR="0064218F">
        <w:t xml:space="preserve"> </w:t>
      </w:r>
      <w:r>
        <w:t>T</w:t>
      </w:r>
      <w:r w:rsidR="0064218F">
        <w:t xml:space="preserve">hese costs and benefits are indicative and as the work program commences there will be more clarity on figures. </w:t>
      </w:r>
    </w:p>
    <w:p w14:paraId="57F686B6" w14:textId="04262B41" w:rsidR="00BD6AB6" w:rsidRPr="00AA2105" w:rsidRDefault="00BD6AB6" w:rsidP="00BD6AB6">
      <w:pPr>
        <w:jc w:val="both"/>
      </w:pPr>
      <w:r>
        <w:t xml:space="preserve">This measure would enable the future development of MEPS and labelling initiatives, as well as </w:t>
      </w:r>
      <w:r w:rsidRPr="00A02330">
        <w:t>assisting other government initiatives and building codes by creating a consistent registry of information that is subject to compliance assessment.</w:t>
      </w:r>
    </w:p>
    <w:p w14:paraId="71DC320D" w14:textId="5E46A78B" w:rsidR="009623E9" w:rsidRDefault="00BD6AB6" w:rsidP="00BD6AB6">
      <w:pPr>
        <w:jc w:val="both"/>
      </w:pPr>
      <w:r w:rsidRPr="00AA2105">
        <w:t xml:space="preserve">The costs of applying a common energy rating label to all water heaters </w:t>
      </w:r>
      <w:r>
        <w:t>have been estimated at</w:t>
      </w:r>
      <w:r w:rsidRPr="00146965">
        <w:t xml:space="preserve"> $580M</w:t>
      </w:r>
      <w:r w:rsidR="00956EFF">
        <w:t xml:space="preserve"> </w:t>
      </w:r>
      <w:r w:rsidR="00956EFF" w:rsidRPr="00956EFF">
        <w:t>(There may be some overlap between the costs attributed to online infor</w:t>
      </w:r>
      <w:r w:rsidR="00956EFF" w:rsidRPr="00956EFF">
        <w:lastRenderedPageBreak/>
        <w:t xml:space="preserve">mation and those attributed to the energy rating label) </w:t>
      </w:r>
      <w:r>
        <w:t xml:space="preserve">for Australia and New Zealand combined, over a ten-year period out to 2030. The benefits are estimated at $835M ($255 net benefit). </w:t>
      </w:r>
    </w:p>
    <w:p w14:paraId="279ADEE4" w14:textId="579664B9" w:rsidR="00BD6AB6" w:rsidRDefault="00BD6AB6" w:rsidP="00BD6AB6">
      <w:pPr>
        <w:jc w:val="both"/>
      </w:pPr>
      <w:r>
        <w:t xml:space="preserve">Energy savings by 2030 could amount to 780 GWh (annual) and 4,100 GWh (cumulative) in Australia, and 110 GWh (annual) and 500 GWh (cumulative) in New Zealand. </w:t>
      </w:r>
      <w:r w:rsidR="00D139DD">
        <w:t>Cumulative g</w:t>
      </w:r>
      <w:r>
        <w:t>reenhouse gas emissions could be reduced by a total of 2.5 Mt CO2-e in Australia and 65 kt CO2-e in New Zealand over the period. These figures are based on solar and heat pump water heaters replacing 25% of electric storage water heaters annually by 2025.</w:t>
      </w:r>
      <w:r w:rsidR="00956EFF">
        <w:t xml:space="preserve"> </w:t>
      </w:r>
      <w:r w:rsidR="00956EFF" w:rsidRPr="00956EFF">
        <w:t>It is important to note that</w:t>
      </w:r>
      <w:r w:rsidR="00D139DD">
        <w:t xml:space="preserve"> this</w:t>
      </w:r>
      <w:r w:rsidR="00956EFF" w:rsidRPr="00956EFF">
        <w:t xml:space="preserve"> replacement rate is based on an indicative estimate. </w:t>
      </w:r>
      <w:r>
        <w:t xml:space="preserve"> Estimated costs are mainly attributed to increases in the capital cost of water heaters.</w:t>
      </w:r>
    </w:p>
    <w:p w14:paraId="7B65A472" w14:textId="403EBA95" w:rsidR="00BD6AB6" w:rsidRPr="00AA2105" w:rsidRDefault="00BD6AB6" w:rsidP="00BD6AB6">
      <w:pPr>
        <w:jc w:val="both"/>
      </w:pPr>
      <w:r w:rsidRPr="00AA2105">
        <w:t xml:space="preserve">The costs and benefits of </w:t>
      </w:r>
      <w:r w:rsidR="00A521B8" w:rsidRPr="00AA2105">
        <w:t>applying smart</w:t>
      </w:r>
      <w:r w:rsidR="009623E9">
        <w:t xml:space="preserve"> technology or</w:t>
      </w:r>
      <w:r w:rsidRPr="00AA2105">
        <w:t xml:space="preserve"> control endorsement</w:t>
      </w:r>
      <w:r w:rsidR="003C36FE">
        <w:t xml:space="preserve"> scheme</w:t>
      </w:r>
      <w:r w:rsidR="009623E9">
        <w:t>,</w:t>
      </w:r>
      <w:r w:rsidR="003C36FE">
        <w:t xml:space="preserve"> or</w:t>
      </w:r>
      <w:r w:rsidRPr="00AA2105">
        <w:t xml:space="preserve"> label have not been assessed</w:t>
      </w:r>
      <w:r w:rsidR="006B1614">
        <w:t>,</w:t>
      </w:r>
      <w:r w:rsidR="00F11CD8">
        <w:t xml:space="preserve"> further </w:t>
      </w:r>
      <w:r w:rsidR="00AF1913">
        <w:t xml:space="preserve">work on this will be required to confirm whether there is a strong case for an endorsement </w:t>
      </w:r>
      <w:r w:rsidR="009623E9">
        <w:t xml:space="preserve">scheme or </w:t>
      </w:r>
      <w:r w:rsidR="00AF1913">
        <w:t xml:space="preserve">label to be developed by </w:t>
      </w:r>
      <w:r w:rsidR="003C36FE">
        <w:t>Government.</w:t>
      </w:r>
      <w:r w:rsidRPr="00AA2105">
        <w:t xml:space="preserve"> </w:t>
      </w:r>
      <w:r w:rsidR="003C36FE">
        <w:t xml:space="preserve"> This work will need initial scoping on benefits to consumers to provide an evidence base for</w:t>
      </w:r>
      <w:r w:rsidR="00B92531">
        <w:t xml:space="preserve"> its</w:t>
      </w:r>
      <w:r w:rsidR="003C36FE">
        <w:t xml:space="preserve"> </w:t>
      </w:r>
      <w:r w:rsidR="00B92531">
        <w:t>inclusion</w:t>
      </w:r>
      <w:r w:rsidR="003C36FE">
        <w:t xml:space="preserve"> in the work program.    </w:t>
      </w:r>
    </w:p>
    <w:p w14:paraId="05629E88" w14:textId="7C95D894" w:rsidR="00917103" w:rsidRDefault="00BD6AB6" w:rsidP="00EC5834">
      <w:pPr>
        <w:pStyle w:val="Heading2"/>
      </w:pPr>
      <w:r w:rsidRPr="00243518">
        <w:t>Extending</w:t>
      </w:r>
      <w:r w:rsidR="00994883">
        <w:t xml:space="preserve"> and</w:t>
      </w:r>
      <w:r w:rsidR="00096E92">
        <w:t xml:space="preserve"> </w:t>
      </w:r>
      <w:r w:rsidRPr="00243518">
        <w:t xml:space="preserve">consolidating the coverage of MEPS </w:t>
      </w:r>
    </w:p>
    <w:p w14:paraId="57A54277" w14:textId="16AEE3FA" w:rsidR="00956EFF" w:rsidRPr="00956EFF" w:rsidRDefault="00BD6AB6" w:rsidP="00956EFF">
      <w:pPr>
        <w:jc w:val="both"/>
      </w:pPr>
      <w:r w:rsidRPr="00243518">
        <w:t xml:space="preserve">Extending MEPS to technologies that are not covered, </w:t>
      </w:r>
      <w:r w:rsidRPr="00EB2E0A">
        <w:t>including heat pump and solar water heaters, could capture additional cumulative energy savings and emission reductions at marginal extra cost. This could involve putting stand-alone MEPS in place for each of these technologies or developing a single, technology neutral MEPS to apply to all water heating technologies</w:t>
      </w:r>
      <w:r w:rsidR="00956EFF" w:rsidRPr="00EB2E0A">
        <w:t>.</w:t>
      </w:r>
      <w:r w:rsidR="00956EFF" w:rsidRPr="00956EFF">
        <w:t xml:space="preserve"> </w:t>
      </w:r>
      <w:r w:rsidR="00956EFF">
        <w:t xml:space="preserve">However, </w:t>
      </w:r>
      <w:r w:rsidR="00956EFF" w:rsidRPr="00956EFF">
        <w:t xml:space="preserve">the immediate priority is to extend MEPS coverage to those water heater types not currently covered, and then review the existing MEPS. </w:t>
      </w:r>
    </w:p>
    <w:p w14:paraId="33687749" w14:textId="177CCEFA" w:rsidR="00BD6AB6" w:rsidRPr="00EB2E0A" w:rsidRDefault="00BD6AB6" w:rsidP="00BD6AB6">
      <w:pPr>
        <w:jc w:val="both"/>
      </w:pPr>
      <w:r w:rsidRPr="00EB2E0A">
        <w:t>MEPS compliance could be established through registering products to the same Energy Rating database used for existing MEPS registrations.  The data captured could be used in consumer information measures, such as online comparison tools and energy rating labels. As with information and labelling measures, MEPS development cannot begin until an appropriate method of test has been identified to establish the basis for a fair and consistent comparison between different water heater technologies.</w:t>
      </w:r>
    </w:p>
    <w:p w14:paraId="49B507FB" w14:textId="77777777" w:rsidR="00917103" w:rsidRPr="00EB2E0A" w:rsidRDefault="00BD6AB6" w:rsidP="00EC5834">
      <w:pPr>
        <w:pStyle w:val="Heading3"/>
        <w:rPr>
          <w:rFonts w:eastAsiaTheme="minorHAnsi"/>
        </w:rPr>
      </w:pPr>
      <w:r w:rsidRPr="00EB2E0A">
        <w:rPr>
          <w:rFonts w:eastAsiaTheme="minorHAnsi"/>
        </w:rPr>
        <w:t>Costs and benefits</w:t>
      </w:r>
    </w:p>
    <w:p w14:paraId="41000791" w14:textId="39C5E590" w:rsidR="00BD6AB6" w:rsidRPr="00EB2E0A" w:rsidRDefault="00994883" w:rsidP="00BD6AB6">
      <w:pPr>
        <w:jc w:val="both"/>
      </w:pPr>
      <w:r>
        <w:t>E</w:t>
      </w:r>
      <w:r w:rsidR="00BD6AB6" w:rsidRPr="00EB2E0A">
        <w:t xml:space="preserve">xtending MEPS to heat pump and solar water heaters could result in up to 1800 GWh of </w:t>
      </w:r>
      <w:r w:rsidR="00467515">
        <w:t xml:space="preserve">additional </w:t>
      </w:r>
      <w:r w:rsidR="00BD6AB6" w:rsidRPr="00EB2E0A">
        <w:t>energy savings and benefits valued at $200</w:t>
      </w:r>
      <w:r>
        <w:t>M</w:t>
      </w:r>
      <w:r w:rsidRPr="00EB2E0A">
        <w:t xml:space="preserve"> </w:t>
      </w:r>
      <w:r w:rsidR="00BD6AB6" w:rsidRPr="00EB2E0A">
        <w:t>($</w:t>
      </w:r>
      <w:r w:rsidR="00096E92" w:rsidRPr="00EB2E0A">
        <w:t>110</w:t>
      </w:r>
      <w:r w:rsidR="00096E92">
        <w:t>M</w:t>
      </w:r>
      <w:r w:rsidR="00096E92" w:rsidRPr="00EB2E0A">
        <w:t xml:space="preserve"> net</w:t>
      </w:r>
      <w:r w:rsidR="00BD6AB6" w:rsidRPr="00EB2E0A">
        <w:t xml:space="preserve"> benefit) over twenty years, at a cost of up to $90</w:t>
      </w:r>
      <w:r>
        <w:t>M</w:t>
      </w:r>
      <w:r w:rsidR="00BD6AB6" w:rsidRPr="00EB2E0A">
        <w:t xml:space="preserve">. (This is sourced from the E3 Consultation RIS developed in 2013 to consult on proposed MEPS at that </w:t>
      </w:r>
      <w:r w:rsidR="00AF1913" w:rsidRPr="00EB2E0A">
        <w:t>time and</w:t>
      </w:r>
      <w:r w:rsidR="00BD6AB6" w:rsidRPr="00EB2E0A">
        <w:t xml:space="preserve"> is based on setting MEPS at a level that would increase energy savings by 65% above business as usual.) </w:t>
      </w:r>
    </w:p>
    <w:p w14:paraId="392F2848" w14:textId="77777777" w:rsidR="00BD6AB6" w:rsidRPr="00EB2E0A" w:rsidRDefault="00BD6AB6" w:rsidP="00EB2E0A">
      <w:pPr>
        <w:jc w:val="both"/>
      </w:pPr>
      <w:r w:rsidRPr="00EB2E0A">
        <w:t>The cost and benefit of introducing a single MEPS for all water heaters is yet to be assessed and would depend on the metric and level applied.</w:t>
      </w:r>
    </w:p>
    <w:p w14:paraId="61292D7E" w14:textId="59767CD2" w:rsidR="004E73D2" w:rsidRDefault="004E73D2" w:rsidP="00D4403E">
      <w:pPr>
        <w:pStyle w:val="TableName"/>
        <w:rPr>
          <w:b w:val="0"/>
        </w:rPr>
      </w:pPr>
      <w:r w:rsidRPr="007C757A">
        <w:lastRenderedPageBreak/>
        <w:t>Summary of provisional cost and benefits of the different policy options</w:t>
      </w:r>
      <w:r w:rsidR="007675C7">
        <w:rPr>
          <w:rStyle w:val="FootnoteReference"/>
        </w:rPr>
        <w:footnoteReference w:id="8"/>
      </w:r>
    </w:p>
    <w:p w14:paraId="03C324BA" w14:textId="77777777" w:rsidR="004E73D2" w:rsidRDefault="004E73D2" w:rsidP="00BD6AB6">
      <w:r w:rsidRPr="00FC0F89">
        <w:rPr>
          <w:noProof/>
          <w:lang w:val="en-NZ" w:eastAsia="en-NZ"/>
        </w:rPr>
        <w:drawing>
          <wp:inline distT="0" distB="0" distL="0" distR="0" wp14:anchorId="1118E068" wp14:editId="274899CB">
            <wp:extent cx="5731510" cy="2473753"/>
            <wp:effectExtent l="0" t="0" r="2540" b="3175"/>
            <wp:docPr id="7" name="Picture 7" descr="Measure – Test method development, Standards development, Domestic hot water use research, not assessed. &#10;Measure – Online comparison tool and database, Cost (AUD) $180 M, Benefit (AUD) $320 M (net: $140 M), Energy savings – Australia: 1300 GWh, New Zealand: 190 GWh, GHG savings (Mt/kt CO 2-e) Australia: 1.08 Mt, New Zealand: 24 kt.&#10;Measure – Energy rating label, Cost (AUD) $580 M, Benefit (AUD) $835 M (net: $255 M), Energy savings – Australia: 4100 GWh, New Zealand: 500 GWh, GHG savings (Mt/kt CO 2-e) Australia: 2.5 Mt, New Zealand: 65 kt.&#10;Measure – Smart capability endorsement, not assessed but would likely involve low costs to the government and participating industry members. &#10;Measure – Solar water heaters MEPS, Heat pump water heaters MEPS, Cost (AUD) $90 M, Benefit (AUD) $200 M (net: $110 M), Energy savings – 1800 GWh, GHG savings (Mt/kt CO 2-e) not assessed.&#10;Measure – Technology neutral MEPS, not assessed: would depend on the metric and level applied. " title="Summary of provisional cost and benefits of the different policy op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email">
                      <a:extLst>
                        <a:ext uri="{28A0092B-C50C-407E-A947-70E740481C1C}">
                          <a14:useLocalDpi xmlns:a14="http://schemas.microsoft.com/office/drawing/2010/main"/>
                        </a:ext>
                      </a:extLst>
                    </a:blip>
                    <a:srcRect/>
                    <a:stretch>
                      <a:fillRect/>
                    </a:stretch>
                  </pic:blipFill>
                  <pic:spPr bwMode="auto">
                    <a:xfrm>
                      <a:off x="0" y="0"/>
                      <a:ext cx="5731510" cy="2473753"/>
                    </a:xfrm>
                    <a:prstGeom prst="rect">
                      <a:avLst/>
                    </a:prstGeom>
                    <a:noFill/>
                    <a:ln>
                      <a:noFill/>
                    </a:ln>
                  </pic:spPr>
                </pic:pic>
              </a:graphicData>
            </a:graphic>
          </wp:inline>
        </w:drawing>
      </w:r>
    </w:p>
    <w:p w14:paraId="7064A0E6" w14:textId="77777777" w:rsidR="004E73D2" w:rsidRDefault="004E73D2" w:rsidP="00EC5834">
      <w:pPr>
        <w:pStyle w:val="Heading1"/>
      </w:pPr>
      <w:r>
        <w:t xml:space="preserve">Proposed work programme </w:t>
      </w:r>
    </w:p>
    <w:p w14:paraId="35F77724" w14:textId="565F9F0D" w:rsidR="00956EFF" w:rsidRPr="00956EFF" w:rsidRDefault="004E73D2" w:rsidP="00956EFF">
      <w:pPr>
        <w:jc w:val="both"/>
      </w:pPr>
      <w:r w:rsidRPr="005F6A31">
        <w:t>A five-year work programme is proposed to develop and implement measures in close partnership and consultation with stakeholders</w:t>
      </w:r>
      <w:r>
        <w:t>. This will be spread across two work</w:t>
      </w:r>
      <w:r w:rsidR="00D66CE1">
        <w:t>-</w:t>
      </w:r>
      <w:r>
        <w:t>streams and three phases of development, as set out below and in the accompanying Five Year Roadmap.</w:t>
      </w:r>
      <w:r w:rsidR="00956EFF" w:rsidRPr="00956EFF">
        <w:rPr>
          <w:sz w:val="20"/>
        </w:rPr>
        <w:t xml:space="preserve"> </w:t>
      </w:r>
      <w:r w:rsidR="00956EFF">
        <w:t>T</w:t>
      </w:r>
      <w:r w:rsidR="00956EFF" w:rsidRPr="00956EFF">
        <w:t xml:space="preserve">his work will be undertaken under the </w:t>
      </w:r>
      <w:r w:rsidR="00956EFF">
        <w:t>E3 program</w:t>
      </w:r>
      <w:r w:rsidR="00956EFF" w:rsidRPr="00956EFF">
        <w:t xml:space="preserve">, </w:t>
      </w:r>
      <w:r w:rsidR="00055726">
        <w:t>under the guidance of EEAT.</w:t>
      </w:r>
      <w:r w:rsidR="00956EFF">
        <w:t xml:space="preserve"> </w:t>
      </w:r>
      <w:r w:rsidR="00055726">
        <w:t>F</w:t>
      </w:r>
      <w:r w:rsidR="00956EFF" w:rsidRPr="00956EFF">
        <w:t>inal regulatory decisions will be made by COAG Energy Council.</w:t>
      </w:r>
    </w:p>
    <w:p w14:paraId="6F95A642" w14:textId="77777777" w:rsidR="004E73D2" w:rsidRPr="00427A63" w:rsidRDefault="004E73D2" w:rsidP="00EC5834">
      <w:pPr>
        <w:pStyle w:val="Heading2"/>
      </w:pPr>
      <w:r w:rsidRPr="00427A63">
        <w:t>Phase One</w:t>
      </w:r>
      <w:r>
        <w:t xml:space="preserve"> </w:t>
      </w:r>
    </w:p>
    <w:p w14:paraId="3C91D9B2" w14:textId="77777777" w:rsidR="002C74C9" w:rsidRDefault="004E73D2" w:rsidP="004E73D2">
      <w:pPr>
        <w:jc w:val="both"/>
      </w:pPr>
      <w:r>
        <w:t xml:space="preserve">Phase One </w:t>
      </w:r>
      <w:r w:rsidR="00994883">
        <w:t>would proceed over</w:t>
      </w:r>
      <w:r>
        <w:t xml:space="preserve"> 2018</w:t>
      </w:r>
      <w:r w:rsidR="00994883">
        <w:t>-</w:t>
      </w:r>
      <w:r>
        <w:t>19 and begin with</w:t>
      </w:r>
      <w:r w:rsidR="0043016C">
        <w:t xml:space="preserve"> the Hot Water Project Team</w:t>
      </w:r>
      <w:r>
        <w:t xml:space="preserve"> establishing</w:t>
      </w:r>
      <w:r w:rsidR="002C74C9">
        <w:t>:</w:t>
      </w:r>
    </w:p>
    <w:p w14:paraId="0C292C84" w14:textId="789E75C2" w:rsidR="002C74C9" w:rsidRDefault="000B1CDC" w:rsidP="000B1CDC">
      <w:pPr>
        <w:pStyle w:val="ListParagraph"/>
        <w:numPr>
          <w:ilvl w:val="0"/>
          <w:numId w:val="17"/>
        </w:numPr>
        <w:jc w:val="both"/>
      </w:pPr>
      <w:r>
        <w:t>A</w:t>
      </w:r>
      <w:r w:rsidR="004E73D2">
        <w:t xml:space="preserve"> </w:t>
      </w:r>
      <w:r w:rsidR="0043016C">
        <w:t>Hot Water Technical Working Group of</w:t>
      </w:r>
      <w:r w:rsidR="003B334B">
        <w:t xml:space="preserve"> technical experts that include</w:t>
      </w:r>
      <w:r w:rsidR="0044041E">
        <w:t xml:space="preserve"> government officials</w:t>
      </w:r>
      <w:r w:rsidR="004E73D2">
        <w:t xml:space="preserve"> and sector representatives to advise on </w:t>
      </w:r>
      <w:r w:rsidR="00D139DD">
        <w:t xml:space="preserve">measurement </w:t>
      </w:r>
      <w:r w:rsidR="004E73D2">
        <w:t>standards and testing</w:t>
      </w:r>
      <w:r w:rsidR="00055C37">
        <w:t>, and</w:t>
      </w:r>
    </w:p>
    <w:p w14:paraId="257EF417" w14:textId="189864F0" w:rsidR="002C74C9" w:rsidRDefault="000B1CDC" w:rsidP="000B1CDC">
      <w:pPr>
        <w:pStyle w:val="ListParagraph"/>
        <w:numPr>
          <w:ilvl w:val="0"/>
          <w:numId w:val="17"/>
        </w:numPr>
        <w:jc w:val="both"/>
      </w:pPr>
      <w:r>
        <w:t>A</w:t>
      </w:r>
      <w:r w:rsidR="004E73D2">
        <w:t xml:space="preserve"> </w:t>
      </w:r>
      <w:r w:rsidR="0043016C" w:rsidRPr="0043016C">
        <w:t>Hot Water Stakeholder Reference Group</w:t>
      </w:r>
      <w:r w:rsidR="003B334B">
        <w:t xml:space="preserve"> that includes</w:t>
      </w:r>
      <w:r w:rsidR="0043016C" w:rsidRPr="0043016C">
        <w:t xml:space="preserve"> </w:t>
      </w:r>
      <w:r w:rsidR="0043016C">
        <w:t>industry and consumer</w:t>
      </w:r>
      <w:r w:rsidR="003B334B">
        <w:t xml:space="preserve"> stakeholder</w:t>
      </w:r>
      <w:r w:rsidR="0043016C">
        <w:t xml:space="preserve"> groups</w:t>
      </w:r>
      <w:r w:rsidR="003B334B">
        <w:t>, in the hot water sector</w:t>
      </w:r>
      <w:r w:rsidR="0043016C">
        <w:t xml:space="preserve"> to provide feedback to the Hot Water Project Team</w:t>
      </w:r>
      <w:r w:rsidR="003B334B">
        <w:t>,</w:t>
      </w:r>
      <w:r w:rsidR="002C74C9">
        <w:t xml:space="preserve"> as and when it is required on relevant information or </w:t>
      </w:r>
      <w:r>
        <w:t xml:space="preserve">documents. </w:t>
      </w:r>
    </w:p>
    <w:p w14:paraId="5B182E35" w14:textId="3B30CAB3" w:rsidR="004E73D2" w:rsidRDefault="0043016C" w:rsidP="004E73D2">
      <w:pPr>
        <w:jc w:val="both"/>
      </w:pPr>
      <w:r>
        <w:t xml:space="preserve">The Hot Water Project Team will use the input from both the Technical Working Group and Hot Water Stakeholder Reference Group to develop </w:t>
      </w:r>
      <w:r w:rsidR="00D139DD">
        <w:t xml:space="preserve">measurement </w:t>
      </w:r>
      <w:r>
        <w:t>standards and testing, and policy</w:t>
      </w:r>
      <w:r w:rsidR="002C74C9">
        <w:t xml:space="preserve"> options</w:t>
      </w:r>
      <w:r>
        <w:t xml:space="preserve"> for EEAT to consider and approve. </w:t>
      </w:r>
    </w:p>
    <w:p w14:paraId="545D2185" w14:textId="77777777" w:rsidR="000539BA" w:rsidRDefault="000539BA" w:rsidP="004E73D2">
      <w:pPr>
        <w:jc w:val="both"/>
      </w:pPr>
      <w:r>
        <w:t>The</w:t>
      </w:r>
      <w:r w:rsidRPr="000539BA">
        <w:t xml:space="preserve"> </w:t>
      </w:r>
      <w:r>
        <w:t>Hot Water Technical Working G</w:t>
      </w:r>
      <w:r w:rsidRPr="000539BA">
        <w:t xml:space="preserve">roup will make technical recommendations to the Hot Water Project Team, which will then be presented to EEAT for consideration and approval. </w:t>
      </w:r>
    </w:p>
    <w:p w14:paraId="00D55A76" w14:textId="0C9355C2" w:rsidR="000539BA" w:rsidRDefault="00087B63" w:rsidP="004E73D2">
      <w:pPr>
        <w:jc w:val="both"/>
      </w:pPr>
      <w:r>
        <w:t>T</w:t>
      </w:r>
      <w:r w:rsidR="004E73D2">
        <w:t xml:space="preserve">he </w:t>
      </w:r>
      <w:r w:rsidR="0043016C">
        <w:t>Hot Water T</w:t>
      </w:r>
      <w:r w:rsidR="004E73D2">
        <w:t xml:space="preserve">echnical </w:t>
      </w:r>
      <w:r w:rsidR="0043016C">
        <w:t>W</w:t>
      </w:r>
      <w:r w:rsidR="004E73D2">
        <w:t xml:space="preserve">orking </w:t>
      </w:r>
      <w:r w:rsidR="000539BA">
        <w:t>Group, under</w:t>
      </w:r>
      <w:r w:rsidR="00F512AF">
        <w:t xml:space="preserve"> the guidance of the Hot Water Project Team</w:t>
      </w:r>
      <w:r w:rsidR="000539BA">
        <w:t>,</w:t>
      </w:r>
      <w:r w:rsidR="00956EFF">
        <w:t xml:space="preserve"> will report to EEAT</w:t>
      </w:r>
      <w:r w:rsidR="000539BA">
        <w:t>.</w:t>
      </w:r>
      <w:r w:rsidR="00956EFF">
        <w:t xml:space="preserve"> </w:t>
      </w:r>
    </w:p>
    <w:p w14:paraId="49B18763" w14:textId="7ECBF60D" w:rsidR="004E73D2" w:rsidRDefault="000539BA" w:rsidP="004E73D2">
      <w:pPr>
        <w:jc w:val="both"/>
      </w:pPr>
      <w:r>
        <w:t xml:space="preserve">The Hot </w:t>
      </w:r>
      <w:r w:rsidR="000B1CDC">
        <w:t>W</w:t>
      </w:r>
      <w:r>
        <w:t xml:space="preserve">ater Technical Working Group </w:t>
      </w:r>
      <w:r w:rsidR="004E73D2">
        <w:t>during Phase One will be t</w:t>
      </w:r>
      <w:r w:rsidR="00956EFF">
        <w:t>asked with</w:t>
      </w:r>
      <w:r w:rsidR="004E73D2">
        <w:t>:</w:t>
      </w:r>
    </w:p>
    <w:p w14:paraId="36845F89" w14:textId="3FA2F642" w:rsidR="004E73D2" w:rsidRDefault="00B2117E" w:rsidP="00EC5834">
      <w:pPr>
        <w:pStyle w:val="Bullets-Major"/>
      </w:pPr>
      <w:r>
        <w:t>Reviewing</w:t>
      </w:r>
      <w:r w:rsidRPr="005F6A31">
        <w:t xml:space="preserve"> </w:t>
      </w:r>
      <w:r w:rsidR="004E73D2" w:rsidRPr="005F6A31">
        <w:t>current data</w:t>
      </w:r>
      <w:r w:rsidR="000539BA">
        <w:t xml:space="preserve"> for the Hot Water Project Team</w:t>
      </w:r>
      <w:r w:rsidR="004E73D2" w:rsidRPr="005F6A31">
        <w:t xml:space="preserve"> </w:t>
      </w:r>
      <w:r w:rsidR="000539BA" w:rsidRPr="005F6A31">
        <w:t>on hot</w:t>
      </w:r>
      <w:r w:rsidR="004E73D2" w:rsidRPr="005F6A31">
        <w:t xml:space="preserve"> water usage in households, and identify whether</w:t>
      </w:r>
      <w:r w:rsidR="00055C37">
        <w:t>,</w:t>
      </w:r>
      <w:r w:rsidR="004E73D2" w:rsidRPr="005F6A31">
        <w:t xml:space="preserve"> and what further resea</w:t>
      </w:r>
      <w:r w:rsidR="004E73D2">
        <w:t>r</w:t>
      </w:r>
      <w:r w:rsidR="004E73D2" w:rsidRPr="005F6A31">
        <w:t>ch is needed</w:t>
      </w:r>
      <w:r w:rsidR="0044041E">
        <w:t xml:space="preserve"> to develop </w:t>
      </w:r>
      <w:r w:rsidR="0044041E">
        <w:lastRenderedPageBreak/>
        <w:t xml:space="preserve">hot water usage profiles for use in </w:t>
      </w:r>
      <w:r>
        <w:t xml:space="preserve">a </w:t>
      </w:r>
      <w:r w:rsidR="0044041E">
        <w:t xml:space="preserve">common </w:t>
      </w:r>
      <w:r w:rsidR="00D139DD">
        <w:t xml:space="preserve">measurement </w:t>
      </w:r>
      <w:r w:rsidR="0044041E">
        <w:t>standard</w:t>
      </w:r>
      <w:r w:rsidR="000539BA">
        <w:t>. The Hot Water Project Team will then present</w:t>
      </w:r>
      <w:r w:rsidR="003B334B">
        <w:t>s any findings</w:t>
      </w:r>
      <w:r w:rsidR="000539BA">
        <w:t xml:space="preserve"> to EEAT for decisions</w:t>
      </w:r>
      <w:r w:rsidR="004E73D2">
        <w:t xml:space="preserve">; </w:t>
      </w:r>
    </w:p>
    <w:p w14:paraId="0F51D21B" w14:textId="3D5244B4" w:rsidR="004E73D2" w:rsidRDefault="000006DD" w:rsidP="00B2117E">
      <w:pPr>
        <w:pStyle w:val="Bullets-Major"/>
      </w:pPr>
      <w:r>
        <w:t>Review</w:t>
      </w:r>
      <w:r w:rsidR="00B2117E">
        <w:t>ing the</w:t>
      </w:r>
      <w:r w:rsidR="004E73D2" w:rsidRPr="005F6A31">
        <w:t xml:space="preserve"> approach for developing common testing requirements to apply across hot water technologies</w:t>
      </w:r>
      <w:r w:rsidR="00B2117E">
        <w:t>,</w:t>
      </w:r>
      <w:r w:rsidR="00B2117E" w:rsidRPr="00B2117E">
        <w:t xml:space="preserve"> </w:t>
      </w:r>
      <w:r w:rsidR="00055C37">
        <w:t xml:space="preserve">and </w:t>
      </w:r>
      <w:r w:rsidR="00B2117E" w:rsidRPr="00B2117E">
        <w:t>identify whether</w:t>
      </w:r>
      <w:r w:rsidR="00055C37">
        <w:t>,</w:t>
      </w:r>
      <w:r w:rsidR="00B2117E" w:rsidRPr="00B2117E">
        <w:t xml:space="preserve"> and what further research is needed to develop</w:t>
      </w:r>
      <w:r w:rsidR="00B2117E">
        <w:t xml:space="preserve"> a common test method. This</w:t>
      </w:r>
      <w:r w:rsidR="00ED56D7">
        <w:t xml:space="preserve"> </w:t>
      </w:r>
      <w:r w:rsidR="00B2117E">
        <w:t xml:space="preserve">will </w:t>
      </w:r>
      <w:r w:rsidR="00ED56D7">
        <w:t xml:space="preserve">include, reviewing </w:t>
      </w:r>
      <w:r w:rsidR="00055C37">
        <w:t>test</w:t>
      </w:r>
      <w:r w:rsidR="00B2117E">
        <w:t xml:space="preserve"> methods</w:t>
      </w:r>
      <w:r w:rsidR="00055C37">
        <w:t>,</w:t>
      </w:r>
      <w:r w:rsidR="00ED56D7">
        <w:t xml:space="preserve"> and </w:t>
      </w:r>
      <w:r w:rsidR="00055C37">
        <w:t xml:space="preserve">assessing their </w:t>
      </w:r>
      <w:r w:rsidR="00ED56D7" w:rsidRPr="00ED56D7">
        <w:t>capability</w:t>
      </w:r>
      <w:r w:rsidR="00055C37">
        <w:t xml:space="preserve"> in providing a technology agnostic test methodology</w:t>
      </w:r>
      <w:r w:rsidR="00B2117E">
        <w:t>.</w:t>
      </w:r>
      <w:r w:rsidR="000539BA" w:rsidRPr="000539BA">
        <w:t xml:space="preserve"> </w:t>
      </w:r>
      <w:r w:rsidR="00B2117E">
        <w:t>T</w:t>
      </w:r>
      <w:r w:rsidR="000539BA" w:rsidRPr="000539BA">
        <w:t>he Hot Water Project Team</w:t>
      </w:r>
      <w:r w:rsidR="00B2117E">
        <w:t xml:space="preserve"> </w:t>
      </w:r>
      <w:r w:rsidR="00083D53">
        <w:t>will</w:t>
      </w:r>
      <w:r w:rsidR="00083D53" w:rsidRPr="000539BA">
        <w:t xml:space="preserve"> </w:t>
      </w:r>
      <w:r w:rsidR="00083D53">
        <w:t>present</w:t>
      </w:r>
      <w:r w:rsidR="00B2117E">
        <w:t xml:space="preserve"> these findings</w:t>
      </w:r>
      <w:r w:rsidR="000539BA">
        <w:t xml:space="preserve"> to</w:t>
      </w:r>
      <w:r w:rsidR="000539BA" w:rsidRPr="000539BA">
        <w:t xml:space="preserve"> EEAT for decisions</w:t>
      </w:r>
      <w:r w:rsidR="00B2117E">
        <w:t xml:space="preserve">. </w:t>
      </w:r>
    </w:p>
    <w:p w14:paraId="65B7FBD5" w14:textId="77777777" w:rsidR="00B2117E" w:rsidRDefault="00B2117E" w:rsidP="00594085">
      <w:pPr>
        <w:jc w:val="both"/>
      </w:pPr>
    </w:p>
    <w:p w14:paraId="2A30B074" w14:textId="5155DACE" w:rsidR="00594085" w:rsidRPr="00594085" w:rsidRDefault="004E73D2" w:rsidP="00594085">
      <w:pPr>
        <w:jc w:val="both"/>
      </w:pPr>
      <w:r w:rsidRPr="001847B3">
        <w:t>Detailed research will be required into options for test</w:t>
      </w:r>
      <w:r>
        <w:t xml:space="preserve">ing </w:t>
      </w:r>
      <w:r w:rsidRPr="001847B3">
        <w:t>that cover conventional</w:t>
      </w:r>
      <w:r>
        <w:t xml:space="preserve"> </w:t>
      </w:r>
      <w:r w:rsidRPr="001847B3">
        <w:t>and renewable fuelled water heaters</w:t>
      </w:r>
      <w:r>
        <w:t>,</w:t>
      </w:r>
      <w:r w:rsidRPr="001847B3">
        <w:t xml:space="preserve"> including potential new types of water heater (e.g. </w:t>
      </w:r>
      <w:r>
        <w:t>s</w:t>
      </w:r>
      <w:r w:rsidRPr="001847B3">
        <w:t xml:space="preserve">olar (PV) </w:t>
      </w:r>
      <w:r>
        <w:t>e</w:t>
      </w:r>
      <w:r w:rsidRPr="001847B3">
        <w:t xml:space="preserve">lectric water heaters). </w:t>
      </w:r>
      <w:r w:rsidR="00594085" w:rsidRPr="00594085">
        <w:t xml:space="preserve">The initial focus </w:t>
      </w:r>
      <w:r w:rsidR="00594085">
        <w:t>will be</w:t>
      </w:r>
      <w:r w:rsidR="00594085" w:rsidRPr="00594085">
        <w:t xml:space="preserve"> on the existing commercial</w:t>
      </w:r>
      <w:r w:rsidR="001B6415">
        <w:t>ly available</w:t>
      </w:r>
      <w:r w:rsidR="00594085" w:rsidRPr="00594085">
        <w:t xml:space="preserve"> water heater types. </w:t>
      </w:r>
    </w:p>
    <w:p w14:paraId="122160AF" w14:textId="63A8025D" w:rsidR="00055C37" w:rsidRDefault="004E73D2" w:rsidP="004E73D2">
      <w:pPr>
        <w:jc w:val="both"/>
      </w:pPr>
      <w:r w:rsidRPr="001847B3">
        <w:t xml:space="preserve">This </w:t>
      </w:r>
      <w:r w:rsidR="003B334B">
        <w:t>may</w:t>
      </w:r>
      <w:r w:rsidR="003B334B" w:rsidRPr="001847B3">
        <w:t xml:space="preserve"> </w:t>
      </w:r>
      <w:r w:rsidRPr="001847B3">
        <w:t>take into account existing methods and new options.  Test methods need to be capable of check testing to ensure that compliance in the market</w:t>
      </w:r>
      <w:r>
        <w:t xml:space="preserve"> can be verified</w:t>
      </w:r>
      <w:r w:rsidRPr="001847B3">
        <w:t xml:space="preserve">.  This </w:t>
      </w:r>
      <w:r w:rsidR="00ED56D7">
        <w:t>may include</w:t>
      </w:r>
      <w:r w:rsidR="00ED56D7" w:rsidRPr="001847B3">
        <w:t xml:space="preserve"> </w:t>
      </w:r>
      <w:r w:rsidRPr="001847B3">
        <w:t>cover tank heat losses</w:t>
      </w:r>
      <w:r>
        <w:t>;</w:t>
      </w:r>
      <w:r w:rsidRPr="001847B3">
        <w:t xml:space="preserve"> </w:t>
      </w:r>
      <w:r w:rsidR="00ED56D7">
        <w:t>demand</w:t>
      </w:r>
      <w:r w:rsidRPr="001847B3">
        <w:t xml:space="preserve"> algorithms</w:t>
      </w:r>
      <w:r>
        <w:t>;</w:t>
      </w:r>
      <w:r w:rsidRPr="001847B3">
        <w:t xml:space="preserve"> and heat pump</w:t>
      </w:r>
      <w:r w:rsidR="00055C37">
        <w:t>s</w:t>
      </w:r>
      <w:r w:rsidRPr="001847B3">
        <w:t>, collector or performance characteristics.</w:t>
      </w:r>
      <w:r w:rsidR="00594085">
        <w:t xml:space="preserve"> </w:t>
      </w:r>
    </w:p>
    <w:p w14:paraId="50F60649" w14:textId="3096FDA5" w:rsidR="004E73D2" w:rsidRPr="001847B3" w:rsidRDefault="00594085" w:rsidP="004E73D2">
      <w:pPr>
        <w:jc w:val="both"/>
      </w:pPr>
      <w:r>
        <w:t xml:space="preserve">It </w:t>
      </w:r>
      <w:r w:rsidR="00055C37">
        <w:t>may</w:t>
      </w:r>
      <w:r>
        <w:t xml:space="preserve"> a</w:t>
      </w:r>
      <w:r w:rsidRPr="00594085">
        <w:t>lso</w:t>
      </w:r>
      <w:r w:rsidR="00055C37">
        <w:t xml:space="preserve"> be</w:t>
      </w:r>
      <w:r>
        <w:t xml:space="preserve"> important to note</w:t>
      </w:r>
      <w:r w:rsidRPr="00594085">
        <w:t xml:space="preserve"> the installation and programming of Smart/PV connected products when developing </w:t>
      </w:r>
      <w:r w:rsidR="00055C37">
        <w:t>test methods</w:t>
      </w:r>
      <w:r w:rsidRPr="00594085">
        <w:t>.</w:t>
      </w:r>
    </w:p>
    <w:p w14:paraId="095C0C5E" w14:textId="14837E92" w:rsidR="004E73D2" w:rsidRPr="001847B3" w:rsidRDefault="004E73D2" w:rsidP="004E73D2">
      <w:pPr>
        <w:jc w:val="both"/>
      </w:pPr>
      <w:r>
        <w:t>A further requirement will be to d</w:t>
      </w:r>
      <w:r w:rsidRPr="001847B3">
        <w:t>evel</w:t>
      </w:r>
      <w:r>
        <w:t>op</w:t>
      </w:r>
      <w:r w:rsidRPr="001847B3">
        <w:t xml:space="preserve"> a method to evaluate the annual performance of the water heater in different climates and usage patterns.  This could be done by simulating the performance of the system over a representative year</w:t>
      </w:r>
      <w:r>
        <w:t>,</w:t>
      </w:r>
      <w:r w:rsidRPr="001847B3">
        <w:t xml:space="preserve"> </w:t>
      </w:r>
      <w:r>
        <w:t>along the lines set out</w:t>
      </w:r>
      <w:r w:rsidRPr="001847B3">
        <w:t xml:space="preserve"> in </w:t>
      </w:r>
      <w:r w:rsidRPr="00483B1D">
        <w:rPr>
          <w:i/>
        </w:rPr>
        <w:t>AS/NZS4234</w:t>
      </w:r>
      <w:r w:rsidRPr="001847B3">
        <w:t>.  Sufficient expertise will be needed to audit the simulation and verify the results.</w:t>
      </w:r>
    </w:p>
    <w:p w14:paraId="6C5F4531" w14:textId="4CE129D0" w:rsidR="00B2117E" w:rsidRDefault="009457F4" w:rsidP="004E73D2">
      <w:pPr>
        <w:jc w:val="both"/>
      </w:pPr>
      <w:r>
        <w:t>Phase One</w:t>
      </w:r>
      <w:r w:rsidR="009169FC">
        <w:t xml:space="preserve"> will see</w:t>
      </w:r>
      <w:r>
        <w:t xml:space="preserve"> the </w:t>
      </w:r>
      <w:r w:rsidR="001E3BE6">
        <w:t>Hot Water Project Team</w:t>
      </w:r>
      <w:r w:rsidR="004E73D2">
        <w:t xml:space="preserve"> </w:t>
      </w:r>
      <w:r w:rsidR="001E3BE6">
        <w:t>be</w:t>
      </w:r>
      <w:r w:rsidR="009169FC">
        <w:t>ing</w:t>
      </w:r>
      <w:r w:rsidR="001E3BE6">
        <w:t xml:space="preserve"> responsible for developing </w:t>
      </w:r>
      <w:r>
        <w:t xml:space="preserve">an approach to </w:t>
      </w:r>
      <w:r w:rsidR="00087B63">
        <w:t>testing</w:t>
      </w:r>
      <w:r>
        <w:t xml:space="preserve"> all hot water</w:t>
      </w:r>
      <w:r w:rsidR="009169FC">
        <w:t xml:space="preserve"> systems</w:t>
      </w:r>
      <w:r>
        <w:t xml:space="preserve"> through a technology agonistic test method</w:t>
      </w:r>
      <w:r w:rsidR="009169FC">
        <w:t>,</w:t>
      </w:r>
      <w:r>
        <w:t xml:space="preserve"> and explor</w:t>
      </w:r>
      <w:r w:rsidR="009169FC">
        <w:t>ing</w:t>
      </w:r>
      <w:r>
        <w:t xml:space="preserve"> the </w:t>
      </w:r>
      <w:r w:rsidR="001E3BE6">
        <w:t>policy options</w:t>
      </w:r>
      <w:r>
        <w:t xml:space="preserve"> in greater detail. It will also</w:t>
      </w:r>
      <w:r w:rsidR="001E3BE6">
        <w:t xml:space="preserve"> provid</w:t>
      </w:r>
      <w:r>
        <w:t>e</w:t>
      </w:r>
      <w:r w:rsidR="001E3BE6">
        <w:t xml:space="preserve"> advice</w:t>
      </w:r>
      <w:r>
        <w:t xml:space="preserve"> and information</w:t>
      </w:r>
      <w:r w:rsidR="001E3BE6">
        <w:t xml:space="preserve"> </w:t>
      </w:r>
      <w:r w:rsidR="00594085" w:rsidRPr="00594085">
        <w:t>to EEAT</w:t>
      </w:r>
      <w:r w:rsidR="000006DD">
        <w:t xml:space="preserve"> </w:t>
      </w:r>
      <w:r w:rsidR="001E3BE6">
        <w:t>for</w:t>
      </w:r>
      <w:r>
        <w:t xml:space="preserve"> evidence based decision making </w:t>
      </w:r>
      <w:r w:rsidR="009169FC">
        <w:t>and formal</w:t>
      </w:r>
      <w:r w:rsidR="001E3BE6">
        <w:t xml:space="preserve"> </w:t>
      </w:r>
      <w:r>
        <w:t>approval</w:t>
      </w:r>
      <w:r w:rsidR="001E3BE6">
        <w:t xml:space="preserve">. </w:t>
      </w:r>
    </w:p>
    <w:p w14:paraId="2B533091" w14:textId="6F6E5F34" w:rsidR="004E73D2" w:rsidRDefault="00083D53" w:rsidP="004E73D2">
      <w:pPr>
        <w:jc w:val="both"/>
      </w:pPr>
      <w:r>
        <w:t>In</w:t>
      </w:r>
      <w:r w:rsidRPr="00594085">
        <w:t xml:space="preserve"> </w:t>
      </w:r>
      <w:r w:rsidR="00594085" w:rsidRPr="00594085">
        <w:t>Phase One</w:t>
      </w:r>
      <w:r w:rsidR="000006DD">
        <w:t xml:space="preserve"> the </w:t>
      </w:r>
      <w:r w:rsidR="001E3BE6">
        <w:t>Hot Water Project Team</w:t>
      </w:r>
      <w:r w:rsidR="00594085" w:rsidRPr="00594085">
        <w:t xml:space="preserve"> will be tasked with</w:t>
      </w:r>
      <w:r w:rsidR="000006DD">
        <w:t>:</w:t>
      </w:r>
    </w:p>
    <w:p w14:paraId="56112108" w14:textId="6CB02E49" w:rsidR="00F512AF" w:rsidRDefault="00083D53" w:rsidP="00EC5834">
      <w:pPr>
        <w:pStyle w:val="Bullets-Major"/>
      </w:pPr>
      <w:r>
        <w:t>Coordinating and p</w:t>
      </w:r>
      <w:r w:rsidR="00F512AF">
        <w:t xml:space="preserve">roviding guidance to </w:t>
      </w:r>
      <w:r w:rsidR="0043016C">
        <w:t xml:space="preserve">the </w:t>
      </w:r>
      <w:r w:rsidR="00087B63">
        <w:t>Hot Water Technical Working G</w:t>
      </w:r>
      <w:r w:rsidR="0043016C">
        <w:t>roup,</w:t>
      </w:r>
    </w:p>
    <w:p w14:paraId="3DEC920B" w14:textId="5D93A026" w:rsidR="00AB5F12" w:rsidRDefault="00AB5F12" w:rsidP="00AB5F12">
      <w:pPr>
        <w:pStyle w:val="Bullets-Major"/>
      </w:pPr>
      <w:r w:rsidRPr="00AB5F12">
        <w:t xml:space="preserve">Coordinating and providing guidance to the </w:t>
      </w:r>
      <w:r>
        <w:t>Stakeholder Reference Group</w:t>
      </w:r>
      <w:r w:rsidRPr="00AB5F12">
        <w:t>,</w:t>
      </w:r>
    </w:p>
    <w:p w14:paraId="1DADCDE8" w14:textId="18D39498" w:rsidR="00BE5C08" w:rsidRDefault="00083D53" w:rsidP="00083D53">
      <w:pPr>
        <w:pStyle w:val="Bullets-Major"/>
      </w:pPr>
      <w:r w:rsidRPr="00083D53">
        <w:t>Development</w:t>
      </w:r>
      <w:r w:rsidR="002F7412">
        <w:t xml:space="preserve"> and coordination</w:t>
      </w:r>
      <w:r w:rsidRPr="00083D53">
        <w:t xml:space="preserve"> of a five-year work plan for development and implementation of </w:t>
      </w:r>
      <w:r w:rsidR="00D139DD">
        <w:t xml:space="preserve">measurement </w:t>
      </w:r>
      <w:r>
        <w:t xml:space="preserve">standards, testing and policy options. There will be two work plans to represent the two work streams of test method and policy development, </w:t>
      </w:r>
      <w:r w:rsidRPr="00083D53" w:rsidDel="00083D53">
        <w:t xml:space="preserve"> </w:t>
      </w:r>
    </w:p>
    <w:p w14:paraId="70F76981" w14:textId="69CE0EC7" w:rsidR="00083D53" w:rsidRPr="00083D53" w:rsidRDefault="00083D53" w:rsidP="00083D53">
      <w:pPr>
        <w:pStyle w:val="Bullets-Major"/>
      </w:pPr>
      <w:r w:rsidRPr="00083D53">
        <w:t xml:space="preserve">Research to inform the design of an online tool and registration system (e.g. consumer research) and labelling design and parameters (this will continue into Phase 2); </w:t>
      </w:r>
    </w:p>
    <w:p w14:paraId="4B562E81" w14:textId="09F416E0" w:rsidR="00083D53" w:rsidRDefault="00083D53" w:rsidP="00083D53">
      <w:pPr>
        <w:pStyle w:val="Bullets-Major"/>
      </w:pPr>
      <w:r>
        <w:t xml:space="preserve">Research </w:t>
      </w:r>
      <w:r w:rsidR="00AB5F12">
        <w:t xml:space="preserve">to </w:t>
      </w:r>
      <w:r>
        <w:t>i</w:t>
      </w:r>
      <w:r w:rsidRPr="00083D53">
        <w:t xml:space="preserve">dentify </w:t>
      </w:r>
      <w:r>
        <w:t>requirements</w:t>
      </w:r>
      <w:r w:rsidRPr="00083D53">
        <w:t xml:space="preserve"> for </w:t>
      </w:r>
      <w:r>
        <w:t>potential options</w:t>
      </w:r>
      <w:r w:rsidRPr="00083D53">
        <w:t>, including testing and registration, labelling and information, and MEPS</w:t>
      </w:r>
      <w:r w:rsidR="00BE5C08">
        <w:t xml:space="preserve"> (this will continue into Phase 2),</w:t>
      </w:r>
      <w:r w:rsidRPr="00083D53">
        <w:t xml:space="preserve">  </w:t>
      </w:r>
    </w:p>
    <w:p w14:paraId="3112CFA4" w14:textId="14DF8DC5" w:rsidR="006B7784" w:rsidRDefault="00BE5C08" w:rsidP="00EC5834">
      <w:pPr>
        <w:pStyle w:val="Bullets-Major"/>
      </w:pPr>
      <w:r>
        <w:t>Research and d</w:t>
      </w:r>
      <w:r w:rsidR="006B7784">
        <w:t>evelop</w:t>
      </w:r>
      <w:r>
        <w:t>ment on</w:t>
      </w:r>
      <w:r w:rsidR="00083D53">
        <w:t xml:space="preserve"> an approach to </w:t>
      </w:r>
      <w:r w:rsidR="006B7784">
        <w:t>testing</w:t>
      </w:r>
      <w:r w:rsidR="00083D53">
        <w:t xml:space="preserve"> (new test method that is technological agonistic, if possible)</w:t>
      </w:r>
      <w:r w:rsidR="006B7784">
        <w:t xml:space="preserve">, and   </w:t>
      </w:r>
    </w:p>
    <w:p w14:paraId="148DCEDB" w14:textId="1620F1A1" w:rsidR="00ED56D7" w:rsidRDefault="009B1ED7" w:rsidP="00ED56D7">
      <w:pPr>
        <w:pStyle w:val="Bullets-Major"/>
      </w:pPr>
      <w:r>
        <w:t>P</w:t>
      </w:r>
      <w:r w:rsidR="0020185F">
        <w:t>rovid</w:t>
      </w:r>
      <w:r w:rsidR="00AB5F12">
        <w:t>ing</w:t>
      </w:r>
      <w:r w:rsidR="0020185F">
        <w:t xml:space="preserve"> </w:t>
      </w:r>
      <w:r w:rsidR="00AB5F12">
        <w:t>information</w:t>
      </w:r>
      <w:r w:rsidR="0020185F">
        <w:t xml:space="preserve"> to EEAT</w:t>
      </w:r>
      <w:r w:rsidR="00087B63">
        <w:t xml:space="preserve"> for decision</w:t>
      </w:r>
      <w:r w:rsidR="000E62E0">
        <w:t xml:space="preserve"> </w:t>
      </w:r>
      <w:r w:rsidR="006B7784">
        <w:t>making</w:t>
      </w:r>
      <w:r w:rsidR="00087B63">
        <w:t xml:space="preserve"> and approvals. </w:t>
      </w:r>
    </w:p>
    <w:p w14:paraId="5083BCD4" w14:textId="77777777" w:rsidR="00087B63" w:rsidRDefault="00087B63" w:rsidP="00F512AF">
      <w:pPr>
        <w:jc w:val="both"/>
      </w:pPr>
    </w:p>
    <w:p w14:paraId="1643B831" w14:textId="7702438F" w:rsidR="00ED56D7" w:rsidRPr="00F512AF" w:rsidRDefault="00ED56D7" w:rsidP="00F512AF">
      <w:pPr>
        <w:jc w:val="both"/>
      </w:pPr>
      <w:r w:rsidRPr="00F512AF">
        <w:t>During Phase One there will</w:t>
      </w:r>
      <w:r w:rsidR="00B2117E">
        <w:t xml:space="preserve"> also</w:t>
      </w:r>
      <w:r w:rsidRPr="00F512AF">
        <w:t xml:space="preserve"> be a Hot Water Stakeholder Reference Group which will include</w:t>
      </w:r>
      <w:r w:rsidR="00F512AF">
        <w:t xml:space="preserve"> </w:t>
      </w:r>
      <w:r w:rsidRPr="00F512AF">
        <w:t>industry and consumer</w:t>
      </w:r>
      <w:r w:rsidR="003B334B">
        <w:t xml:space="preserve"> stakeholder</w:t>
      </w:r>
      <w:r w:rsidR="006B7784">
        <w:t>s</w:t>
      </w:r>
      <w:r w:rsidR="004D3A34">
        <w:t>, and</w:t>
      </w:r>
      <w:r w:rsidRPr="00F512AF">
        <w:t xml:space="preserve"> </w:t>
      </w:r>
      <w:r w:rsidR="004D3A34">
        <w:t>t</w:t>
      </w:r>
      <w:r w:rsidR="00B2117E">
        <w:t>his</w:t>
      </w:r>
      <w:r w:rsidRPr="00F512AF">
        <w:t xml:space="preserve"> group will be tasked with:</w:t>
      </w:r>
    </w:p>
    <w:p w14:paraId="0112825B" w14:textId="54D03761" w:rsidR="00ED56D7" w:rsidRDefault="00ED56D7" w:rsidP="00F512AF">
      <w:pPr>
        <w:pStyle w:val="Bullets-Major"/>
      </w:pPr>
      <w:r>
        <w:t>Providing feedback to the Hot Water Project Team</w:t>
      </w:r>
      <w:r w:rsidR="00087B63">
        <w:t xml:space="preserve"> on any relevant information or documents</w:t>
      </w:r>
      <w:r w:rsidR="00B2117E">
        <w:t xml:space="preserve"> that are shared</w:t>
      </w:r>
      <w:r w:rsidR="00BE5C08">
        <w:t>, as and when it is required</w:t>
      </w:r>
      <w:r w:rsidR="00087B63">
        <w:t>.</w:t>
      </w:r>
      <w:r>
        <w:t xml:space="preserve">  </w:t>
      </w:r>
    </w:p>
    <w:p w14:paraId="7BB18065" w14:textId="77777777" w:rsidR="00BE5C08" w:rsidRDefault="00BE5C08" w:rsidP="00EA741D">
      <w:pPr>
        <w:pStyle w:val="Bullets-Major"/>
        <w:numPr>
          <w:ilvl w:val="0"/>
          <w:numId w:val="0"/>
        </w:numPr>
      </w:pPr>
    </w:p>
    <w:p w14:paraId="22FF3BC0" w14:textId="162FFFD7" w:rsidR="000B1CDC" w:rsidRDefault="00F60E5D" w:rsidP="00EA741D">
      <w:pPr>
        <w:pStyle w:val="Bullets-Major"/>
        <w:numPr>
          <w:ilvl w:val="0"/>
          <w:numId w:val="0"/>
        </w:numPr>
      </w:pPr>
      <w:r>
        <w:t>T</w:t>
      </w:r>
      <w:r w:rsidR="00087B63">
        <w:t>he Hot Water Project Team will manage</w:t>
      </w:r>
      <w:r w:rsidR="00EA741D">
        <w:t xml:space="preserve"> the </w:t>
      </w:r>
      <w:r w:rsidR="00BE5C08">
        <w:t>technical and policy work plans</w:t>
      </w:r>
      <w:r>
        <w:t xml:space="preserve"> in Phase One</w:t>
      </w:r>
      <w:r w:rsidR="00BE5C08">
        <w:t xml:space="preserve">. </w:t>
      </w:r>
      <w:r w:rsidR="000006DD">
        <w:t>EEAT will</w:t>
      </w:r>
      <w:r w:rsidR="00087B63">
        <w:t xml:space="preserve"> direct, consider and approve</w:t>
      </w:r>
      <w:r w:rsidR="00EA741D">
        <w:t xml:space="preserve"> the technical and policy work plan</w:t>
      </w:r>
      <w:r w:rsidR="00BE5C08">
        <w:t>s</w:t>
      </w:r>
      <w:r w:rsidR="00EA741D">
        <w:t xml:space="preserve">. </w:t>
      </w:r>
      <w:r w:rsidR="000006DD">
        <w:t xml:space="preserve"> </w:t>
      </w:r>
      <w:r w:rsidR="000B1CDC">
        <w:t>EEAT will</w:t>
      </w:r>
      <w:r w:rsidR="00BE5C08">
        <w:t xml:space="preserve"> also</w:t>
      </w:r>
      <w:r w:rsidR="000B1CDC">
        <w:t xml:space="preserve"> have final decision on</w:t>
      </w:r>
      <w:r w:rsidR="000B1CDC" w:rsidRPr="000B1CDC">
        <w:t xml:space="preserve"> the</w:t>
      </w:r>
      <w:r w:rsidR="000B1CDC">
        <w:t xml:space="preserve"> Hot Water Project’s</w:t>
      </w:r>
      <w:r w:rsidR="000B1CDC" w:rsidRPr="000B1CDC">
        <w:t xml:space="preserve"> work plan</w:t>
      </w:r>
      <w:r w:rsidR="00BE5C08">
        <w:t>s</w:t>
      </w:r>
      <w:r w:rsidR="000B1CDC" w:rsidRPr="000B1CDC">
        <w:t>, its scope, budget and priorities, and issues relating to the standards process</w:t>
      </w:r>
      <w:r w:rsidR="000B1CDC">
        <w:t>.</w:t>
      </w:r>
    </w:p>
    <w:p w14:paraId="4E73791D" w14:textId="77777777" w:rsidR="00EA741D" w:rsidRDefault="00EA741D" w:rsidP="0060085B">
      <w:pPr>
        <w:jc w:val="both"/>
      </w:pPr>
    </w:p>
    <w:p w14:paraId="3F143A32" w14:textId="2119C91A" w:rsidR="004E73D2" w:rsidRPr="0060085B" w:rsidRDefault="004E73D2" w:rsidP="0060085B">
      <w:pPr>
        <w:jc w:val="both"/>
      </w:pPr>
      <w:r>
        <w:t>Phase One will</w:t>
      </w:r>
      <w:r w:rsidR="00EA741D">
        <w:t xml:space="preserve"> culminate in</w:t>
      </w:r>
      <w:r>
        <w:t xml:space="preserve"> public consultation on </w:t>
      </w:r>
      <w:r w:rsidRPr="0060085B">
        <w:t>the planned approach for developing common testing</w:t>
      </w:r>
      <w:r w:rsidR="00EA741D">
        <w:t xml:space="preserve"> </w:t>
      </w:r>
      <w:r w:rsidR="00EA741D" w:rsidRPr="00EA741D">
        <w:t xml:space="preserve">requirements </w:t>
      </w:r>
      <w:r w:rsidR="00EA741D">
        <w:t>and policy options</w:t>
      </w:r>
      <w:r w:rsidRPr="0060085B">
        <w:t xml:space="preserve">, </w:t>
      </w:r>
      <w:r w:rsidR="00EA741D">
        <w:t>along with</w:t>
      </w:r>
      <w:r w:rsidR="00EA741D" w:rsidRPr="0060085B">
        <w:t xml:space="preserve"> </w:t>
      </w:r>
      <w:r w:rsidRPr="0060085B">
        <w:t>any</w:t>
      </w:r>
      <w:r w:rsidR="00EA741D">
        <w:t xml:space="preserve"> further</w:t>
      </w:r>
      <w:r w:rsidRPr="0060085B">
        <w:t xml:space="preserve"> research to be undertaken. This will inform decisions by government on how to proceed.</w:t>
      </w:r>
      <w:r w:rsidR="00AF5926">
        <w:t xml:space="preserve"> </w:t>
      </w:r>
    </w:p>
    <w:p w14:paraId="06097279" w14:textId="77777777" w:rsidR="004E73D2" w:rsidRPr="00DD6CC2" w:rsidRDefault="004E73D2" w:rsidP="00EC5834">
      <w:pPr>
        <w:pStyle w:val="Heading2"/>
      </w:pPr>
      <w:r w:rsidRPr="00DD6CC2">
        <w:t>Phase Two</w:t>
      </w:r>
    </w:p>
    <w:p w14:paraId="33794B6C" w14:textId="6A072FA4" w:rsidR="004E73D2" w:rsidRDefault="004E73D2" w:rsidP="004E73D2">
      <w:pPr>
        <w:jc w:val="both"/>
      </w:pPr>
      <w:r>
        <w:t xml:space="preserve">Phase Two </w:t>
      </w:r>
      <w:r w:rsidR="00994883">
        <w:t>is expected to proceed over</w:t>
      </w:r>
      <w:r>
        <w:t xml:space="preserve"> 2019-21. Technical development during this phase </w:t>
      </w:r>
      <w:r w:rsidR="00994883">
        <w:t xml:space="preserve">would </w:t>
      </w:r>
      <w:r>
        <w:t>include:</w:t>
      </w:r>
    </w:p>
    <w:p w14:paraId="4F4F424E" w14:textId="28786D62" w:rsidR="004E73D2" w:rsidRDefault="004E73D2" w:rsidP="00EC5834">
      <w:pPr>
        <w:pStyle w:val="Bullets-Major"/>
      </w:pPr>
      <w:r>
        <w:t>Developing and road test</w:t>
      </w:r>
      <w:r w:rsidR="003F384D">
        <w:t>ing</w:t>
      </w:r>
      <w:r>
        <w:t xml:space="preserve"> the agreed test method</w:t>
      </w:r>
      <w:r w:rsidR="00BE5C08">
        <w:t>,</w:t>
      </w:r>
    </w:p>
    <w:p w14:paraId="2EAF7C89" w14:textId="795D2EBA" w:rsidR="004E73D2" w:rsidRDefault="004E73D2" w:rsidP="00EC5834">
      <w:pPr>
        <w:pStyle w:val="Bullets-Major"/>
      </w:pPr>
      <w:r>
        <w:t>Drafting the technical requirements for standards</w:t>
      </w:r>
      <w:r w:rsidR="00BE5C08">
        <w:t>,</w:t>
      </w:r>
    </w:p>
    <w:p w14:paraId="1D495137" w14:textId="335AF892" w:rsidR="004E73D2" w:rsidRDefault="004E73D2" w:rsidP="00EC5834">
      <w:pPr>
        <w:pStyle w:val="Bullets-Major"/>
      </w:pPr>
      <w:r>
        <w:t>Developing and consulting on draft standards</w:t>
      </w:r>
      <w:r w:rsidR="00BE5C08">
        <w:t>,</w:t>
      </w:r>
    </w:p>
    <w:p w14:paraId="20BD5C5C" w14:textId="479A7F64" w:rsidR="004E73D2" w:rsidRDefault="004E73D2" w:rsidP="00EC5834">
      <w:pPr>
        <w:pStyle w:val="Bullets-Major"/>
      </w:pPr>
      <w:r>
        <w:t>Publishing final standards</w:t>
      </w:r>
      <w:r w:rsidR="00BE5C08">
        <w:t>,</w:t>
      </w:r>
    </w:p>
    <w:p w14:paraId="4DCE3334" w14:textId="6810DE85" w:rsidR="00594085" w:rsidRDefault="00594085" w:rsidP="00594085">
      <w:pPr>
        <w:pStyle w:val="Bullets-Major"/>
      </w:pPr>
      <w:r>
        <w:t>The new test method will need to be approved by EEAT.</w:t>
      </w:r>
    </w:p>
    <w:p w14:paraId="5DCAB851" w14:textId="77777777" w:rsidR="00BE5C08" w:rsidRDefault="00BE5C08" w:rsidP="004E73D2">
      <w:pPr>
        <w:pStyle w:val="Bullets-Major"/>
        <w:numPr>
          <w:ilvl w:val="0"/>
          <w:numId w:val="0"/>
        </w:numPr>
        <w:spacing w:after="160"/>
        <w:jc w:val="both"/>
      </w:pPr>
    </w:p>
    <w:p w14:paraId="1B8D03CD" w14:textId="2AB85BB2" w:rsidR="004E73D2" w:rsidRDefault="00EA741D" w:rsidP="004E73D2">
      <w:pPr>
        <w:pStyle w:val="Bullets-Major"/>
        <w:numPr>
          <w:ilvl w:val="0"/>
          <w:numId w:val="0"/>
        </w:numPr>
        <w:spacing w:after="160"/>
        <w:jc w:val="both"/>
      </w:pPr>
      <w:r>
        <w:t>In Phase Two t</w:t>
      </w:r>
      <w:r w:rsidR="002C74C9">
        <w:t xml:space="preserve">he Hot Water Project Team would manage </w:t>
      </w:r>
      <w:r>
        <w:t xml:space="preserve">the technical development. </w:t>
      </w:r>
      <w:r w:rsidR="000E62E0">
        <w:t>T</w:t>
      </w:r>
      <w:r w:rsidR="004E73D2">
        <w:t xml:space="preserve">he </w:t>
      </w:r>
      <w:r w:rsidR="00087B63">
        <w:t>Hot Water T</w:t>
      </w:r>
      <w:r w:rsidR="004E73D2">
        <w:t xml:space="preserve">echnical </w:t>
      </w:r>
      <w:r w:rsidR="00087B63">
        <w:t>W</w:t>
      </w:r>
      <w:r w:rsidR="004E73D2">
        <w:t xml:space="preserve">orking </w:t>
      </w:r>
      <w:r w:rsidR="002C74C9">
        <w:t>G</w:t>
      </w:r>
      <w:r w:rsidR="004E73D2">
        <w:t xml:space="preserve">roup and the relevant standards committees </w:t>
      </w:r>
      <w:r w:rsidR="00994883">
        <w:t xml:space="preserve">would </w:t>
      </w:r>
      <w:r w:rsidR="00071416">
        <w:t>input their expertise</w:t>
      </w:r>
      <w:r w:rsidR="00052F2C">
        <w:t xml:space="preserve"> towards the development of test methods and </w:t>
      </w:r>
      <w:r w:rsidR="00C307CF">
        <w:t xml:space="preserve">measurement </w:t>
      </w:r>
      <w:r w:rsidR="00052F2C">
        <w:t>standards</w:t>
      </w:r>
      <w:r w:rsidR="00071416">
        <w:t>.</w:t>
      </w:r>
      <w:r w:rsidR="00052F2C">
        <w:t xml:space="preserve"> EEAT will direct</w:t>
      </w:r>
      <w:r>
        <w:t xml:space="preserve"> the Hot Water Project Team to manage the technical development work plan</w:t>
      </w:r>
      <w:r w:rsidR="00052F2C">
        <w:t xml:space="preserve">, </w:t>
      </w:r>
      <w:r w:rsidR="000E62E0">
        <w:t xml:space="preserve">along with </w:t>
      </w:r>
      <w:r w:rsidR="00052F2C">
        <w:t>consider</w:t>
      </w:r>
      <w:r>
        <w:t>ing</w:t>
      </w:r>
      <w:r w:rsidR="00052F2C">
        <w:t xml:space="preserve"> and approv</w:t>
      </w:r>
      <w:r>
        <w:t>ing</w:t>
      </w:r>
      <w:r w:rsidR="00052F2C">
        <w:t xml:space="preserve"> the</w:t>
      </w:r>
      <w:r>
        <w:t xml:space="preserve"> new</w:t>
      </w:r>
      <w:r w:rsidR="00052F2C">
        <w:t xml:space="preserve"> test method and </w:t>
      </w:r>
      <w:r w:rsidR="00C307CF">
        <w:t xml:space="preserve">measurement </w:t>
      </w:r>
      <w:r w:rsidR="00052F2C">
        <w:t xml:space="preserve">standards. </w:t>
      </w:r>
    </w:p>
    <w:p w14:paraId="63955A4E" w14:textId="6C1933D7" w:rsidR="00A521B8" w:rsidRDefault="004E73D2" w:rsidP="00A521B8">
      <w:pPr>
        <w:pStyle w:val="Bullets-Major"/>
        <w:numPr>
          <w:ilvl w:val="0"/>
          <w:numId w:val="0"/>
        </w:numPr>
        <w:spacing w:after="160"/>
        <w:jc w:val="both"/>
      </w:pPr>
      <w:r>
        <w:t xml:space="preserve">Policy development during Phase Two </w:t>
      </w:r>
      <w:r w:rsidR="00994883">
        <w:t>would</w:t>
      </w:r>
      <w:r w:rsidR="000E62E0">
        <w:t xml:space="preserve"> also</w:t>
      </w:r>
      <w:r w:rsidR="00994883">
        <w:t xml:space="preserve"> </w:t>
      </w:r>
      <w:r w:rsidR="00594085" w:rsidRPr="00594085">
        <w:t>be managed by</w:t>
      </w:r>
      <w:r w:rsidR="00087B63">
        <w:t xml:space="preserve"> the Hot Water Project Team</w:t>
      </w:r>
      <w:r w:rsidR="00670A93">
        <w:t>, which will include:</w:t>
      </w:r>
      <w:r w:rsidR="002C74C9">
        <w:t xml:space="preserve"> </w:t>
      </w:r>
    </w:p>
    <w:p w14:paraId="65C1B635" w14:textId="3643D6D4" w:rsidR="004E73D2" w:rsidRPr="009C0875" w:rsidRDefault="004E73D2" w:rsidP="00A521B8">
      <w:pPr>
        <w:pStyle w:val="Bullets-Major"/>
      </w:pPr>
      <w:r w:rsidRPr="009C0875">
        <w:t>Develop</w:t>
      </w:r>
      <w:r>
        <w:t>ing</w:t>
      </w:r>
      <w:r w:rsidRPr="009C0875">
        <w:t xml:space="preserve"> a comprehensive cost and benefit analysis of the proposed measures, and undertak</w:t>
      </w:r>
      <w:r>
        <w:t>ing</w:t>
      </w:r>
      <w:r w:rsidRPr="009C0875">
        <w:t xml:space="preserve"> public consultation</w:t>
      </w:r>
    </w:p>
    <w:p w14:paraId="5377F0E2" w14:textId="77777777" w:rsidR="004E73D2" w:rsidRPr="009C0875" w:rsidRDefault="004E73D2" w:rsidP="00EC5834">
      <w:pPr>
        <w:pStyle w:val="Bullets-Major"/>
      </w:pPr>
      <w:r w:rsidRPr="004E73D2">
        <w:t>Obtaining final policy approval on proposed measures (i.e. a decision to proceed to implementation)</w:t>
      </w:r>
    </w:p>
    <w:p w14:paraId="3B6101F1" w14:textId="3343AC6F" w:rsidR="004E73D2" w:rsidRDefault="004E73D2" w:rsidP="00EC5834">
      <w:pPr>
        <w:pStyle w:val="Bullets-Major"/>
      </w:pPr>
      <w:r w:rsidRPr="009C0875">
        <w:t>Draft</w:t>
      </w:r>
      <w:r>
        <w:t>ing</w:t>
      </w:r>
      <w:r w:rsidRPr="009C0875">
        <w:t xml:space="preserve"> and publish</w:t>
      </w:r>
      <w:r>
        <w:t>ing</w:t>
      </w:r>
      <w:r w:rsidRPr="009C0875">
        <w:t xml:space="preserve"> the necessary regulatory requirements, in accordance with the regulation development processes in </w:t>
      </w:r>
      <w:r>
        <w:t>New Zealand</w:t>
      </w:r>
      <w:r w:rsidRPr="009C0875">
        <w:t xml:space="preserve"> </w:t>
      </w:r>
      <w:r>
        <w:t>and</w:t>
      </w:r>
      <w:r w:rsidRPr="009C0875">
        <w:t xml:space="preserve"> Aus</w:t>
      </w:r>
      <w:r>
        <w:t>tralia, including for</w:t>
      </w:r>
      <w:r w:rsidR="00A521B8">
        <w:t>:</w:t>
      </w:r>
    </w:p>
    <w:p w14:paraId="13944D59" w14:textId="77777777" w:rsidR="004E73D2" w:rsidRDefault="004E73D2" w:rsidP="00EC5834">
      <w:pPr>
        <w:pStyle w:val="Bullets-Major"/>
        <w:numPr>
          <w:ilvl w:val="1"/>
          <w:numId w:val="1"/>
        </w:numPr>
      </w:pPr>
      <w:r>
        <w:t xml:space="preserve">the registration of hot water systems, </w:t>
      </w:r>
    </w:p>
    <w:p w14:paraId="3B681E28" w14:textId="77777777" w:rsidR="004E73D2" w:rsidRDefault="004E73D2" w:rsidP="00EC5834">
      <w:pPr>
        <w:pStyle w:val="Bullets-Major"/>
        <w:numPr>
          <w:ilvl w:val="1"/>
          <w:numId w:val="1"/>
        </w:numPr>
      </w:pPr>
      <w:r>
        <w:t>provision of information about their performance and characteristics, and</w:t>
      </w:r>
    </w:p>
    <w:p w14:paraId="2459C1AB" w14:textId="77777777" w:rsidR="004E73D2" w:rsidRDefault="004E73D2" w:rsidP="00EC5834">
      <w:pPr>
        <w:pStyle w:val="Bullets-Major"/>
        <w:numPr>
          <w:ilvl w:val="1"/>
          <w:numId w:val="1"/>
        </w:numPr>
      </w:pPr>
      <w:r>
        <w:t>energy performance and labelling requirements that must be met.</w:t>
      </w:r>
    </w:p>
    <w:p w14:paraId="23FB3721" w14:textId="77777777" w:rsidR="00A521B8" w:rsidRDefault="00A521B8" w:rsidP="0060085B">
      <w:pPr>
        <w:jc w:val="both"/>
      </w:pPr>
    </w:p>
    <w:p w14:paraId="292C3258" w14:textId="5559E9BB" w:rsidR="00163657" w:rsidRPr="00163657" w:rsidRDefault="00670A93" w:rsidP="00163657">
      <w:pPr>
        <w:jc w:val="both"/>
      </w:pPr>
      <w:r>
        <w:lastRenderedPageBreak/>
        <w:t>T</w:t>
      </w:r>
      <w:r w:rsidRPr="00670A93">
        <w:t xml:space="preserve">he Stakeholder Reference Group would input feedback to the Hot Water Project Team, as or when it is required.  </w:t>
      </w:r>
      <w:r w:rsidR="00163657">
        <w:t>During Phase Two</w:t>
      </w:r>
      <w:r w:rsidR="00163657" w:rsidRPr="00163657">
        <w:t xml:space="preserve"> </w:t>
      </w:r>
      <w:r w:rsidR="00163657">
        <w:t>the</w:t>
      </w:r>
      <w:r w:rsidR="00163657" w:rsidRPr="00163657">
        <w:t xml:space="preserve"> Hot Water Stakeholder Reference Group will include industry and consumer stakeholders</w:t>
      </w:r>
      <w:r w:rsidR="00163657">
        <w:t xml:space="preserve"> and</w:t>
      </w:r>
      <w:r w:rsidR="00163657" w:rsidRPr="00163657">
        <w:t xml:space="preserve"> will be tasked with:</w:t>
      </w:r>
    </w:p>
    <w:p w14:paraId="1F942067" w14:textId="77777777" w:rsidR="00163657" w:rsidRPr="00163657" w:rsidRDefault="00163657" w:rsidP="00163657">
      <w:pPr>
        <w:numPr>
          <w:ilvl w:val="0"/>
          <w:numId w:val="1"/>
        </w:numPr>
        <w:jc w:val="both"/>
      </w:pPr>
      <w:r w:rsidRPr="00163657">
        <w:t xml:space="preserve">Providing feedback to the Hot Water Project Team on any relevant information or documents that are shared, as and when it is required.  </w:t>
      </w:r>
    </w:p>
    <w:p w14:paraId="3C2BCE1D" w14:textId="77777777" w:rsidR="00A521B8" w:rsidRDefault="00A521B8" w:rsidP="0060085B">
      <w:pPr>
        <w:jc w:val="both"/>
      </w:pPr>
    </w:p>
    <w:p w14:paraId="22678E7F" w14:textId="0564CA3E" w:rsidR="004E73D2" w:rsidRDefault="0027033E" w:rsidP="0060085B">
      <w:pPr>
        <w:jc w:val="both"/>
      </w:pPr>
      <w:r>
        <w:t>In</w:t>
      </w:r>
      <w:r w:rsidR="00670A93" w:rsidRPr="00670A93">
        <w:t xml:space="preserve"> Phase Two </w:t>
      </w:r>
      <w:r>
        <w:t xml:space="preserve">EEAT </w:t>
      </w:r>
      <w:r w:rsidR="00670A93" w:rsidRPr="00670A93">
        <w:t>will direct</w:t>
      </w:r>
      <w:r w:rsidR="00EA741D">
        <w:t xml:space="preserve"> the</w:t>
      </w:r>
      <w:r w:rsidR="00EA741D" w:rsidRPr="00EA741D">
        <w:t xml:space="preserve"> Hot Water Project Team to manage the </w:t>
      </w:r>
      <w:r w:rsidR="00EA741D">
        <w:t xml:space="preserve">policy </w:t>
      </w:r>
      <w:r w:rsidR="00EA741D" w:rsidRPr="00EA741D">
        <w:t>development work plan</w:t>
      </w:r>
      <w:r w:rsidR="00670A93" w:rsidRPr="00670A93">
        <w:t>,</w:t>
      </w:r>
      <w:r w:rsidR="000E62E0">
        <w:t xml:space="preserve"> along with</w:t>
      </w:r>
      <w:r w:rsidR="00670A93" w:rsidRPr="00670A93">
        <w:t xml:space="preserve"> consider</w:t>
      </w:r>
      <w:r w:rsidR="00EA741D">
        <w:t>ing</w:t>
      </w:r>
      <w:r w:rsidR="00670A93" w:rsidRPr="00670A93">
        <w:t xml:space="preserve"> and approv</w:t>
      </w:r>
      <w:r w:rsidR="00EA741D">
        <w:t>ing</w:t>
      </w:r>
      <w:r w:rsidR="00670A93" w:rsidRPr="00670A93">
        <w:t xml:space="preserve"> policy options. </w:t>
      </w:r>
      <w:r w:rsidR="00EA741D">
        <w:t>However, t</w:t>
      </w:r>
      <w:r w:rsidR="004E73D2">
        <w:t>his work cannot commence until standards development (particularly the test method) is well underway, and cannot be completed until after the final standards have been published.</w:t>
      </w:r>
    </w:p>
    <w:p w14:paraId="4A2B5C03" w14:textId="12E2C0C0" w:rsidR="009B1ED7" w:rsidRPr="004E73D2" w:rsidRDefault="009B1ED7" w:rsidP="0060085B">
      <w:pPr>
        <w:jc w:val="both"/>
      </w:pPr>
      <w:r w:rsidRPr="009B1ED7">
        <w:t xml:space="preserve">Phase </w:t>
      </w:r>
      <w:r>
        <w:t>Two</w:t>
      </w:r>
      <w:r w:rsidRPr="009B1ED7">
        <w:t xml:space="preserve"> will culminate in public consultation on proposed measures</w:t>
      </w:r>
      <w:r>
        <w:t xml:space="preserve"> </w:t>
      </w:r>
      <w:r w:rsidRPr="009B1ED7">
        <w:t>(i.e. a decision to proceed to implementation) this will inform decisions by government on how to proceed.</w:t>
      </w:r>
    </w:p>
    <w:p w14:paraId="79D25BA6" w14:textId="77777777" w:rsidR="004E73D2" w:rsidRPr="009C0875" w:rsidRDefault="004E73D2" w:rsidP="00135DB6">
      <w:pPr>
        <w:pStyle w:val="Heading2"/>
      </w:pPr>
      <w:r w:rsidRPr="009C0875">
        <w:t>Phase Three</w:t>
      </w:r>
    </w:p>
    <w:p w14:paraId="2A8D309B" w14:textId="350074AA" w:rsidR="00A521B8" w:rsidRDefault="004E73D2" w:rsidP="0060085B">
      <w:pPr>
        <w:jc w:val="both"/>
      </w:pPr>
      <w:r>
        <w:t xml:space="preserve">Phase Three </w:t>
      </w:r>
      <w:r w:rsidR="00994883">
        <w:t>is expected to begin in 2021</w:t>
      </w:r>
      <w:r>
        <w:t xml:space="preserve"> and </w:t>
      </w:r>
      <w:r w:rsidR="00994883">
        <w:t xml:space="preserve">cover </w:t>
      </w:r>
      <w:r w:rsidRPr="0060085B">
        <w:t>implementation of the approved measures (MEPS and labelling). Th</w:t>
      </w:r>
      <w:r w:rsidR="00994883">
        <w:t>e</w:t>
      </w:r>
      <w:r w:rsidRPr="0060085B">
        <w:t xml:space="preserve"> commencement of this work may overlap with the conclusion of Phase Two. Implementation activities </w:t>
      </w:r>
      <w:r w:rsidR="00A521B8">
        <w:t>could</w:t>
      </w:r>
      <w:r w:rsidR="00A521B8" w:rsidRPr="0060085B">
        <w:t xml:space="preserve"> </w:t>
      </w:r>
      <w:r w:rsidRPr="0060085B">
        <w:t>include building the required online database and tools; helping industry gear up for new requirements; and educating consumers, retailers, landlords</w:t>
      </w:r>
      <w:r w:rsidR="004019D0">
        <w:t>,</w:t>
      </w:r>
      <w:r w:rsidRPr="0060085B">
        <w:t xml:space="preserve"> and plumbing and building professionals about the new information tools and labels.</w:t>
      </w:r>
      <w:r w:rsidR="00A521B8">
        <w:t xml:space="preserve"> The Hot Water Project </w:t>
      </w:r>
      <w:r w:rsidR="00696663">
        <w:t>T</w:t>
      </w:r>
      <w:r w:rsidR="00A521B8">
        <w:t xml:space="preserve">eam will manage </w:t>
      </w:r>
      <w:r w:rsidR="0027033E">
        <w:t>implementation</w:t>
      </w:r>
      <w:r w:rsidR="00A521B8">
        <w:t xml:space="preserve"> as directed from EEAT.</w:t>
      </w:r>
    </w:p>
    <w:p w14:paraId="7035F77D" w14:textId="15F55AE9" w:rsidR="004E73D2" w:rsidRPr="004E73D2" w:rsidRDefault="00A521B8" w:rsidP="0060085B">
      <w:pPr>
        <w:jc w:val="both"/>
      </w:pPr>
      <w:r>
        <w:t>EEAT will direct</w:t>
      </w:r>
      <w:r w:rsidR="00AB3FD5">
        <w:t xml:space="preserve"> the Hot Water Project Team</w:t>
      </w:r>
      <w:r>
        <w:t xml:space="preserve">, </w:t>
      </w:r>
      <w:r w:rsidR="00AB3FD5">
        <w:t xml:space="preserve">along with </w:t>
      </w:r>
      <w:r>
        <w:t>consider</w:t>
      </w:r>
      <w:r w:rsidR="00AB3FD5">
        <w:t>ing</w:t>
      </w:r>
      <w:r>
        <w:t xml:space="preserve"> and approv</w:t>
      </w:r>
      <w:r w:rsidR="00AB3FD5">
        <w:t>ing</w:t>
      </w:r>
      <w:r>
        <w:t xml:space="preserve"> implementation where it is needed. However, n</w:t>
      </w:r>
      <w:r w:rsidR="004E73D2" w:rsidRPr="0060085B">
        <w:t xml:space="preserve">ew measures </w:t>
      </w:r>
      <w:r w:rsidR="00994883">
        <w:t>would</w:t>
      </w:r>
      <w:r w:rsidR="00994883" w:rsidRPr="0060085B">
        <w:t xml:space="preserve"> </w:t>
      </w:r>
      <w:r w:rsidR="004E73D2" w:rsidRPr="0060085B">
        <w:t>be phased in</w:t>
      </w:r>
      <w:r w:rsidR="00994883">
        <w:t>,</w:t>
      </w:r>
      <w:r w:rsidR="004E73D2" w:rsidRPr="0060085B">
        <w:t xml:space="preserve"> based on how long they take to implement and what introductory timeframes and transitional arrangements are </w:t>
      </w:r>
      <w:r w:rsidR="00096E92">
        <w:t>agreed</w:t>
      </w:r>
      <w:r w:rsidR="00096E92" w:rsidRPr="0060085B">
        <w:t xml:space="preserve"> with</w:t>
      </w:r>
      <w:r w:rsidR="004E73D2" w:rsidRPr="0060085B">
        <w:t xml:space="preserve"> industry and consumers during consultation</w:t>
      </w:r>
      <w:r w:rsidR="004E73D2" w:rsidRPr="00520B21">
        <w:rPr>
          <w:lang w:val="en-NZ"/>
        </w:rPr>
        <w:t>.</w:t>
      </w:r>
      <w:r>
        <w:rPr>
          <w:lang w:val="en-NZ"/>
        </w:rPr>
        <w:t xml:space="preserve"> </w:t>
      </w:r>
    </w:p>
    <w:sectPr w:rsidR="004E73D2" w:rsidRPr="004E73D2" w:rsidSect="00975B56">
      <w:footerReference w:type="default" r:id="rId33"/>
      <w:headerReference w:type="first" r:id="rId34"/>
      <w:footerReference w:type="first" r:id="rId35"/>
      <w:pgSz w:w="11906" w:h="16838" w:code="9"/>
      <w:pgMar w:top="1728" w:right="1138" w:bottom="1699" w:left="1138" w:header="576" w:footer="720" w:gutter="0"/>
      <w:pgNumType w:start="1"/>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3D49DEC" w16cid:durableId="1F71A3E4"/>
  <w16cid:commentId w16cid:paraId="0532FD61" w16cid:durableId="1F71873D"/>
  <w16cid:commentId w16cid:paraId="7596E970" w16cid:durableId="1F71A41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30D4E" w14:textId="77777777" w:rsidR="00272639" w:rsidRDefault="00272639" w:rsidP="00A860BD">
      <w:pPr>
        <w:spacing w:after="0" w:line="240" w:lineRule="auto"/>
      </w:pPr>
      <w:r>
        <w:separator/>
      </w:r>
    </w:p>
  </w:endnote>
  <w:endnote w:type="continuationSeparator" w:id="0">
    <w:p w14:paraId="70A0B84A" w14:textId="77777777" w:rsidR="00272639" w:rsidRDefault="00272639" w:rsidP="00A860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2C039F" w14:textId="77777777" w:rsidR="006B1614" w:rsidRPr="006F5F2C" w:rsidRDefault="006B1614" w:rsidP="00975B56">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3764E1" w14:textId="77777777" w:rsidR="006B1614" w:rsidRPr="006F5F2C" w:rsidRDefault="006B1614" w:rsidP="00FD791E">
    <w:pPr>
      <w:pStyle w:val="Footer"/>
      <w:pBdr>
        <w:top w:val="none" w:sz="0" w:space="0" w:color="auto"/>
      </w:pBdr>
      <w:jc w:val="center"/>
    </w:pPr>
    <w:r w:rsidRPr="00FD791E">
      <w:t>A joint initiative of Australia, State and Territory and New Zealand Governments</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FD5FF9" w14:textId="3A6B37B7" w:rsidR="006B1614" w:rsidRPr="006F5F2C" w:rsidRDefault="00317004" w:rsidP="00975B56">
    <w:pPr>
      <w:pStyle w:val="Footer"/>
    </w:pPr>
    <w:r w:rsidRPr="00317004">
      <w:t>A Policy Framework for Hot Water Systems in Australia &amp; New Zealand</w:t>
    </w:r>
    <w:r w:rsidRPr="00317004" w:rsidDel="00317004">
      <w:t xml:space="preserve"> </w:t>
    </w:r>
    <w:r w:rsidR="006B1614">
      <w:fldChar w:fldCharType="begin"/>
    </w:r>
    <w:r w:rsidR="006B1614">
      <w:instrText xml:space="preserve"> PAGE   \* MERGEFORMAT </w:instrText>
    </w:r>
    <w:r w:rsidR="006B1614">
      <w:fldChar w:fldCharType="separate"/>
    </w:r>
    <w:r w:rsidR="001C088A">
      <w:rPr>
        <w:noProof/>
      </w:rPr>
      <w:t>2</w:t>
    </w:r>
    <w:r w:rsidR="006B1614">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FA536E" w14:textId="7EAEBD93" w:rsidR="006B1614" w:rsidRPr="006F5F2C" w:rsidRDefault="006B1614" w:rsidP="00975B56">
    <w:pPr>
      <w:pStyle w:val="Footer"/>
    </w:pPr>
    <w:r>
      <w:t>A Policy Framework for Hot Water Systems in Australia &amp; New Zealand</w:t>
    </w:r>
    <w:r>
      <w:tab/>
    </w:r>
    <w:r>
      <w:fldChar w:fldCharType="begin"/>
    </w:r>
    <w:r>
      <w:instrText xml:space="preserve"> PAGE   \* MERGEFORMAT </w:instrText>
    </w:r>
    <w:r>
      <w:fldChar w:fldCharType="separate"/>
    </w:r>
    <w:r w:rsidR="001C088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025AD0" w14:textId="77777777" w:rsidR="00272639" w:rsidRDefault="00272639" w:rsidP="00A860BD">
      <w:pPr>
        <w:spacing w:after="0" w:line="240" w:lineRule="auto"/>
      </w:pPr>
      <w:r>
        <w:separator/>
      </w:r>
    </w:p>
  </w:footnote>
  <w:footnote w:type="continuationSeparator" w:id="0">
    <w:p w14:paraId="3D48F3F6" w14:textId="77777777" w:rsidR="00272639" w:rsidRDefault="00272639" w:rsidP="00A860BD">
      <w:pPr>
        <w:spacing w:after="0" w:line="240" w:lineRule="auto"/>
      </w:pPr>
      <w:r>
        <w:continuationSeparator/>
      </w:r>
    </w:p>
  </w:footnote>
  <w:footnote w:id="1">
    <w:p w14:paraId="041BEC03" w14:textId="77777777" w:rsidR="006B1614" w:rsidRPr="00153A04" w:rsidRDefault="006B1614">
      <w:pPr>
        <w:pStyle w:val="FootnoteText"/>
        <w:rPr>
          <w:lang w:val="en-NZ"/>
        </w:rPr>
      </w:pPr>
      <w:r>
        <w:rPr>
          <w:rStyle w:val="FootnoteReference"/>
        </w:rPr>
        <w:footnoteRef/>
      </w:r>
      <w:r>
        <w:t xml:space="preserve"> </w:t>
      </w:r>
      <w:r w:rsidRPr="00A66473">
        <w:t>DIS 2015, Residential Energy Baseline Study: Australia, Department of the Industry and Science, Canberra, Australia, prepared by EnergyConsult, August 2015</w:t>
      </w:r>
    </w:p>
  </w:footnote>
  <w:footnote w:id="2">
    <w:p w14:paraId="372D5CB6" w14:textId="68538B66" w:rsidR="00020879" w:rsidRPr="00020879" w:rsidRDefault="00020879">
      <w:pPr>
        <w:pStyle w:val="FootnoteText"/>
        <w:rPr>
          <w:bCs/>
        </w:rPr>
      </w:pPr>
      <w:r>
        <w:rPr>
          <w:rStyle w:val="FootnoteReference"/>
        </w:rPr>
        <w:footnoteRef/>
      </w:r>
      <w:r>
        <w:t xml:space="preserve"> </w:t>
      </w:r>
      <w:r w:rsidR="00997215">
        <w:t xml:space="preserve">The share of </w:t>
      </w:r>
      <w:r w:rsidR="00997215">
        <w:rPr>
          <w:bCs/>
        </w:rPr>
        <w:t>e</w:t>
      </w:r>
      <w:r w:rsidRPr="00020879">
        <w:rPr>
          <w:bCs/>
        </w:rPr>
        <w:t xml:space="preserve">missions are higher in New Zealand than in Australia because of higher use of electric hot water systems compared to Australia. </w:t>
      </w:r>
    </w:p>
  </w:footnote>
  <w:footnote w:id="3">
    <w:p w14:paraId="4CB5D1DB" w14:textId="588CFB03" w:rsidR="006B1614" w:rsidRPr="00D67082" w:rsidRDefault="006B1614" w:rsidP="00DA627C">
      <w:pPr>
        <w:pStyle w:val="FootnoteText"/>
        <w:rPr>
          <w:lang w:val="en-NZ"/>
        </w:rPr>
      </w:pPr>
      <w:r>
        <w:rPr>
          <w:rStyle w:val="FootnoteReference"/>
        </w:rPr>
        <w:footnoteRef/>
      </w:r>
      <w:r>
        <w:t xml:space="preserve"> </w:t>
      </w:r>
      <w:r>
        <w:rPr>
          <w:lang w:val="en-NZ"/>
        </w:rPr>
        <w:t>See the section on policy options and provisional costs and benefits for a breakdown of these figures and the assumptions used</w:t>
      </w:r>
      <w:r w:rsidR="000B1CDC">
        <w:rPr>
          <w:lang w:val="en-NZ"/>
        </w:rPr>
        <w:t xml:space="preserve"> to inform them</w:t>
      </w:r>
      <w:r>
        <w:rPr>
          <w:lang w:val="en-NZ"/>
        </w:rPr>
        <w:t>.</w:t>
      </w:r>
      <w:r w:rsidRPr="00D67082">
        <w:t xml:space="preserve"> </w:t>
      </w:r>
    </w:p>
  </w:footnote>
  <w:footnote w:id="4">
    <w:p w14:paraId="7659A993" w14:textId="59220FA2" w:rsidR="006B1614" w:rsidRPr="006B1614" w:rsidRDefault="006B1614">
      <w:pPr>
        <w:pStyle w:val="FootnoteText"/>
        <w:rPr>
          <w:lang w:val="en-NZ"/>
        </w:rPr>
      </w:pPr>
      <w:r>
        <w:rPr>
          <w:rStyle w:val="FootnoteReference"/>
        </w:rPr>
        <w:footnoteRef/>
      </w:r>
      <w:r w:rsidR="003038CF">
        <w:t xml:space="preserve"> </w:t>
      </w:r>
      <w:r>
        <w:t>I</w:t>
      </w:r>
      <w:r w:rsidRPr="006B1614">
        <w:t>t is important to note</w:t>
      </w:r>
      <w:r>
        <w:t>,</w:t>
      </w:r>
      <w:r w:rsidRPr="006B1614">
        <w:t xml:space="preserve"> that further investigation will be undertaken across each jurisdiction to establish the extent of peak</w:t>
      </w:r>
      <w:r>
        <w:t xml:space="preserve"> electricity</w:t>
      </w:r>
      <w:r w:rsidRPr="006B1614">
        <w:t xml:space="preserve"> demand issues resulting from electric water heating and their potential reduction through hot water systems</w:t>
      </w:r>
      <w:r>
        <w:t>.</w:t>
      </w:r>
    </w:p>
  </w:footnote>
  <w:footnote w:id="5">
    <w:p w14:paraId="6964AD48" w14:textId="21589EDB" w:rsidR="006B1614" w:rsidRPr="009B6C96" w:rsidRDefault="006B1614">
      <w:pPr>
        <w:pStyle w:val="FootnoteText"/>
        <w:rPr>
          <w:lang w:val="en-NZ"/>
        </w:rPr>
      </w:pPr>
      <w:r>
        <w:rPr>
          <w:rStyle w:val="FootnoteReference"/>
        </w:rPr>
        <w:footnoteRef/>
      </w:r>
      <w:r>
        <w:t xml:space="preserve"> </w:t>
      </w:r>
      <w:r w:rsidRPr="009B6C96">
        <w:t xml:space="preserve">The main source of data is the Residential Baseline Study published in 2015. Comparisons have been made with the latest research from BIS Shrapnel (2016).  </w:t>
      </w:r>
    </w:p>
  </w:footnote>
  <w:footnote w:id="6">
    <w:p w14:paraId="2E8A24B9" w14:textId="0B63EB12" w:rsidR="006B1614" w:rsidRPr="005E7487" w:rsidRDefault="006B1614" w:rsidP="00B86391">
      <w:pPr>
        <w:pStyle w:val="FootnoteText"/>
        <w:spacing w:line="276" w:lineRule="auto"/>
        <w:jc w:val="both"/>
        <w:rPr>
          <w:lang w:val="en-NZ"/>
        </w:rPr>
      </w:pPr>
      <w:r>
        <w:rPr>
          <w:rStyle w:val="FootnoteReference"/>
        </w:rPr>
        <w:footnoteRef/>
      </w:r>
      <w:r>
        <w:t xml:space="preserve"> </w:t>
      </w:r>
      <w:r w:rsidRPr="005E7487">
        <w:t>The main source of data is the Residential Baseline Study published in 2015</w:t>
      </w:r>
      <w:r w:rsidR="00D239A1">
        <w:t xml:space="preserve"> and updated with the latest information collected by EECA</w:t>
      </w:r>
      <w:r w:rsidRPr="005E7487">
        <w:t xml:space="preserve">.  </w:t>
      </w:r>
    </w:p>
  </w:footnote>
  <w:footnote w:id="7">
    <w:p w14:paraId="7640AD73" w14:textId="77777777" w:rsidR="006B1614" w:rsidRPr="001B7CA2" w:rsidRDefault="006B1614">
      <w:pPr>
        <w:pStyle w:val="FootnoteText"/>
        <w:rPr>
          <w:lang w:val="en-NZ"/>
        </w:rPr>
      </w:pPr>
      <w:r>
        <w:rPr>
          <w:rStyle w:val="FootnoteReference"/>
        </w:rPr>
        <w:footnoteRef/>
      </w:r>
      <w:r>
        <w:t xml:space="preserve"> </w:t>
      </w:r>
      <w:r w:rsidRPr="00A66473">
        <w:t>Committee AG- 001 Gas Appliances and Committee EL-020 Electric Water heating Appliances are in the Energy and Electro technology Sector and Committee CS-028 Solar Water Heaters is in the Manufacturing and Processing Sector. The three committees have some common membership, but there is no formal liaison path between the three.</w:t>
      </w:r>
    </w:p>
  </w:footnote>
  <w:footnote w:id="8">
    <w:p w14:paraId="319F5836" w14:textId="0DDCAED6" w:rsidR="006B1614" w:rsidRPr="007675C7" w:rsidRDefault="006B1614">
      <w:pPr>
        <w:pStyle w:val="FootnoteText"/>
        <w:rPr>
          <w:lang w:val="en-NZ"/>
        </w:rPr>
      </w:pPr>
      <w:r>
        <w:rPr>
          <w:rStyle w:val="FootnoteReference"/>
        </w:rPr>
        <w:footnoteRef/>
      </w:r>
      <w:r>
        <w:rPr>
          <w:lang w:val="en-NZ"/>
        </w:rPr>
        <w:t>Note that cost and benefits are provisional and there is overlap between the online comparison tool &amp; database and the energy rating label with cost and benefits. Smart capability has not been defined</w:t>
      </w:r>
      <w:r w:rsidR="00B92531">
        <w:rPr>
          <w:lang w:val="en-NZ"/>
        </w:rPr>
        <w:t>,</w:t>
      </w:r>
      <w:r>
        <w:rPr>
          <w:lang w:val="en-NZ"/>
        </w:rPr>
        <w:t xml:space="preserve"> and this may be subject to change</w:t>
      </w:r>
      <w:r w:rsidR="00B92531">
        <w:rPr>
          <w:lang w:val="en-NZ"/>
        </w:rPr>
        <w:t>.</w:t>
      </w:r>
      <w:r>
        <w:rPr>
          <w:lang w:val="en-NZ"/>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0D404" w14:textId="54478718" w:rsidR="006B1614" w:rsidRDefault="00F4034E" w:rsidP="00FD791E">
    <w:pPr>
      <w:pStyle w:val="Header"/>
      <w:spacing w:before="560" w:after="480"/>
    </w:pPr>
    <w:r>
      <w:rPr>
        <w:noProof/>
        <w:lang w:val="en-NZ" w:eastAsia="en-NZ"/>
      </w:rPr>
      <w:drawing>
        <wp:anchor distT="0" distB="0" distL="114300" distR="114300" simplePos="0" relativeHeight="251665408" behindDoc="0" locked="0" layoutInCell="1" allowOverlap="1" wp14:anchorId="3EAD5856" wp14:editId="75704D4F">
          <wp:simplePos x="0" y="0"/>
          <wp:positionH relativeFrom="column">
            <wp:posOffset>1270</wp:posOffset>
          </wp:positionH>
          <wp:positionV relativeFrom="page">
            <wp:posOffset>2019300</wp:posOffset>
          </wp:positionV>
          <wp:extent cx="1737360" cy="908050"/>
          <wp:effectExtent l="0" t="0" r="0" b="6350"/>
          <wp:wrapNone/>
          <wp:docPr id="196" name="Picture 196" descr="D:\DP Plus\Docs\Giraffe\Environment\NatHERS, E3\sourcedocs\E3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DP Plus\Docs\Giraffe\Environment\NatHERS, E3\sourcedocs\E3 Logo.jpg"/>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1737360" cy="908050"/>
                  </a:xfrm>
                  <a:prstGeom prst="rect">
                    <a:avLst/>
                  </a:prstGeom>
                  <a:noFill/>
                  <a:ln>
                    <a:noFill/>
                  </a:ln>
                </pic:spPr>
              </pic:pic>
            </a:graphicData>
          </a:graphic>
        </wp:anchor>
      </w:drawing>
    </w:r>
    <w:r w:rsidR="006B1614" w:rsidRPr="00F9129C">
      <w:rPr>
        <w:noProof/>
        <w:lang w:val="en-NZ" w:eastAsia="en-NZ"/>
      </w:rPr>
      <w:drawing>
        <wp:anchor distT="0" distB="0" distL="114300" distR="114300" simplePos="0" relativeHeight="251660288" behindDoc="0" locked="0" layoutInCell="1" allowOverlap="1" wp14:anchorId="117DD036" wp14:editId="22A95879">
          <wp:simplePos x="0" y="0"/>
          <wp:positionH relativeFrom="column">
            <wp:posOffset>2622550</wp:posOffset>
          </wp:positionH>
          <wp:positionV relativeFrom="paragraph">
            <wp:posOffset>383963</wp:posOffset>
          </wp:positionV>
          <wp:extent cx="1515745" cy="711200"/>
          <wp:effectExtent l="0" t="0" r="8255" b="0"/>
          <wp:wrapNone/>
          <wp:docPr id="194" name="Picture 194" descr="D:\DP Plus\Docs\Giraffe\Environment\NatHERS, E3\sourcedocs\Australian Government-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DP Plus\Docs\Giraffe\Environment\NatHERS, E3\sourcedocs\Australian Government-logo.jpg"/>
                  <pic:cNvPicPr>
                    <a:picLocks noChangeAspect="1" noChangeArrowheads="1"/>
                  </pic:cNvPicPr>
                </pic:nvPicPr>
                <pic:blipFill>
                  <a:blip r:embed="rId2" cstate="email">
                    <a:extLst>
                      <a:ext uri="{28A0092B-C50C-407E-A947-70E740481C1C}">
                        <a14:useLocalDpi xmlns:a14="http://schemas.microsoft.com/office/drawing/2010/main"/>
                      </a:ext>
                    </a:extLst>
                  </a:blip>
                  <a:srcRect/>
                  <a:stretch>
                    <a:fillRect/>
                  </a:stretch>
                </pic:blipFill>
                <pic:spPr bwMode="auto">
                  <a:xfrm>
                    <a:off x="0" y="0"/>
                    <a:ext cx="1515745" cy="71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6B1614" w:rsidRPr="00F9129C">
      <w:rPr>
        <w:noProof/>
        <w:lang w:val="en-NZ" w:eastAsia="en-NZ"/>
      </w:rPr>
      <w:drawing>
        <wp:anchor distT="0" distB="0" distL="114300" distR="114300" simplePos="0" relativeHeight="251659264" behindDoc="0" locked="1" layoutInCell="0" allowOverlap="1" wp14:anchorId="55B3DDEA" wp14:editId="79076FE4">
          <wp:simplePos x="0" y="0"/>
          <wp:positionH relativeFrom="column">
            <wp:posOffset>4299585</wp:posOffset>
          </wp:positionH>
          <wp:positionV relativeFrom="page">
            <wp:posOffset>1154430</wp:posOffset>
          </wp:positionV>
          <wp:extent cx="2103120" cy="536575"/>
          <wp:effectExtent l="0" t="0" r="0" b="0"/>
          <wp:wrapTopAndBottom/>
          <wp:docPr id="195" name="Picture 195" descr="D:\DP Plus\Docs\Giraffe\Environment\NatHERS, E3\sourcedocs\All-of-govt_NZ_Go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P Plus\Docs\Giraffe\Environment\NatHERS, E3\sourcedocs\All-of-govt_NZ_Gov.jpg"/>
                  <pic:cNvPicPr>
                    <a:picLocks noChangeAspect="1" noChangeArrowheads="1"/>
                  </pic:cNvPicPr>
                </pic:nvPicPr>
                <pic:blipFill>
                  <a:blip r:embed="rId3" cstate="email">
                    <a:extLst>
                      <a:ext uri="{28A0092B-C50C-407E-A947-70E740481C1C}">
                        <a14:useLocalDpi xmlns:a14="http://schemas.microsoft.com/office/drawing/2010/main"/>
                      </a:ext>
                    </a:extLst>
                  </a:blip>
                  <a:srcRect/>
                  <a:stretch>
                    <a:fillRect/>
                  </a:stretch>
                </pic:blipFill>
                <pic:spPr bwMode="auto">
                  <a:xfrm>
                    <a:off x="0" y="0"/>
                    <a:ext cx="2103120" cy="536575"/>
                  </a:xfrm>
                  <a:prstGeom prst="rect">
                    <a:avLst/>
                  </a:prstGeom>
                  <a:noFill/>
                  <a:ln>
                    <a:noFill/>
                  </a:ln>
                </pic:spPr>
              </pic:pic>
            </a:graphicData>
          </a:graphic>
          <wp14:sizeRelH relativeFrom="page">
            <wp14:pctWidth>0</wp14:pctWidth>
          </wp14:sizeRelH>
          <wp14:sizeRelV relativeFrom="page">
            <wp14:pctHeight>0</wp14:pctHeight>
          </wp14:sizeRelV>
        </wp:anchor>
      </w:drawing>
    </w:r>
    <w:r w:rsidR="006B1614" w:rsidRPr="00620351">
      <w:rPr>
        <w:noProof/>
        <w:lang w:val="en-NZ" w:eastAsia="en-NZ"/>
      </w:rPr>
      <mc:AlternateContent>
        <mc:Choice Requires="wps">
          <w:drawing>
            <wp:anchor distT="0" distB="0" distL="114300" distR="114300" simplePos="0" relativeHeight="251662336" behindDoc="1" locked="1" layoutInCell="0" allowOverlap="1" wp14:anchorId="6F62A45E" wp14:editId="36489213">
              <wp:simplePos x="0" y="0"/>
              <wp:positionH relativeFrom="page">
                <wp:posOffset>-10795</wp:posOffset>
              </wp:positionH>
              <wp:positionV relativeFrom="page">
                <wp:posOffset>2959735</wp:posOffset>
              </wp:positionV>
              <wp:extent cx="7561580" cy="269875"/>
              <wp:effectExtent l="0" t="0" r="20320" b="15875"/>
              <wp:wrapNone/>
              <wp:docPr id="8" name="Rectangle 8"/>
              <wp:cNvGraphicFramePr/>
              <a:graphic xmlns:a="http://schemas.openxmlformats.org/drawingml/2006/main">
                <a:graphicData uri="http://schemas.microsoft.com/office/word/2010/wordprocessingShape">
                  <wps:wsp>
                    <wps:cNvSpPr/>
                    <wps:spPr>
                      <a:xfrm>
                        <a:off x="0" y="0"/>
                        <a:ext cx="7561580" cy="269875"/>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83F776E" id="Rectangle 8" o:spid="_x0000_s1026" style="position:absolute;margin-left:-.85pt;margin-top:233.05pt;width:595.4pt;height:21.2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" o:allowincell="f" fillcolor="#b5121b" strokecolor="#b5121b" strokeweight="2pt">
              <w10:wrap anchorx="page" anchory="page"/>
              <w10:anchorlock/>
            </v:rect>
          </w:pict>
        </mc:Fallback>
      </mc:AlternateContent>
    </w:r>
    <w:r w:rsidR="006B1614" w:rsidRPr="00620351">
      <w:rPr>
        <w:noProof/>
        <w:lang w:val="en-NZ" w:eastAsia="en-NZ"/>
      </w:rPr>
      <mc:AlternateContent>
        <mc:Choice Requires="wps">
          <w:drawing>
            <wp:anchor distT="0" distB="0" distL="114300" distR="114300" simplePos="0" relativeHeight="251663360" behindDoc="1" locked="1" layoutInCell="0" allowOverlap="1" wp14:anchorId="1918BA59" wp14:editId="64B19AD5">
              <wp:simplePos x="0" y="0"/>
              <wp:positionH relativeFrom="page">
                <wp:posOffset>-9525</wp:posOffset>
              </wp:positionH>
              <wp:positionV relativeFrom="paragraph">
                <wp:posOffset>2891790</wp:posOffset>
              </wp:positionV>
              <wp:extent cx="7562850" cy="1800860"/>
              <wp:effectExtent l="0" t="0" r="19050" b="27940"/>
              <wp:wrapNone/>
              <wp:docPr id="10" name="Rectangle 10"/>
              <wp:cNvGraphicFramePr/>
              <a:graphic xmlns:a="http://schemas.openxmlformats.org/drawingml/2006/main">
                <a:graphicData uri="http://schemas.microsoft.com/office/word/2010/wordprocessingShape">
                  <wps:wsp>
                    <wps:cNvSpPr/>
                    <wps:spPr>
                      <a:xfrm>
                        <a:off x="0" y="0"/>
                        <a:ext cx="7562850" cy="1800860"/>
                      </a:xfrm>
                      <a:prstGeom prst="rect">
                        <a:avLst/>
                      </a:prstGeom>
                      <a:solidFill>
                        <a:srgbClr val="1C1C1C"/>
                      </a:solidFill>
                      <a:ln>
                        <a:solidFill>
                          <a:srgbClr val="1C1C1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367B00CB" id="Rectangle 10" o:spid="_x0000_s1026" style="position:absolute;margin-left:-.75pt;margin-top:227.7pt;width:595.5pt;height:141.8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" o:allowincell="f" fillcolor="#1c1c1c" strokecolor="#1c1c1c" strokeweight="2pt">
              <w10:wrap anchorx="page"/>
              <w10:anchorlock/>
            </v:rect>
          </w:pict>
        </mc:Fallback>
      </mc:AlternateContent>
    </w:r>
    <w:r w:rsidR="006B1614" w:rsidRPr="00620351">
      <w:rPr>
        <w:noProof/>
        <w:lang w:val="en-NZ" w:eastAsia="en-NZ"/>
      </w:rPr>
      <mc:AlternateContent>
        <mc:Choice Requires="wps">
          <w:drawing>
            <wp:anchor distT="0" distB="0" distL="114300" distR="114300" simplePos="0" relativeHeight="251664384" behindDoc="1" locked="1" layoutInCell="0" allowOverlap="1" wp14:anchorId="0C8DC78E" wp14:editId="575253F3">
              <wp:simplePos x="0" y="0"/>
              <wp:positionH relativeFrom="page">
                <wp:posOffset>-9525</wp:posOffset>
              </wp:positionH>
              <wp:positionV relativeFrom="page">
                <wp:posOffset>5085715</wp:posOffset>
              </wp:positionV>
              <wp:extent cx="7561580" cy="1092200"/>
              <wp:effectExtent l="0" t="0" r="20320" b="12700"/>
              <wp:wrapNone/>
              <wp:docPr id="11" name="Rectangle 11"/>
              <wp:cNvGraphicFramePr/>
              <a:graphic xmlns:a="http://schemas.openxmlformats.org/drawingml/2006/main">
                <a:graphicData uri="http://schemas.microsoft.com/office/word/2010/wordprocessingShape">
                  <wps:wsp>
                    <wps:cNvSpPr/>
                    <wps:spPr>
                      <a:xfrm>
                        <a:off x="0" y="0"/>
                        <a:ext cx="7561580" cy="1092200"/>
                      </a:xfrm>
                      <a:prstGeom prst="rect">
                        <a:avLst/>
                      </a:prstGeom>
                      <a:solidFill>
                        <a:srgbClr val="B5121B"/>
                      </a:solidFill>
                      <a:ln>
                        <a:solidFill>
                          <a:srgbClr val="B5121B"/>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D98C3C" id="Rectangle 11" o:spid="_x0000_s1026" style="position:absolute;margin-left:-.75pt;margin-top:400.45pt;width:595.4pt;height:86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" o:allowincell="f" fillcolor="#b5121b" strokecolor="#b5121b" strokeweight="2pt">
              <w10:wrap anchorx="page" anchory="page"/>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DAACB" w14:textId="77777777" w:rsidR="006B1614" w:rsidRPr="00686676" w:rsidRDefault="006B1614" w:rsidP="006866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77523"/>
    <w:multiLevelType w:val="hybridMultilevel"/>
    <w:tmpl w:val="433232B0"/>
    <w:lvl w:ilvl="0" w:tplc="14090001">
      <w:start w:val="1"/>
      <w:numFmt w:val="bullet"/>
      <w:lvlText w:val=""/>
      <w:lvlJc w:val="left"/>
      <w:pPr>
        <w:ind w:left="765" w:hanging="360"/>
      </w:pPr>
      <w:rPr>
        <w:rFonts w:ascii="Symbol" w:hAnsi="Symbol" w:hint="default"/>
      </w:rPr>
    </w:lvl>
    <w:lvl w:ilvl="1" w:tplc="14090003" w:tentative="1">
      <w:start w:val="1"/>
      <w:numFmt w:val="bullet"/>
      <w:lvlText w:val="o"/>
      <w:lvlJc w:val="left"/>
      <w:pPr>
        <w:ind w:left="1485" w:hanging="360"/>
      </w:pPr>
      <w:rPr>
        <w:rFonts w:ascii="Courier New" w:hAnsi="Courier New" w:cs="Courier New" w:hint="default"/>
      </w:rPr>
    </w:lvl>
    <w:lvl w:ilvl="2" w:tplc="14090005" w:tentative="1">
      <w:start w:val="1"/>
      <w:numFmt w:val="bullet"/>
      <w:lvlText w:val=""/>
      <w:lvlJc w:val="left"/>
      <w:pPr>
        <w:ind w:left="2205" w:hanging="360"/>
      </w:pPr>
      <w:rPr>
        <w:rFonts w:ascii="Wingdings" w:hAnsi="Wingdings" w:hint="default"/>
      </w:rPr>
    </w:lvl>
    <w:lvl w:ilvl="3" w:tplc="14090001" w:tentative="1">
      <w:start w:val="1"/>
      <w:numFmt w:val="bullet"/>
      <w:lvlText w:val=""/>
      <w:lvlJc w:val="left"/>
      <w:pPr>
        <w:ind w:left="2925" w:hanging="360"/>
      </w:pPr>
      <w:rPr>
        <w:rFonts w:ascii="Symbol" w:hAnsi="Symbol" w:hint="default"/>
      </w:rPr>
    </w:lvl>
    <w:lvl w:ilvl="4" w:tplc="14090003" w:tentative="1">
      <w:start w:val="1"/>
      <w:numFmt w:val="bullet"/>
      <w:lvlText w:val="o"/>
      <w:lvlJc w:val="left"/>
      <w:pPr>
        <w:ind w:left="3645" w:hanging="360"/>
      </w:pPr>
      <w:rPr>
        <w:rFonts w:ascii="Courier New" w:hAnsi="Courier New" w:cs="Courier New" w:hint="default"/>
      </w:rPr>
    </w:lvl>
    <w:lvl w:ilvl="5" w:tplc="14090005" w:tentative="1">
      <w:start w:val="1"/>
      <w:numFmt w:val="bullet"/>
      <w:lvlText w:val=""/>
      <w:lvlJc w:val="left"/>
      <w:pPr>
        <w:ind w:left="4365" w:hanging="360"/>
      </w:pPr>
      <w:rPr>
        <w:rFonts w:ascii="Wingdings" w:hAnsi="Wingdings" w:hint="default"/>
      </w:rPr>
    </w:lvl>
    <w:lvl w:ilvl="6" w:tplc="14090001" w:tentative="1">
      <w:start w:val="1"/>
      <w:numFmt w:val="bullet"/>
      <w:lvlText w:val=""/>
      <w:lvlJc w:val="left"/>
      <w:pPr>
        <w:ind w:left="5085" w:hanging="360"/>
      </w:pPr>
      <w:rPr>
        <w:rFonts w:ascii="Symbol" w:hAnsi="Symbol" w:hint="default"/>
      </w:rPr>
    </w:lvl>
    <w:lvl w:ilvl="7" w:tplc="14090003" w:tentative="1">
      <w:start w:val="1"/>
      <w:numFmt w:val="bullet"/>
      <w:lvlText w:val="o"/>
      <w:lvlJc w:val="left"/>
      <w:pPr>
        <w:ind w:left="5805" w:hanging="360"/>
      </w:pPr>
      <w:rPr>
        <w:rFonts w:ascii="Courier New" w:hAnsi="Courier New" w:cs="Courier New" w:hint="default"/>
      </w:rPr>
    </w:lvl>
    <w:lvl w:ilvl="8" w:tplc="14090005" w:tentative="1">
      <w:start w:val="1"/>
      <w:numFmt w:val="bullet"/>
      <w:lvlText w:val=""/>
      <w:lvlJc w:val="left"/>
      <w:pPr>
        <w:ind w:left="6525" w:hanging="360"/>
      </w:pPr>
      <w:rPr>
        <w:rFonts w:ascii="Wingdings" w:hAnsi="Wingdings" w:hint="default"/>
      </w:rPr>
    </w:lvl>
  </w:abstractNum>
  <w:abstractNum w:abstractNumId="1" w15:restartNumberingAfterBreak="0">
    <w:nsid w:val="25ED406E"/>
    <w:multiLevelType w:val="multilevel"/>
    <w:tmpl w:val="789ED5B4"/>
    <w:lvl w:ilvl="0">
      <w:start w:val="1"/>
      <w:numFmt w:val="decimal"/>
      <w:lvlText w:val="%1"/>
      <w:lvlJc w:val="left"/>
      <w:pPr>
        <w:tabs>
          <w:tab w:val="num" w:pos="360"/>
        </w:tabs>
        <w:ind w:left="0" w:firstLine="0"/>
      </w:pPr>
    </w:lvl>
    <w:lvl w:ilvl="1">
      <w:start w:val="1"/>
      <w:numFmt w:val="lowerLetter"/>
      <w:lvlText w:val="%2"/>
      <w:lvlJc w:val="left"/>
      <w:pPr>
        <w:tabs>
          <w:tab w:val="num" w:pos="567"/>
        </w:tabs>
        <w:ind w:left="567" w:hanging="567"/>
      </w:pPr>
    </w:lvl>
    <w:lvl w:ilvl="2">
      <w:start w:val="1"/>
      <w:numFmt w:val="lowerRoman"/>
      <w:lvlText w:val="%3"/>
      <w:lvlJc w:val="left"/>
      <w:pPr>
        <w:tabs>
          <w:tab w:val="num" w:pos="1134"/>
        </w:tabs>
        <w:ind w:left="1134" w:hanging="567"/>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3BE21D51"/>
    <w:multiLevelType w:val="hybridMultilevel"/>
    <w:tmpl w:val="DFF0B526"/>
    <w:lvl w:ilvl="0" w:tplc="CE72976A">
      <w:start w:val="1"/>
      <w:numFmt w:val="bullet"/>
      <w:pStyle w:val="Bullets-Major"/>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45842CF6"/>
    <w:multiLevelType w:val="hybridMultilevel"/>
    <w:tmpl w:val="135ADDE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4631049A"/>
    <w:multiLevelType w:val="hybridMultilevel"/>
    <w:tmpl w:val="773EE768"/>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5DBB08F7"/>
    <w:multiLevelType w:val="hybridMultilevel"/>
    <w:tmpl w:val="255820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604C0815"/>
    <w:multiLevelType w:val="hybridMultilevel"/>
    <w:tmpl w:val="9E861DE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7ACD52E9"/>
    <w:multiLevelType w:val="hybridMultilevel"/>
    <w:tmpl w:val="0DB4F54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7DEF1E37"/>
    <w:multiLevelType w:val="hybridMultilevel"/>
    <w:tmpl w:val="56580776"/>
    <w:lvl w:ilvl="0" w:tplc="BB229522">
      <w:start w:val="1"/>
      <w:numFmt w:val="decimal"/>
      <w:lvlText w:val="%1."/>
      <w:lvlJc w:val="left"/>
      <w:pPr>
        <w:tabs>
          <w:tab w:val="num" w:pos="720"/>
        </w:tabs>
        <w:ind w:left="720" w:hanging="360"/>
      </w:pPr>
      <w:rPr>
        <w:b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5"/>
  </w:num>
  <w:num w:numId="8">
    <w:abstractNumId w:val="6"/>
  </w:num>
  <w:num w:numId="9">
    <w:abstractNumId w:val="4"/>
  </w:num>
  <w:num w:numId="10">
    <w:abstractNumId w:val="7"/>
  </w:num>
  <w:num w:numId="11">
    <w:abstractNumId w:val="8"/>
  </w:num>
  <w:num w:numId="12">
    <w:abstractNumId w:val="1"/>
  </w:num>
  <w:num w:numId="13">
    <w:abstractNumId w:val="0"/>
  </w:num>
  <w:num w:numId="14">
    <w:abstractNumId w:val="2"/>
  </w:num>
  <w:num w:numId="15">
    <w:abstractNumId w:val="2"/>
  </w:num>
  <w:num w:numId="16">
    <w:abstractNumId w:val="2"/>
  </w:num>
  <w:num w:numId="17">
    <w:abstractNumId w:val="3"/>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MDEyMDE0MzA2MjIzNzFR0lEKTi0uzszPAykwrAUAwv+kpSwAAAA="/>
  </w:docVars>
  <w:rsids>
    <w:rsidRoot w:val="00365595"/>
    <w:rsid w:val="0000066A"/>
    <w:rsid w:val="000006DD"/>
    <w:rsid w:val="00000AD0"/>
    <w:rsid w:val="00002A3D"/>
    <w:rsid w:val="00020879"/>
    <w:rsid w:val="00022E5E"/>
    <w:rsid w:val="0002369E"/>
    <w:rsid w:val="000254D8"/>
    <w:rsid w:val="00034A2F"/>
    <w:rsid w:val="00052ECC"/>
    <w:rsid w:val="00052F2C"/>
    <w:rsid w:val="000539BA"/>
    <w:rsid w:val="00054020"/>
    <w:rsid w:val="00055726"/>
    <w:rsid w:val="00055C37"/>
    <w:rsid w:val="00055EE0"/>
    <w:rsid w:val="00063C99"/>
    <w:rsid w:val="00071416"/>
    <w:rsid w:val="00083D53"/>
    <w:rsid w:val="00086AB4"/>
    <w:rsid w:val="00087B63"/>
    <w:rsid w:val="000902DE"/>
    <w:rsid w:val="000925AE"/>
    <w:rsid w:val="0009545B"/>
    <w:rsid w:val="00096E92"/>
    <w:rsid w:val="000B1CDC"/>
    <w:rsid w:val="000D196A"/>
    <w:rsid w:val="000E62E0"/>
    <w:rsid w:val="001035B5"/>
    <w:rsid w:val="001240EC"/>
    <w:rsid w:val="00126E91"/>
    <w:rsid w:val="00127A96"/>
    <w:rsid w:val="00135DB6"/>
    <w:rsid w:val="00142921"/>
    <w:rsid w:val="00151A63"/>
    <w:rsid w:val="001531DC"/>
    <w:rsid w:val="00153A04"/>
    <w:rsid w:val="00163657"/>
    <w:rsid w:val="00164FE0"/>
    <w:rsid w:val="0018490B"/>
    <w:rsid w:val="00186778"/>
    <w:rsid w:val="00191982"/>
    <w:rsid w:val="0019392A"/>
    <w:rsid w:val="001A0E53"/>
    <w:rsid w:val="001A1914"/>
    <w:rsid w:val="001A7B70"/>
    <w:rsid w:val="001B5492"/>
    <w:rsid w:val="001B6415"/>
    <w:rsid w:val="001B7CA2"/>
    <w:rsid w:val="001C088A"/>
    <w:rsid w:val="001E3BE6"/>
    <w:rsid w:val="001E5A84"/>
    <w:rsid w:val="001F1734"/>
    <w:rsid w:val="0020185F"/>
    <w:rsid w:val="00203337"/>
    <w:rsid w:val="00207D61"/>
    <w:rsid w:val="00210E6A"/>
    <w:rsid w:val="00211805"/>
    <w:rsid w:val="002275D6"/>
    <w:rsid w:val="00232041"/>
    <w:rsid w:val="00241B9B"/>
    <w:rsid w:val="00247B9E"/>
    <w:rsid w:val="0026022C"/>
    <w:rsid w:val="0027033E"/>
    <w:rsid w:val="00272639"/>
    <w:rsid w:val="002730A1"/>
    <w:rsid w:val="00273129"/>
    <w:rsid w:val="0027349C"/>
    <w:rsid w:val="00277E73"/>
    <w:rsid w:val="00286F1B"/>
    <w:rsid w:val="002A0139"/>
    <w:rsid w:val="002A075C"/>
    <w:rsid w:val="002B0357"/>
    <w:rsid w:val="002B1E28"/>
    <w:rsid w:val="002B49E7"/>
    <w:rsid w:val="002C2DA0"/>
    <w:rsid w:val="002C543C"/>
    <w:rsid w:val="002C54CD"/>
    <w:rsid w:val="002C74C9"/>
    <w:rsid w:val="002E2C9C"/>
    <w:rsid w:val="002F7412"/>
    <w:rsid w:val="003038CF"/>
    <w:rsid w:val="00317004"/>
    <w:rsid w:val="00320972"/>
    <w:rsid w:val="00327F0A"/>
    <w:rsid w:val="00331C8A"/>
    <w:rsid w:val="00357919"/>
    <w:rsid w:val="00363B4E"/>
    <w:rsid w:val="00365595"/>
    <w:rsid w:val="003958D8"/>
    <w:rsid w:val="00397C4C"/>
    <w:rsid w:val="003B334B"/>
    <w:rsid w:val="003B6A3E"/>
    <w:rsid w:val="003C36FE"/>
    <w:rsid w:val="003E21AC"/>
    <w:rsid w:val="003F384D"/>
    <w:rsid w:val="004019D0"/>
    <w:rsid w:val="00413329"/>
    <w:rsid w:val="004138A1"/>
    <w:rsid w:val="00424A81"/>
    <w:rsid w:val="00427475"/>
    <w:rsid w:val="0043016C"/>
    <w:rsid w:val="0043340C"/>
    <w:rsid w:val="00435821"/>
    <w:rsid w:val="00437162"/>
    <w:rsid w:val="0044041E"/>
    <w:rsid w:val="004416F2"/>
    <w:rsid w:val="00446146"/>
    <w:rsid w:val="004520EF"/>
    <w:rsid w:val="00452519"/>
    <w:rsid w:val="00454955"/>
    <w:rsid w:val="00460FBB"/>
    <w:rsid w:val="00461565"/>
    <w:rsid w:val="00467515"/>
    <w:rsid w:val="00483B1D"/>
    <w:rsid w:val="00485DE9"/>
    <w:rsid w:val="004A2040"/>
    <w:rsid w:val="004B2AA0"/>
    <w:rsid w:val="004B6B3B"/>
    <w:rsid w:val="004C7568"/>
    <w:rsid w:val="004D3A34"/>
    <w:rsid w:val="004D7881"/>
    <w:rsid w:val="004E6E8C"/>
    <w:rsid w:val="004E73D2"/>
    <w:rsid w:val="00511B4D"/>
    <w:rsid w:val="0051580A"/>
    <w:rsid w:val="005163D4"/>
    <w:rsid w:val="00522C01"/>
    <w:rsid w:val="00526319"/>
    <w:rsid w:val="00534AFD"/>
    <w:rsid w:val="005432EC"/>
    <w:rsid w:val="00552D96"/>
    <w:rsid w:val="005561BA"/>
    <w:rsid w:val="005608CA"/>
    <w:rsid w:val="00563323"/>
    <w:rsid w:val="00570A22"/>
    <w:rsid w:val="00571F95"/>
    <w:rsid w:val="005721DD"/>
    <w:rsid w:val="00574BAD"/>
    <w:rsid w:val="00576DC6"/>
    <w:rsid w:val="0058194F"/>
    <w:rsid w:val="0058655A"/>
    <w:rsid w:val="00594085"/>
    <w:rsid w:val="005947DB"/>
    <w:rsid w:val="00594819"/>
    <w:rsid w:val="005B564F"/>
    <w:rsid w:val="005E15A2"/>
    <w:rsid w:val="005E73D6"/>
    <w:rsid w:val="005F585B"/>
    <w:rsid w:val="0060085B"/>
    <w:rsid w:val="00620351"/>
    <w:rsid w:val="00631A0A"/>
    <w:rsid w:val="00632F34"/>
    <w:rsid w:val="006350E3"/>
    <w:rsid w:val="0063746A"/>
    <w:rsid w:val="0064218F"/>
    <w:rsid w:val="00645E01"/>
    <w:rsid w:val="00655D37"/>
    <w:rsid w:val="0066079D"/>
    <w:rsid w:val="00670A93"/>
    <w:rsid w:val="00686676"/>
    <w:rsid w:val="00690735"/>
    <w:rsid w:val="00690CD6"/>
    <w:rsid w:val="00692EC4"/>
    <w:rsid w:val="00696663"/>
    <w:rsid w:val="0069723E"/>
    <w:rsid w:val="006B1614"/>
    <w:rsid w:val="006B4105"/>
    <w:rsid w:val="006B7784"/>
    <w:rsid w:val="006C5304"/>
    <w:rsid w:val="006D1AB8"/>
    <w:rsid w:val="006D243C"/>
    <w:rsid w:val="006D3B58"/>
    <w:rsid w:val="006E7592"/>
    <w:rsid w:val="006F4B60"/>
    <w:rsid w:val="006F5F2C"/>
    <w:rsid w:val="006F7EFC"/>
    <w:rsid w:val="007023C6"/>
    <w:rsid w:val="00706E33"/>
    <w:rsid w:val="007072A0"/>
    <w:rsid w:val="00711057"/>
    <w:rsid w:val="007119BB"/>
    <w:rsid w:val="00725981"/>
    <w:rsid w:val="00734C7E"/>
    <w:rsid w:val="0076460B"/>
    <w:rsid w:val="00766728"/>
    <w:rsid w:val="00766FDD"/>
    <w:rsid w:val="007675C7"/>
    <w:rsid w:val="0077519A"/>
    <w:rsid w:val="0077675B"/>
    <w:rsid w:val="00780076"/>
    <w:rsid w:val="007820B6"/>
    <w:rsid w:val="007A422B"/>
    <w:rsid w:val="007A4C8B"/>
    <w:rsid w:val="007D365C"/>
    <w:rsid w:val="007D3965"/>
    <w:rsid w:val="007F4AA8"/>
    <w:rsid w:val="007F7AD6"/>
    <w:rsid w:val="008160AC"/>
    <w:rsid w:val="008361B4"/>
    <w:rsid w:val="00837F6F"/>
    <w:rsid w:val="00850699"/>
    <w:rsid w:val="00851C1E"/>
    <w:rsid w:val="00867590"/>
    <w:rsid w:val="00872890"/>
    <w:rsid w:val="008814E1"/>
    <w:rsid w:val="00885097"/>
    <w:rsid w:val="008A174F"/>
    <w:rsid w:val="008A29E6"/>
    <w:rsid w:val="008A696B"/>
    <w:rsid w:val="008B6ECC"/>
    <w:rsid w:val="008C35E4"/>
    <w:rsid w:val="008C5B78"/>
    <w:rsid w:val="008C7783"/>
    <w:rsid w:val="008D464E"/>
    <w:rsid w:val="008D7608"/>
    <w:rsid w:val="008E5ADB"/>
    <w:rsid w:val="008F0C8B"/>
    <w:rsid w:val="0090742A"/>
    <w:rsid w:val="009169FC"/>
    <w:rsid w:val="00917103"/>
    <w:rsid w:val="00922B0F"/>
    <w:rsid w:val="009304E8"/>
    <w:rsid w:val="00935805"/>
    <w:rsid w:val="00941427"/>
    <w:rsid w:val="00943BBA"/>
    <w:rsid w:val="009457F4"/>
    <w:rsid w:val="009503FA"/>
    <w:rsid w:val="009549FE"/>
    <w:rsid w:val="00956EFF"/>
    <w:rsid w:val="009623E9"/>
    <w:rsid w:val="009725EB"/>
    <w:rsid w:val="00975800"/>
    <w:rsid w:val="00975B56"/>
    <w:rsid w:val="009920B8"/>
    <w:rsid w:val="00994883"/>
    <w:rsid w:val="00997215"/>
    <w:rsid w:val="009B1ED7"/>
    <w:rsid w:val="009B6C96"/>
    <w:rsid w:val="009B6FB9"/>
    <w:rsid w:val="009B7217"/>
    <w:rsid w:val="009E2EF9"/>
    <w:rsid w:val="009E5928"/>
    <w:rsid w:val="009E60AD"/>
    <w:rsid w:val="009F43E4"/>
    <w:rsid w:val="009F5605"/>
    <w:rsid w:val="009F75C3"/>
    <w:rsid w:val="009F7D37"/>
    <w:rsid w:val="00A17357"/>
    <w:rsid w:val="00A20ED1"/>
    <w:rsid w:val="00A21BD6"/>
    <w:rsid w:val="00A232BA"/>
    <w:rsid w:val="00A26D48"/>
    <w:rsid w:val="00A33FF5"/>
    <w:rsid w:val="00A35299"/>
    <w:rsid w:val="00A438DE"/>
    <w:rsid w:val="00A45849"/>
    <w:rsid w:val="00A45ED5"/>
    <w:rsid w:val="00A521B8"/>
    <w:rsid w:val="00A60746"/>
    <w:rsid w:val="00A66473"/>
    <w:rsid w:val="00A720F5"/>
    <w:rsid w:val="00A820CC"/>
    <w:rsid w:val="00A85062"/>
    <w:rsid w:val="00A860BD"/>
    <w:rsid w:val="00AA0FCF"/>
    <w:rsid w:val="00AA2105"/>
    <w:rsid w:val="00AA6841"/>
    <w:rsid w:val="00AA74F5"/>
    <w:rsid w:val="00AB0030"/>
    <w:rsid w:val="00AB3FD5"/>
    <w:rsid w:val="00AB5F12"/>
    <w:rsid w:val="00AC2AE9"/>
    <w:rsid w:val="00AC7620"/>
    <w:rsid w:val="00AD2FCD"/>
    <w:rsid w:val="00AE1AD3"/>
    <w:rsid w:val="00AE3A46"/>
    <w:rsid w:val="00AF1913"/>
    <w:rsid w:val="00AF5568"/>
    <w:rsid w:val="00AF5926"/>
    <w:rsid w:val="00B01C71"/>
    <w:rsid w:val="00B174A7"/>
    <w:rsid w:val="00B2117E"/>
    <w:rsid w:val="00B23D0E"/>
    <w:rsid w:val="00B27860"/>
    <w:rsid w:val="00B32CD6"/>
    <w:rsid w:val="00B506C1"/>
    <w:rsid w:val="00B67226"/>
    <w:rsid w:val="00B73325"/>
    <w:rsid w:val="00B80783"/>
    <w:rsid w:val="00B850D3"/>
    <w:rsid w:val="00B86391"/>
    <w:rsid w:val="00B90695"/>
    <w:rsid w:val="00B92531"/>
    <w:rsid w:val="00BA0881"/>
    <w:rsid w:val="00BC2D14"/>
    <w:rsid w:val="00BC566C"/>
    <w:rsid w:val="00BD06AA"/>
    <w:rsid w:val="00BD22D6"/>
    <w:rsid w:val="00BD51A3"/>
    <w:rsid w:val="00BD6AB6"/>
    <w:rsid w:val="00BE414B"/>
    <w:rsid w:val="00BE5C08"/>
    <w:rsid w:val="00BF38F3"/>
    <w:rsid w:val="00BF472E"/>
    <w:rsid w:val="00BF6EDF"/>
    <w:rsid w:val="00C00986"/>
    <w:rsid w:val="00C129E9"/>
    <w:rsid w:val="00C176D8"/>
    <w:rsid w:val="00C307CF"/>
    <w:rsid w:val="00C35AA1"/>
    <w:rsid w:val="00C4268C"/>
    <w:rsid w:val="00C61786"/>
    <w:rsid w:val="00C64DF8"/>
    <w:rsid w:val="00C76147"/>
    <w:rsid w:val="00C819A9"/>
    <w:rsid w:val="00C96C8E"/>
    <w:rsid w:val="00C9752F"/>
    <w:rsid w:val="00CA0C30"/>
    <w:rsid w:val="00CA5029"/>
    <w:rsid w:val="00CD05FF"/>
    <w:rsid w:val="00CD5373"/>
    <w:rsid w:val="00CD58A8"/>
    <w:rsid w:val="00CE0784"/>
    <w:rsid w:val="00CE63DE"/>
    <w:rsid w:val="00D00E1E"/>
    <w:rsid w:val="00D12B04"/>
    <w:rsid w:val="00D139DD"/>
    <w:rsid w:val="00D239A1"/>
    <w:rsid w:val="00D37FE1"/>
    <w:rsid w:val="00D43FE4"/>
    <w:rsid w:val="00D4403E"/>
    <w:rsid w:val="00D51225"/>
    <w:rsid w:val="00D54ACC"/>
    <w:rsid w:val="00D66CE1"/>
    <w:rsid w:val="00D7262C"/>
    <w:rsid w:val="00D73F51"/>
    <w:rsid w:val="00D753B7"/>
    <w:rsid w:val="00DA5D3A"/>
    <w:rsid w:val="00DA627C"/>
    <w:rsid w:val="00DB160E"/>
    <w:rsid w:val="00DB1A20"/>
    <w:rsid w:val="00DC247C"/>
    <w:rsid w:val="00DC4718"/>
    <w:rsid w:val="00DD33B0"/>
    <w:rsid w:val="00DD3929"/>
    <w:rsid w:val="00DD4C96"/>
    <w:rsid w:val="00DE04B7"/>
    <w:rsid w:val="00DF74F1"/>
    <w:rsid w:val="00E17808"/>
    <w:rsid w:val="00E329E1"/>
    <w:rsid w:val="00E40453"/>
    <w:rsid w:val="00E44D9C"/>
    <w:rsid w:val="00E6207D"/>
    <w:rsid w:val="00E6666A"/>
    <w:rsid w:val="00E77345"/>
    <w:rsid w:val="00E879E7"/>
    <w:rsid w:val="00E90E4E"/>
    <w:rsid w:val="00EA67B9"/>
    <w:rsid w:val="00EA741D"/>
    <w:rsid w:val="00EB2E0A"/>
    <w:rsid w:val="00EC1891"/>
    <w:rsid w:val="00EC4226"/>
    <w:rsid w:val="00EC5834"/>
    <w:rsid w:val="00ED3D3A"/>
    <w:rsid w:val="00ED56D7"/>
    <w:rsid w:val="00F03440"/>
    <w:rsid w:val="00F11BD5"/>
    <w:rsid w:val="00F11CD8"/>
    <w:rsid w:val="00F14CC6"/>
    <w:rsid w:val="00F17650"/>
    <w:rsid w:val="00F23986"/>
    <w:rsid w:val="00F247AE"/>
    <w:rsid w:val="00F345D3"/>
    <w:rsid w:val="00F35239"/>
    <w:rsid w:val="00F4034E"/>
    <w:rsid w:val="00F434C3"/>
    <w:rsid w:val="00F439FB"/>
    <w:rsid w:val="00F4533E"/>
    <w:rsid w:val="00F46529"/>
    <w:rsid w:val="00F512AF"/>
    <w:rsid w:val="00F51B78"/>
    <w:rsid w:val="00F5278A"/>
    <w:rsid w:val="00F56F62"/>
    <w:rsid w:val="00F60E5D"/>
    <w:rsid w:val="00F6360B"/>
    <w:rsid w:val="00F74CDE"/>
    <w:rsid w:val="00F81250"/>
    <w:rsid w:val="00F83BEB"/>
    <w:rsid w:val="00F947DD"/>
    <w:rsid w:val="00FB2136"/>
    <w:rsid w:val="00FB531B"/>
    <w:rsid w:val="00FD3585"/>
    <w:rsid w:val="00FD5444"/>
    <w:rsid w:val="00FD791E"/>
    <w:rsid w:val="00FE36CB"/>
    <w:rsid w:val="00FF3B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F58CE71"/>
  <w15:docId w15:val="{BA577810-FE15-4975-AECD-1D93E1DB2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B60"/>
    <w:pPr>
      <w:spacing w:after="120" w:line="276" w:lineRule="auto"/>
    </w:pPr>
    <w:rPr>
      <w:rFonts w:ascii="Calibri" w:hAnsi="Calibri"/>
      <w:sz w:val="22"/>
    </w:rPr>
  </w:style>
  <w:style w:type="paragraph" w:styleId="Heading1">
    <w:name w:val="heading 1"/>
    <w:basedOn w:val="Normal"/>
    <w:next w:val="Normal"/>
    <w:link w:val="Heading1Char"/>
    <w:uiPriority w:val="9"/>
    <w:qFormat/>
    <w:rsid w:val="00570A22"/>
    <w:pPr>
      <w:keepNext/>
      <w:keepLines/>
      <w:spacing w:before="200" w:line="240" w:lineRule="auto"/>
      <w:outlineLvl w:val="0"/>
    </w:pPr>
    <w:rPr>
      <w:rFonts w:eastAsiaTheme="majorEastAsia" w:cstheme="majorBidi"/>
      <w:b/>
      <w:bCs/>
      <w:color w:val="ED1B24"/>
      <w:sz w:val="32"/>
      <w:szCs w:val="28"/>
    </w:rPr>
  </w:style>
  <w:style w:type="paragraph" w:styleId="Heading2">
    <w:name w:val="heading 2"/>
    <w:basedOn w:val="Normal"/>
    <w:next w:val="Normal"/>
    <w:link w:val="Heading2Char"/>
    <w:uiPriority w:val="9"/>
    <w:qFormat/>
    <w:rsid w:val="00570A22"/>
    <w:pPr>
      <w:keepNext/>
      <w:keepLines/>
      <w:spacing w:before="200" w:line="240" w:lineRule="auto"/>
      <w:outlineLvl w:val="1"/>
    </w:pPr>
    <w:rPr>
      <w:rFonts w:eastAsiaTheme="majorEastAsia" w:cstheme="majorBidi"/>
      <w:bCs/>
      <w:color w:val="ED1B24"/>
      <w:sz w:val="28"/>
      <w:szCs w:val="26"/>
    </w:rPr>
  </w:style>
  <w:style w:type="paragraph" w:styleId="Heading3">
    <w:name w:val="heading 3"/>
    <w:basedOn w:val="Normal"/>
    <w:next w:val="Normal"/>
    <w:link w:val="Heading3Char"/>
    <w:uiPriority w:val="9"/>
    <w:qFormat/>
    <w:rsid w:val="00570A22"/>
    <w:pPr>
      <w:keepNext/>
      <w:keepLines/>
      <w:spacing w:before="200" w:line="240" w:lineRule="auto"/>
      <w:outlineLvl w:val="2"/>
    </w:pPr>
    <w:rPr>
      <w:rFonts w:eastAsiaTheme="majorEastAsia" w:cstheme="majorBidi"/>
      <w:b/>
      <w:bCs/>
      <w:color w:val="000000"/>
      <w:sz w:val="24"/>
    </w:rPr>
  </w:style>
  <w:style w:type="paragraph" w:styleId="Heading4">
    <w:name w:val="heading 4"/>
    <w:basedOn w:val="Normal"/>
    <w:next w:val="Normal"/>
    <w:link w:val="Heading4Char"/>
    <w:uiPriority w:val="9"/>
    <w:qFormat/>
    <w:rsid w:val="00570A22"/>
    <w:pPr>
      <w:keepNext/>
      <w:keepLines/>
      <w:spacing w:before="200" w:line="240" w:lineRule="auto"/>
      <w:outlineLvl w:val="3"/>
    </w:pPr>
    <w:rPr>
      <w:rFonts w:eastAsiaTheme="majorEastAsia" w:cstheme="majorBidi"/>
      <w:bCs/>
      <w:i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03FA"/>
    <w:pPr>
      <w:spacing w:after="0" w:line="240" w:lineRule="auto"/>
    </w:pPr>
  </w:style>
  <w:style w:type="character" w:customStyle="1" w:styleId="HeaderChar">
    <w:name w:val="Header Char"/>
    <w:basedOn w:val="DefaultParagraphFont"/>
    <w:link w:val="Header"/>
    <w:uiPriority w:val="99"/>
    <w:rsid w:val="009503FA"/>
    <w:rPr>
      <w:rFonts w:ascii="Calibri" w:hAnsi="Calibri"/>
      <w:sz w:val="22"/>
    </w:rPr>
  </w:style>
  <w:style w:type="paragraph" w:styleId="Footer">
    <w:name w:val="footer"/>
    <w:basedOn w:val="Normal"/>
    <w:link w:val="FooterChar"/>
    <w:uiPriority w:val="99"/>
    <w:unhideWhenUsed/>
    <w:rsid w:val="00FD791E"/>
    <w:pPr>
      <w:pBdr>
        <w:top w:val="single" w:sz="4" w:space="3" w:color="ED1B24"/>
      </w:pBdr>
      <w:tabs>
        <w:tab w:val="right" w:pos="9630"/>
      </w:tabs>
      <w:spacing w:after="0" w:line="240" w:lineRule="auto"/>
    </w:pPr>
    <w:rPr>
      <w:sz w:val="19"/>
    </w:rPr>
  </w:style>
  <w:style w:type="character" w:customStyle="1" w:styleId="FooterChar">
    <w:name w:val="Footer Char"/>
    <w:basedOn w:val="DefaultParagraphFont"/>
    <w:link w:val="Footer"/>
    <w:uiPriority w:val="99"/>
    <w:rsid w:val="00FD791E"/>
    <w:rPr>
      <w:rFonts w:ascii="Calibri" w:hAnsi="Calibri"/>
      <w:sz w:val="19"/>
    </w:rPr>
  </w:style>
  <w:style w:type="table" w:styleId="TableGrid">
    <w:name w:val="Table Grid"/>
    <w:basedOn w:val="TableNormal"/>
    <w:uiPriority w:val="59"/>
    <w:rsid w:val="006F5F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Text"/>
    <w:basedOn w:val="Normal"/>
    <w:qFormat/>
    <w:rsid w:val="00690CD6"/>
    <w:pPr>
      <w:keepNext/>
      <w:spacing w:before="20" w:after="20" w:line="240" w:lineRule="auto"/>
    </w:pPr>
  </w:style>
  <w:style w:type="paragraph" w:styleId="Date">
    <w:name w:val="Date"/>
    <w:basedOn w:val="Normal"/>
    <w:next w:val="Normal"/>
    <w:link w:val="DateChar"/>
    <w:uiPriority w:val="99"/>
    <w:qFormat/>
    <w:rsid w:val="00207D61"/>
    <w:pPr>
      <w:spacing w:after="360"/>
    </w:pPr>
  </w:style>
  <w:style w:type="character" w:customStyle="1" w:styleId="DateChar">
    <w:name w:val="Date Char"/>
    <w:basedOn w:val="DefaultParagraphFont"/>
    <w:link w:val="Date"/>
    <w:uiPriority w:val="99"/>
    <w:rsid w:val="00207D61"/>
    <w:rPr>
      <w:rFonts w:ascii="Calibri" w:hAnsi="Calibri"/>
      <w:sz w:val="22"/>
    </w:rPr>
  </w:style>
  <w:style w:type="character" w:customStyle="1" w:styleId="Heading1Char">
    <w:name w:val="Heading 1 Char"/>
    <w:basedOn w:val="DefaultParagraphFont"/>
    <w:link w:val="Heading1"/>
    <w:uiPriority w:val="9"/>
    <w:rsid w:val="00570A22"/>
    <w:rPr>
      <w:rFonts w:ascii="Calibri" w:eastAsiaTheme="majorEastAsia" w:hAnsi="Calibri" w:cstheme="majorBidi"/>
      <w:b/>
      <w:bCs/>
      <w:color w:val="ED1B24"/>
      <w:sz w:val="32"/>
      <w:szCs w:val="28"/>
    </w:rPr>
  </w:style>
  <w:style w:type="character" w:customStyle="1" w:styleId="Heading2Char">
    <w:name w:val="Heading 2 Char"/>
    <w:basedOn w:val="DefaultParagraphFont"/>
    <w:link w:val="Heading2"/>
    <w:uiPriority w:val="9"/>
    <w:rsid w:val="00570A22"/>
    <w:rPr>
      <w:rFonts w:ascii="Calibri" w:eastAsiaTheme="majorEastAsia" w:hAnsi="Calibri" w:cstheme="majorBidi"/>
      <w:bCs/>
      <w:color w:val="ED1B24"/>
      <w:sz w:val="28"/>
      <w:szCs w:val="26"/>
    </w:rPr>
  </w:style>
  <w:style w:type="character" w:customStyle="1" w:styleId="Heading3Char">
    <w:name w:val="Heading 3 Char"/>
    <w:basedOn w:val="DefaultParagraphFont"/>
    <w:link w:val="Heading3"/>
    <w:uiPriority w:val="9"/>
    <w:rsid w:val="00570A22"/>
    <w:rPr>
      <w:rFonts w:ascii="Calibri" w:eastAsiaTheme="majorEastAsia" w:hAnsi="Calibri" w:cstheme="majorBidi"/>
      <w:b/>
      <w:bCs/>
      <w:color w:val="000000"/>
      <w:sz w:val="24"/>
    </w:rPr>
  </w:style>
  <w:style w:type="character" w:customStyle="1" w:styleId="Heading4Char">
    <w:name w:val="Heading 4 Char"/>
    <w:basedOn w:val="DefaultParagraphFont"/>
    <w:link w:val="Heading4"/>
    <w:uiPriority w:val="9"/>
    <w:rsid w:val="00570A22"/>
    <w:rPr>
      <w:rFonts w:ascii="Calibri" w:eastAsiaTheme="majorEastAsia" w:hAnsi="Calibri" w:cstheme="majorBidi"/>
      <w:bCs/>
      <w:iCs/>
      <w:color w:val="000000"/>
      <w:sz w:val="22"/>
    </w:rPr>
  </w:style>
  <w:style w:type="character" w:styleId="PageNumber">
    <w:name w:val="page number"/>
    <w:basedOn w:val="DefaultParagraphFont"/>
    <w:uiPriority w:val="99"/>
    <w:semiHidden/>
    <w:unhideWhenUsed/>
    <w:rsid w:val="006F4B60"/>
    <w:rPr>
      <w:sz w:val="18"/>
    </w:rPr>
  </w:style>
  <w:style w:type="paragraph" w:customStyle="1" w:styleId="TableHeading">
    <w:name w:val="TableHeading"/>
    <w:basedOn w:val="TableText"/>
    <w:qFormat/>
    <w:rsid w:val="00690CD6"/>
    <w:pPr>
      <w:spacing w:before="60" w:after="60"/>
    </w:pPr>
    <w:rPr>
      <w:color w:val="FFFFFF"/>
    </w:rPr>
  </w:style>
  <w:style w:type="paragraph" w:customStyle="1" w:styleId="ReportTitle">
    <w:name w:val="ReportTitle"/>
    <w:basedOn w:val="Normal"/>
    <w:rsid w:val="00620351"/>
    <w:pPr>
      <w:spacing w:before="2960" w:after="4000" w:line="240" w:lineRule="auto"/>
    </w:pPr>
    <w:rPr>
      <w:b/>
      <w:color w:val="FFFFFF"/>
      <w:sz w:val="60"/>
    </w:rPr>
  </w:style>
  <w:style w:type="paragraph" w:customStyle="1" w:styleId="CopyrightInfo">
    <w:name w:val="CopyrightInfo"/>
    <w:basedOn w:val="Normal"/>
    <w:rsid w:val="00620351"/>
    <w:rPr>
      <w:sz w:val="16"/>
    </w:rPr>
  </w:style>
  <w:style w:type="paragraph" w:customStyle="1" w:styleId="ChapterTitle">
    <w:name w:val="ChapterTitle"/>
    <w:qFormat/>
    <w:rsid w:val="00706E33"/>
    <w:pPr>
      <w:pBdr>
        <w:bottom w:val="single" w:sz="12" w:space="1" w:color="ED1B24"/>
      </w:pBdr>
      <w:spacing w:after="720"/>
      <w:outlineLvl w:val="0"/>
    </w:pPr>
    <w:rPr>
      <w:rFonts w:ascii="Calibri" w:eastAsiaTheme="majorEastAsia" w:hAnsi="Calibri" w:cstheme="majorBidi"/>
      <w:b/>
      <w:bCs/>
      <w:color w:val="ED1B24"/>
      <w:sz w:val="50"/>
      <w:szCs w:val="28"/>
    </w:rPr>
  </w:style>
  <w:style w:type="paragraph" w:styleId="FootnoteText">
    <w:name w:val="footnote text"/>
    <w:basedOn w:val="Normal"/>
    <w:link w:val="FootnoteTextChar"/>
    <w:uiPriority w:val="99"/>
    <w:unhideWhenUsed/>
    <w:rsid w:val="00706E33"/>
    <w:pPr>
      <w:spacing w:after="0" w:line="240" w:lineRule="auto"/>
    </w:pPr>
    <w:rPr>
      <w:sz w:val="20"/>
    </w:rPr>
  </w:style>
  <w:style w:type="character" w:customStyle="1" w:styleId="FootnoteTextChar">
    <w:name w:val="Footnote Text Char"/>
    <w:basedOn w:val="DefaultParagraphFont"/>
    <w:link w:val="FootnoteText"/>
    <w:uiPriority w:val="99"/>
    <w:rsid w:val="00706E33"/>
    <w:rPr>
      <w:rFonts w:ascii="Calibri" w:hAnsi="Calibri"/>
    </w:rPr>
  </w:style>
  <w:style w:type="character" w:styleId="FootnoteReference">
    <w:name w:val="footnote reference"/>
    <w:basedOn w:val="DefaultParagraphFont"/>
    <w:uiPriority w:val="99"/>
    <w:unhideWhenUsed/>
    <w:rsid w:val="00706E33"/>
    <w:rPr>
      <w:vertAlign w:val="superscript"/>
    </w:rPr>
  </w:style>
  <w:style w:type="paragraph" w:customStyle="1" w:styleId="ContentsTitle">
    <w:name w:val="ContentsTitle"/>
    <w:basedOn w:val="ChapterTitle"/>
    <w:rsid w:val="00706E33"/>
    <w:pPr>
      <w:outlineLvl w:val="9"/>
    </w:pPr>
  </w:style>
  <w:style w:type="paragraph" w:styleId="TOCHeading">
    <w:name w:val="TOC Heading"/>
    <w:basedOn w:val="Heading1"/>
    <w:next w:val="Normal"/>
    <w:uiPriority w:val="39"/>
    <w:semiHidden/>
    <w:unhideWhenUsed/>
    <w:qFormat/>
    <w:rsid w:val="00706E33"/>
    <w:pPr>
      <w:spacing w:before="480" w:after="0" w:line="276" w:lineRule="auto"/>
      <w:outlineLvl w:val="9"/>
    </w:pPr>
    <w:rPr>
      <w:rFonts w:asciiTheme="majorHAnsi" w:hAnsiTheme="majorHAnsi"/>
      <w:color w:val="365F91" w:themeColor="accent1" w:themeShade="BF"/>
      <w:sz w:val="28"/>
      <w:lang w:val="en-US" w:eastAsia="ja-JP"/>
    </w:rPr>
  </w:style>
  <w:style w:type="paragraph" w:styleId="TOC2">
    <w:name w:val="toc 2"/>
    <w:basedOn w:val="Normal"/>
    <w:next w:val="Normal"/>
    <w:autoRedefine/>
    <w:uiPriority w:val="39"/>
    <w:unhideWhenUsed/>
    <w:qFormat/>
    <w:rsid w:val="00706E33"/>
    <w:pPr>
      <w:spacing w:after="100"/>
      <w:ind w:left="220"/>
    </w:pPr>
    <w:rPr>
      <w:rFonts w:asciiTheme="minorHAnsi" w:eastAsiaTheme="minorEastAsia" w:hAnsiTheme="minorHAnsi" w:cstheme="minorBidi"/>
      <w:szCs w:val="22"/>
      <w:lang w:val="en-US" w:eastAsia="ja-JP"/>
    </w:rPr>
  </w:style>
  <w:style w:type="paragraph" w:styleId="TOC1">
    <w:name w:val="toc 1"/>
    <w:basedOn w:val="Normal"/>
    <w:next w:val="Normal"/>
    <w:autoRedefine/>
    <w:uiPriority w:val="39"/>
    <w:unhideWhenUsed/>
    <w:qFormat/>
    <w:rsid w:val="00706E33"/>
    <w:pPr>
      <w:spacing w:after="100"/>
    </w:pPr>
    <w:rPr>
      <w:rFonts w:asciiTheme="minorHAnsi" w:eastAsiaTheme="minorEastAsia" w:hAnsiTheme="minorHAnsi" w:cstheme="minorBidi"/>
      <w:b/>
      <w:szCs w:val="22"/>
      <w:lang w:val="en-US" w:eastAsia="ja-JP"/>
    </w:rPr>
  </w:style>
  <w:style w:type="paragraph" w:styleId="TOC3">
    <w:name w:val="toc 3"/>
    <w:basedOn w:val="Normal"/>
    <w:next w:val="Normal"/>
    <w:autoRedefine/>
    <w:uiPriority w:val="39"/>
    <w:unhideWhenUsed/>
    <w:qFormat/>
    <w:rsid w:val="00706E33"/>
    <w:pPr>
      <w:spacing w:after="100"/>
      <w:ind w:left="440"/>
    </w:pPr>
    <w:rPr>
      <w:rFonts w:asciiTheme="minorHAnsi" w:eastAsiaTheme="minorEastAsia" w:hAnsiTheme="minorHAnsi" w:cstheme="minorBidi"/>
      <w:szCs w:val="22"/>
      <w:lang w:val="en-US" w:eastAsia="ja-JP"/>
    </w:rPr>
  </w:style>
  <w:style w:type="table" w:customStyle="1" w:styleId="E3">
    <w:name w:val="E3"/>
    <w:basedOn w:val="TableNormal"/>
    <w:uiPriority w:val="99"/>
    <w:rsid w:val="00706E33"/>
    <w:rPr>
      <w:rFonts w:ascii="Calibri" w:hAnsi="Calibri"/>
      <w:sz w:val="22"/>
    </w:rPr>
    <w:tblPr>
      <w:tblBorders>
        <w:bottom w:val="single" w:sz="4" w:space="0" w:color="000000"/>
        <w:insideH w:val="single" w:sz="4" w:space="0" w:color="000000"/>
      </w:tblBorders>
    </w:tblPr>
    <w:tblStylePr w:type="firstRow">
      <w:rPr>
        <w:rFonts w:ascii="Calibri" w:hAnsi="Calibri"/>
        <w:color w:val="FFFFFF"/>
        <w:sz w:val="22"/>
      </w:rPr>
      <w:tblPr/>
      <w:tcPr>
        <w:shd w:val="clear" w:color="auto" w:fill="ED1B24"/>
      </w:tcPr>
    </w:tblStylePr>
  </w:style>
  <w:style w:type="paragraph" w:customStyle="1" w:styleId="TableName">
    <w:name w:val="TableName"/>
    <w:basedOn w:val="TableText"/>
    <w:qFormat/>
    <w:rsid w:val="00690CD6"/>
    <w:pPr>
      <w:keepLines/>
      <w:tabs>
        <w:tab w:val="left" w:pos="1080"/>
      </w:tabs>
      <w:spacing w:before="180" w:after="120"/>
      <w:ind w:left="1080" w:hanging="1080"/>
    </w:pPr>
    <w:rPr>
      <w:b/>
    </w:rPr>
  </w:style>
  <w:style w:type="paragraph" w:customStyle="1" w:styleId="Bullets-Major">
    <w:name w:val="Bullets - Major"/>
    <w:basedOn w:val="NoSpacing"/>
    <w:qFormat/>
    <w:rsid w:val="00DA627C"/>
    <w:pPr>
      <w:numPr>
        <w:numId w:val="1"/>
      </w:numPr>
      <w:spacing w:after="60"/>
    </w:pPr>
    <w:rPr>
      <w:rFonts w:asciiTheme="minorHAnsi" w:hAnsiTheme="minorHAnsi" w:cstheme="minorBidi"/>
      <w:szCs w:val="22"/>
    </w:rPr>
  </w:style>
  <w:style w:type="paragraph" w:styleId="NoSpacing">
    <w:name w:val="No Spacing"/>
    <w:uiPriority w:val="1"/>
    <w:semiHidden/>
    <w:rsid w:val="00DA627C"/>
    <w:rPr>
      <w:rFonts w:ascii="Calibri" w:hAnsi="Calibri"/>
      <w:sz w:val="22"/>
    </w:rPr>
  </w:style>
  <w:style w:type="paragraph" w:styleId="ListParagraph">
    <w:name w:val="List Paragraph"/>
    <w:basedOn w:val="Normal"/>
    <w:uiPriority w:val="34"/>
    <w:rsid w:val="00BD06AA"/>
    <w:pPr>
      <w:ind w:left="720"/>
      <w:contextualSpacing/>
    </w:pPr>
  </w:style>
  <w:style w:type="paragraph" w:styleId="BalloonText">
    <w:name w:val="Balloon Text"/>
    <w:basedOn w:val="Normal"/>
    <w:link w:val="BalloonTextChar"/>
    <w:uiPriority w:val="99"/>
    <w:semiHidden/>
    <w:unhideWhenUsed/>
    <w:rsid w:val="00645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E01"/>
    <w:rPr>
      <w:rFonts w:ascii="Segoe UI" w:hAnsi="Segoe UI" w:cs="Segoe UI"/>
      <w:sz w:val="18"/>
      <w:szCs w:val="18"/>
    </w:rPr>
  </w:style>
  <w:style w:type="character" w:styleId="CommentReference">
    <w:name w:val="annotation reference"/>
    <w:basedOn w:val="DefaultParagraphFont"/>
    <w:semiHidden/>
    <w:unhideWhenUsed/>
    <w:rsid w:val="00B90695"/>
    <w:rPr>
      <w:sz w:val="16"/>
      <w:szCs w:val="16"/>
    </w:rPr>
  </w:style>
  <w:style w:type="paragraph" w:styleId="CommentText">
    <w:name w:val="annotation text"/>
    <w:basedOn w:val="Normal"/>
    <w:link w:val="CommentTextChar"/>
    <w:uiPriority w:val="99"/>
    <w:unhideWhenUsed/>
    <w:rsid w:val="00B90695"/>
    <w:pPr>
      <w:spacing w:line="240" w:lineRule="auto"/>
    </w:pPr>
    <w:rPr>
      <w:sz w:val="20"/>
    </w:rPr>
  </w:style>
  <w:style w:type="character" w:customStyle="1" w:styleId="CommentTextChar">
    <w:name w:val="Comment Text Char"/>
    <w:basedOn w:val="DefaultParagraphFont"/>
    <w:link w:val="CommentText"/>
    <w:uiPriority w:val="99"/>
    <w:rsid w:val="00B90695"/>
    <w:rPr>
      <w:rFonts w:ascii="Calibri" w:hAnsi="Calibri"/>
    </w:rPr>
  </w:style>
  <w:style w:type="paragraph" w:styleId="CommentSubject">
    <w:name w:val="annotation subject"/>
    <w:basedOn w:val="CommentText"/>
    <w:next w:val="CommentText"/>
    <w:link w:val="CommentSubjectChar"/>
    <w:uiPriority w:val="99"/>
    <w:semiHidden/>
    <w:unhideWhenUsed/>
    <w:rsid w:val="00B90695"/>
    <w:rPr>
      <w:b/>
      <w:bCs/>
    </w:rPr>
  </w:style>
  <w:style w:type="character" w:customStyle="1" w:styleId="CommentSubjectChar">
    <w:name w:val="Comment Subject Char"/>
    <w:basedOn w:val="CommentTextChar"/>
    <w:link w:val="CommentSubject"/>
    <w:uiPriority w:val="99"/>
    <w:semiHidden/>
    <w:rsid w:val="00B90695"/>
    <w:rPr>
      <w:rFonts w:ascii="Calibri" w:hAnsi="Calibri"/>
      <w:b/>
      <w:bCs/>
    </w:rPr>
  </w:style>
  <w:style w:type="table" w:customStyle="1" w:styleId="TableGridLight1">
    <w:name w:val="Table Grid Light1"/>
    <w:basedOn w:val="TableNormal"/>
    <w:uiPriority w:val="40"/>
    <w:rsid w:val="00CE0784"/>
    <w:rPr>
      <w:rFonts w:asciiTheme="minorHAnsi" w:hAnsiTheme="minorHAnsi" w:cstheme="minorBidi"/>
      <w:sz w:val="22"/>
      <w:szCs w:val="22"/>
      <w:lang w:val="en-NZ"/>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Caption">
    <w:name w:val="caption"/>
    <w:basedOn w:val="Normal"/>
    <w:next w:val="Normal"/>
    <w:uiPriority w:val="35"/>
    <w:semiHidden/>
    <w:unhideWhenUsed/>
    <w:qFormat/>
    <w:rsid w:val="008E5ADB"/>
    <w:pPr>
      <w:spacing w:after="200" w:line="240" w:lineRule="auto"/>
    </w:pPr>
    <w:rPr>
      <w:i/>
      <w:iCs/>
      <w:color w:val="1F497D" w:themeColor="text2"/>
      <w:sz w:val="18"/>
      <w:szCs w:val="18"/>
    </w:rPr>
  </w:style>
  <w:style w:type="character" w:styleId="Hyperlink">
    <w:name w:val="Hyperlink"/>
    <w:basedOn w:val="DefaultParagraphFont"/>
    <w:uiPriority w:val="99"/>
    <w:unhideWhenUsed/>
    <w:rsid w:val="00F4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888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emf"/><Relationship Id="rId26" Type="http://schemas.openxmlformats.org/officeDocument/2006/relationships/image" Target="media/image13.png"/><Relationship Id="rId39"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image" Target="media/image8.emf"/><Relationship Id="rId34" Type="http://schemas.openxmlformats.org/officeDocument/2006/relationships/header" Target="head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regs@eeca.govt.nz" TargetMode="External"/><Relationship Id="rId25" Type="http://schemas.openxmlformats.org/officeDocument/2006/relationships/image" Target="media/image12.emf"/><Relationship Id="rId33"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mailto:acrac@environment.gov.au" TargetMode="External"/><Relationship Id="rId20" Type="http://schemas.openxmlformats.org/officeDocument/2006/relationships/image" Target="media/image7.emf"/><Relationship Id="rId29" Type="http://schemas.openxmlformats.org/officeDocument/2006/relationships/image" Target="media/image16.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1.emf"/><Relationship Id="rId32" Type="http://schemas.openxmlformats.org/officeDocument/2006/relationships/image" Target="media/image19.emf"/><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image" Target="media/image10.emf"/><Relationship Id="rId28" Type="http://schemas.openxmlformats.org/officeDocument/2006/relationships/image" Target="media/image15.emf"/><Relationship Id="rId36"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6.emf"/><Relationship Id="rId31" Type="http://schemas.openxmlformats.org/officeDocument/2006/relationships/image" Target="media/image18.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9.emf"/><Relationship Id="rId27" Type="http://schemas.openxmlformats.org/officeDocument/2006/relationships/image" Target="media/image14.emf"/><Relationship Id="rId30" Type="http://schemas.openxmlformats.org/officeDocument/2006/relationships/image" Target="media/image17.png"/><Relationship Id="rId35" Type="http://schemas.openxmlformats.org/officeDocument/2006/relationships/footer" Target="footer4.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ayawao\AppData\Local\Microsoft\Windows\INetCache\Content.Outlook\ZIXQYWLX\E3%20A%20Policy%20Framework%20for%20Hot%20Water%20Systems%20in%20Australia%20%20New%20Zealand_DRAF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Word Document" ma:contentTypeID="0x0101005496552013C0BA46BE88192D5C6EB20B00BC7B51C3C3DA487E91D1E0ED95F8C85C00F13BD78B6D8D86408BB9B5E4E6A48736" ma:contentTypeVersion="10" ma:contentTypeDescription="Create a new Word Document" ma:contentTypeScope="" ma:versionID="165f2b6cfe5d2e1fe70fada2077fa489">
  <xsd:schema xmlns:xsd="http://www.w3.org/2001/XMLSchema" xmlns:xs="http://www.w3.org/2001/XMLSchema" xmlns:p="http://schemas.microsoft.com/office/2006/metadata/properties" xmlns:ns1="http://schemas.microsoft.com/sharepoint/v3" xmlns:ns3="a016ea71-90c5-4403-8478-e659645fdc4a" xmlns:ns4="01be4277-2979-4a68-876d-b92b25fceece" xmlns:ns5="c42a6bcb-af21-499b-93e6-ccefbcb9b873" targetNamespace="http://schemas.microsoft.com/office/2006/metadata/properties" ma:root="true" ma:fieldsID="27f584596d6b2bd3ad43a71565421404" ns1:_="" ns3:_="" ns4:_="" ns5:_="">
    <xsd:import namespace="http://schemas.microsoft.com/sharepoint/v3"/>
    <xsd:import namespace="a016ea71-90c5-4403-8478-e659645fdc4a"/>
    <xsd:import namespace="01be4277-2979-4a68-876d-b92b25fceece"/>
    <xsd:import namespace="c42a6bcb-af21-499b-93e6-ccefbcb9b873"/>
    <xsd:element name="properties">
      <xsd:complexType>
        <xsd:sequence>
          <xsd:element name="documentManagement">
            <xsd:complexType>
              <xsd:all>
                <xsd:element ref="ns3:ProjectType" minOccurs="0"/>
                <xsd:element ref="ns4:C3TopicNote" minOccurs="0"/>
                <xsd:element ref="ns3:TaxKeywordTaxHTField" minOccurs="0"/>
                <xsd:element ref="ns3:TaxCatchAll" minOccurs="0"/>
                <xsd:element ref="ns3:TaxCatchAllLabel" minOccurs="0"/>
                <xsd:element ref="ns1:Completed" minOccurs="0"/>
                <xsd:element ref="ns3:_dlc_DocId" minOccurs="0"/>
                <xsd:element ref="ns3:_dlc_DocIdUrl" minOccurs="0"/>
                <xsd:element ref="ns3:_dlc_DocIdPersistId" minOccurs="0"/>
                <xsd:element ref="ns3:l312f369987644ec9be22e78265b9520" minOccurs="0"/>
                <xsd:element ref="ns4:C3FinancialYearNote" minOccurs="0"/>
                <xsd:element ref="ns5:SharedWithUsers" minOccurs="0"/>
                <xsd:element ref="ns3:f15d97cb0c9b4db69da5dae469ae0dbd" minOccurs="0"/>
                <xsd:element ref="ns3:Completed1"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pleted" ma:index="13" nillable="true" ma:displayName="Completed" ma:default="FALSE" ma:hidden="true" ma:internalName="Complet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a016ea71-90c5-4403-8478-e659645fdc4a" elementFormDefault="qualified">
    <xsd:import namespace="http://schemas.microsoft.com/office/2006/documentManagement/types"/>
    <xsd:import namespace="http://schemas.microsoft.com/office/infopath/2007/PartnerControls"/>
    <xsd:element name="ProjectType" ma:index="4" nillable="true" ma:displayName="Project Type" ma:format="Dropdown" ma:internalName="ProjectType">
      <xsd:simpleType>
        <xsd:restriction base="dms:Choice">
          <xsd:enumeration value="Policy Development"/>
          <xsd:enumeration value="Regulation Update"/>
          <xsd:enumeration value="Standards Development"/>
        </xsd:restriction>
      </xsd:simpleType>
    </xsd:element>
    <xsd:element name="TaxKeywordTaxHTField" ma:index="10" nillable="true" ma:taxonomy="true" ma:internalName="TaxKeywordTaxHTField" ma:taxonomyFieldName="TaxKeyword" ma:displayName="Enterprise Keywords" ma:fieldId="{23f27201-bee3-471e-b2e7-b64fd8b7ca38}" ma:taxonomyMulti="true" ma:sspId="6424cb70-b625-4258-aada-be1255287bd6" ma:termSetId="00000000-0000-0000-0000-000000000000" ma:anchorId="00000000-0000-0000-0000-000000000000" ma:open="true" ma:isKeyword="true">
      <xsd:complexType>
        <xsd:sequence>
          <xsd:element ref="pc:Terms" minOccurs="0" maxOccurs="1"/>
        </xsd:sequence>
      </xsd:complexType>
    </xsd:element>
    <xsd:element name="TaxCatchAll" ma:index="11" nillable="true" ma:displayName="Taxonomy Catch All Column" ma:hidden="true" ma:list="{4a549d53-da0e-4332-9d29-0c4bdeb6145b}" ma:internalName="TaxCatchAll" ma:showField="CatchAllData"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4a549d53-da0e-4332-9d29-0c4bdeb6145b}" ma:internalName="TaxCatchAllLabel" ma:readOnly="true" ma:showField="CatchAllDataLabel" ma:web="a016ea71-90c5-4403-8478-e659645fdc4a">
      <xsd:complexType>
        <xsd:complexContent>
          <xsd:extension base="dms:MultiChoiceLookup">
            <xsd:sequence>
              <xsd:element name="Value" type="dms:Lookup" maxOccurs="unbounded" minOccurs="0" nillable="true"/>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true">
      <xsd:simpleType>
        <xsd:restriction base="dms:Boolean"/>
      </xsd:simpleType>
    </xsd:element>
    <xsd:element name="l312f369987644ec9be22e78265b9520" ma:index="18" nillable="true" ma:taxonomy="true" ma:internalName="l312f369987644ec9be22e78265b9520" ma:taxonomyFieldName="ProductName" ma:displayName="Product Name" ma:fieldId="{5312f369-9876-44ec-9be2-2e78265b9520}" ma:taxonomyMulti="true" ma:sspId="6424cb70-b625-4258-aada-be1255287bd6" ma:termSetId="a1340203-4503-40cc-9aa2-931bbcbd2675" ma:anchorId="00000000-0000-0000-0000-000000000000" ma:open="false" ma:isKeyword="false">
      <xsd:complexType>
        <xsd:sequence>
          <xsd:element ref="pc:Terms" minOccurs="0" maxOccurs="1"/>
        </xsd:sequence>
      </xsd:complexType>
    </xsd:element>
    <xsd:element name="f15d97cb0c9b4db69da5dae469ae0dbd" ma:index="25" nillable="true" ma:taxonomy="true" ma:internalName="f15d97cb0c9b4db69da5dae469ae0dbd" ma:taxonomyFieldName="EECA_x0020_Programmes" ma:displayName="EECA Programmes" ma:default="" ma:fieldId="{f15d97cb-0c9b-4db6-9da5-dae469ae0dbd}" ma:sspId="6424cb70-b625-4258-aada-be1255287bd6" ma:termSetId="0f2351fb-8312-4241-bc1f-8ef9bc8fbb3a" ma:anchorId="00000000-0000-0000-0000-000000000000" ma:open="false" ma:isKeyword="false">
      <xsd:complexType>
        <xsd:sequence>
          <xsd:element ref="pc:Terms" minOccurs="0" maxOccurs="1"/>
        </xsd:sequence>
      </xsd:complexType>
    </xsd:element>
    <xsd:element name="Completed1" ma:index="26" nillable="true" ma:displayName="Completed?" ma:default="0" ma:internalName="Completed1">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8" nillable="true" ma:taxonomy="true" ma:internalName="C3TopicNote" ma:taxonomyFieldName="C3Topic" ma:displayName="Topic" ma:readOnly="false" ma:fieldId="{6a3fe89f-a6dd-4490-a9c1-3ef38d67b8c7}" ma:sspId="6424cb70-b625-4258-aada-be1255287bd6" ma:termSetId="f7102e4b-3017-4f3d-87ea-0aebd20f4423" ma:anchorId="129a274b-87a4-4a88-8718-94e5030bf852" ma:open="false" ma:isKeyword="false">
      <xsd:complexType>
        <xsd:sequence>
          <xsd:element ref="pc:Terms" minOccurs="0" maxOccurs="1"/>
        </xsd:sequence>
      </xsd:complexType>
    </xsd:element>
    <xsd:element name="C3FinancialYearNote" ma:index="21" nillable="true" ma:taxonomy="true" ma:internalName="C3FinancialYearNote" ma:taxonomyFieldName="C3FinancialYear" ma:displayName="Financial Year" ma:readOnly="false" ma:default="" ma:fieldId="{576f231a-00e6-4d2f-a497-c942067ed5b8}" ma:sspId="6424cb70-b625-4258-aada-be1255287bd6" ma:termSetId="67187f8a-7802-4a97-b714-f9f1f17ed6c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42a6bcb-af21-499b-93e6-ccefbcb9b873" elementFormDefault="qualified">
    <xsd:import namespace="http://schemas.microsoft.com/office/2006/documentManagement/types"/>
    <xsd:import namespace="http://schemas.microsoft.com/office/infopath/2007/PartnerControls"/>
    <xsd:element name="SharedWithUsers" ma:index="2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a016ea71-90c5-4403-8478-e659645fdc4a">
      <Terms xmlns="http://schemas.microsoft.com/office/infopath/2007/PartnerControls"/>
    </TaxKeywordTaxHTField>
    <C3FinancialYearNote xmlns="01be4277-2979-4a68-876d-b92b25fceece">
      <Terms xmlns="http://schemas.microsoft.com/office/infopath/2007/PartnerControls"/>
    </C3FinancialYearNote>
    <TaxCatchAll xmlns="a016ea71-90c5-4403-8478-e659645fdc4a">
      <Value>466</Value>
      <Value>1311</Value>
    </TaxCatchAll>
    <l312f369987644ec9be22e78265b9520 xmlns="a016ea71-90c5-4403-8478-e659645fdc4a">
      <Terms xmlns="http://schemas.microsoft.com/office/infopath/2007/PartnerControls">
        <TermInfo xmlns="http://schemas.microsoft.com/office/infopath/2007/PartnerControls">
          <TermName xmlns="http://schemas.microsoft.com/office/infopath/2007/PartnerControls">Electric Storage Water Heaters</TermName>
          <TermId xmlns="http://schemas.microsoft.com/office/infopath/2007/PartnerControls">40cbcb2a-cad7-48b7-b68b-874404f3ee82</TermId>
        </TermInfo>
      </Terms>
    </l312f369987644ec9be22e78265b9520>
    <_dlc_DocId xmlns="a016ea71-90c5-4403-8478-e659645fdc4a">PRODEL-1896823700-1844</_dlc_DocId>
    <_dlc_DocIdUrl xmlns="a016ea71-90c5-4403-8478-e659645fdc4a">
      <Url>https://eeca.cohesion.net.nz/Sites/PD/SaR/_layouts/15/DocIdRedir.aspx?ID=PRODEL-1896823700-1844</Url>
      <Description>PRODEL-1896823700-1844</Description>
    </_dlc_DocIdUrl>
    <Completed xmlns="http://schemas.microsoft.com/sharepoint/v3">false</Completed>
    <ProjectType xmlns="a016ea71-90c5-4403-8478-e659645fdc4a">Policy Development</ProjectType>
    <Completed1 xmlns="a016ea71-90c5-4403-8478-e659645fdc4a">false</Completed1>
    <f15d97cb0c9b4db69da5dae469ae0dbd xmlns="a016ea71-90c5-4403-8478-e659645fdc4a">
      <Terms xmlns="http://schemas.microsoft.com/office/infopath/2007/PartnerControls">
        <TermInfo xmlns="http://schemas.microsoft.com/office/infopath/2007/PartnerControls">
          <TermName xmlns="http://schemas.microsoft.com/office/infopath/2007/PartnerControls">E3</TermName>
          <TermId xmlns="http://schemas.microsoft.com/office/infopath/2007/PartnerControls">527a1670-5d36-44e1-a401-8345a1706f36</TermId>
        </TermInfo>
      </Terms>
    </f15d97cb0c9b4db69da5dae469ae0dbd>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AC52E-E6DF-44E4-A500-86AD75B41C03}"/>
</file>

<file path=customXml/itemProps2.xml><?xml version="1.0" encoding="utf-8"?>
<ds:datastoreItem xmlns:ds="http://schemas.openxmlformats.org/officeDocument/2006/customXml" ds:itemID="{CE42A690-4E4B-4D5D-8158-DAFC4149DFC3}"/>
</file>

<file path=customXml/itemProps3.xml><?xml version="1.0" encoding="utf-8"?>
<ds:datastoreItem xmlns:ds="http://schemas.openxmlformats.org/officeDocument/2006/customXml" ds:itemID="{476BAE7C-F9F2-4204-8237-E6770E520E39}"/>
</file>

<file path=customXml/itemProps4.xml><?xml version="1.0" encoding="utf-8"?>
<ds:datastoreItem xmlns:ds="http://schemas.openxmlformats.org/officeDocument/2006/customXml" ds:itemID="{3E639208-B9F4-4B16-B30C-BD88400B1F62}"/>
</file>

<file path=customXml/itemProps5.xml><?xml version="1.0" encoding="utf-8"?>
<ds:datastoreItem xmlns:ds="http://schemas.openxmlformats.org/officeDocument/2006/customXml" ds:itemID="{C774DF8C-592F-474C-8456-128DF2041780}"/>
</file>

<file path=docProps/app.xml><?xml version="1.0" encoding="utf-8"?>
<Properties xmlns="http://schemas.openxmlformats.org/officeDocument/2006/extended-properties" xmlns:vt="http://schemas.openxmlformats.org/officeDocument/2006/docPropsVTypes">
  <Template>E3 A Policy Framework for Hot Water Systems in Australia  New Zealand_DRAFT</Template>
  <TotalTime>110</TotalTime>
  <Pages>28</Pages>
  <Words>8259</Words>
  <Characters>47079</Characters>
  <Application>Microsoft Office Word</Application>
  <DocSecurity>0</DocSecurity>
  <Lines>392</Lines>
  <Paragraphs>110</Paragraphs>
  <ScaleCrop>false</ScaleCrop>
  <HeadingPairs>
    <vt:vector size="2" baseType="variant">
      <vt:variant>
        <vt:lpstr>Title</vt:lpstr>
      </vt:variant>
      <vt:variant>
        <vt:i4>1</vt:i4>
      </vt:variant>
    </vt:vector>
  </HeadingPairs>
  <TitlesOfParts>
    <vt:vector size="1" baseType="lpstr">
      <vt:lpstr>Policy Framework for Hot Water Systems in Australia &amp; New Zealand</vt:lpstr>
    </vt:vector>
  </TitlesOfParts>
  <Company/>
  <LinksUpToDate>false</LinksUpToDate>
  <CharactersWithSpaces>55228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Policy Framework for Hot Water Systems in Australia and New Zealand - 12 November 2018</dc:title>
  <dc:creator>Oshan Jayawardena</dc:creator>
  <cp:keywords/>
  <cp:lastModifiedBy>Emma Simons</cp:lastModifiedBy>
  <cp:revision>24</cp:revision>
  <cp:lastPrinted>2018-09-07T05:06:00Z</cp:lastPrinted>
  <dcterms:created xsi:type="dcterms:W3CDTF">2018-10-17T03:34:00Z</dcterms:created>
  <dcterms:modified xsi:type="dcterms:W3CDTF">2018-11-07T20:07:00Z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0x0101005496552013C0BA46BE88192D5C6EB20B00BC7B51C3C3DA487E91D1E0ED95F8C85C00F13BD78B6D8D86408BB9B5E4E6A48736</vt:lpwstr>
  </property>
  <property fmtid="{D5CDD505-2E9C-101B-9397-08002B2CF9AE}" pid="3" name="_dlc_DocIdItemGuid">
    <vt:lpwstr>abfee108-3ab6-4b38-9617-0f3e77ff0db4</vt:lpwstr>
  </property>
  <property fmtid="{D5CDD505-2E9C-101B-9397-08002B2CF9AE}" pid="4" name="TaxKeyword">
    <vt:lpwstr/>
  </property>
  <property fmtid="{D5CDD505-2E9C-101B-9397-08002B2CF9AE}" pid="5" name="ProductName">
    <vt:lpwstr>466;#Electric Storage Water Heaters|40cbcb2a-cad7-48b7-b68b-874404f3ee82</vt:lpwstr>
  </property>
  <property fmtid="{D5CDD505-2E9C-101B-9397-08002B2CF9AE}" pid="6" name="C3FinancialYear">
    <vt:lpwstr/>
  </property>
  <property fmtid="{D5CDD505-2E9C-101B-9397-08002B2CF9AE}" pid="7" name="C3Topic">
    <vt:lpwstr/>
  </property>
  <property fmtid="{D5CDD505-2E9C-101B-9397-08002B2CF9AE}" pid="8" name="EECA Programmes">
    <vt:lpwstr>1311;#E3|527a1670-5d36-44e1-a401-8345a1706f36</vt:lpwstr>
  </property>
</Properties>
</file>