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E30BB" w14:textId="77777777" w:rsidR="00A37634" w:rsidRPr="00A37634" w:rsidRDefault="00A37634" w:rsidP="00A37634">
      <w:pPr>
        <w:spacing w:before="2960" w:after="4000" w:line="240" w:lineRule="auto"/>
        <w:rPr>
          <w:rFonts w:ascii="Calibri" w:eastAsia="Calibri" w:hAnsi="Calibri" w:cs="Calibri"/>
          <w:b/>
          <w:color w:val="FFFFFF"/>
          <w:sz w:val="60"/>
          <w:szCs w:val="20"/>
          <w:lang w:val="en-AU"/>
        </w:rPr>
      </w:pPr>
      <w:bookmarkStart w:id="0" w:name="_Hlk12974946"/>
      <w:bookmarkEnd w:id="0"/>
      <w:r w:rsidRPr="00A37634">
        <w:rPr>
          <w:rFonts w:ascii="Calibri" w:eastAsia="Calibri" w:hAnsi="Calibri" w:cs="Calibri"/>
          <w:b/>
          <w:color w:val="FFFFFF"/>
          <w:sz w:val="60"/>
          <w:szCs w:val="20"/>
          <w:lang w:val="en-AU"/>
        </w:rPr>
        <w:t xml:space="preserve">Consultation Paper: </w:t>
      </w:r>
      <w:r w:rsidRPr="00A37634">
        <w:rPr>
          <w:rFonts w:ascii="Calibri" w:eastAsia="Calibri" w:hAnsi="Calibri" w:cs="Calibri"/>
          <w:b/>
          <w:color w:val="FFFFFF"/>
          <w:sz w:val="60"/>
          <w:szCs w:val="20"/>
          <w:lang w:val="en-AU"/>
        </w:rPr>
        <w:br/>
        <w:t xml:space="preserve">‘Smart’ Demand Response Capabilities for Selected Appliances        </w:t>
      </w:r>
      <w:r w:rsidRPr="00A37634">
        <w:rPr>
          <w:rFonts w:ascii="Calibri" w:eastAsia="Calibri" w:hAnsi="Calibri" w:cs="Calibri"/>
          <w:b/>
          <w:color w:val="FFFFFF"/>
          <w:sz w:val="40"/>
          <w:szCs w:val="40"/>
          <w:lang w:val="en-AU"/>
        </w:rPr>
        <w:t>August 2019</w:t>
      </w:r>
    </w:p>
    <w:p w14:paraId="55C04F06" w14:textId="77777777" w:rsidR="00A37634" w:rsidRPr="00A37634" w:rsidRDefault="00A37634" w:rsidP="00A37634">
      <w:pPr>
        <w:spacing w:before="2960" w:after="4000" w:line="240" w:lineRule="auto"/>
        <w:rPr>
          <w:rFonts w:ascii="Calibri" w:eastAsia="Calibri" w:hAnsi="Calibri" w:cs="Calibri"/>
          <w:b/>
          <w:color w:val="FFFFFF"/>
          <w:sz w:val="60"/>
          <w:szCs w:val="20"/>
          <w:lang w:val="en-AU"/>
        </w:rPr>
      </w:pPr>
    </w:p>
    <w:p w14:paraId="4DA471E5" w14:textId="77777777" w:rsidR="00A37634" w:rsidRPr="00A37634" w:rsidRDefault="00A37634" w:rsidP="00A37634">
      <w:pPr>
        <w:spacing w:after="120" w:line="276" w:lineRule="auto"/>
        <w:rPr>
          <w:rFonts w:ascii="Calibri" w:eastAsia="Calibri" w:hAnsi="Calibri" w:cs="Calibri"/>
          <w:sz w:val="16"/>
          <w:szCs w:val="20"/>
          <w:lang w:val="en-AU"/>
        </w:rPr>
      </w:pPr>
      <w:r w:rsidRPr="00A37634">
        <w:rPr>
          <w:rFonts w:ascii="Calibri" w:eastAsia="Calibri" w:hAnsi="Calibri" w:cs="Calibri"/>
          <w:sz w:val="16"/>
          <w:szCs w:val="20"/>
          <w:lang w:val="en-AU"/>
        </w:rPr>
        <w:lastRenderedPageBreak/>
        <w:t>This work is licensed under the Creative Commons Attribution 3.0 Australia Licence. To view a copy of this license, visit the creative commons website.</w:t>
      </w:r>
    </w:p>
    <w:p w14:paraId="38B23A6E" w14:textId="77777777" w:rsidR="00A37634" w:rsidRPr="00A37634" w:rsidRDefault="00A37634" w:rsidP="00A37634">
      <w:pPr>
        <w:spacing w:after="120" w:line="276" w:lineRule="auto"/>
        <w:rPr>
          <w:rFonts w:ascii="Calibri" w:eastAsia="Calibri" w:hAnsi="Calibri" w:cs="Calibri"/>
          <w:sz w:val="16"/>
          <w:szCs w:val="20"/>
          <w:lang w:val="en-AU"/>
        </w:rPr>
      </w:pPr>
      <w:r w:rsidRPr="00A37634">
        <w:rPr>
          <w:rFonts w:ascii="Calibri" w:eastAsia="Calibri" w:hAnsi="Calibri" w:cs="Calibri"/>
          <w:sz w:val="16"/>
          <w:szCs w:val="20"/>
          <w:lang w:val="en-AU"/>
        </w:rPr>
        <w:t>The Department of the Environment and Energy on behalf of the Equipment Energy Efficiency Program asserts the right to be recognised as author of the original material in the following manner:</w:t>
      </w:r>
    </w:p>
    <w:p w14:paraId="28785871" w14:textId="77777777" w:rsidR="00A37634" w:rsidRPr="00A37634" w:rsidRDefault="00A37634" w:rsidP="00A37634">
      <w:pPr>
        <w:spacing w:after="120" w:line="276" w:lineRule="auto"/>
        <w:rPr>
          <w:rFonts w:ascii="Calibri" w:eastAsia="Calibri" w:hAnsi="Calibri" w:cs="Calibri"/>
          <w:sz w:val="16"/>
          <w:szCs w:val="20"/>
          <w:lang w:val="en-AU"/>
        </w:rPr>
      </w:pPr>
      <w:r w:rsidRPr="00A37634">
        <w:rPr>
          <w:rFonts w:ascii="Calibri" w:eastAsia="Calibri" w:hAnsi="Calibri" w:cs="Calibri"/>
          <w:noProof/>
          <w:sz w:val="16"/>
          <w:szCs w:val="20"/>
          <w:lang w:val="en-AU" w:eastAsia="en-AU"/>
        </w:rPr>
        <w:drawing>
          <wp:inline distT="0" distB="0" distL="0" distR="0" wp14:anchorId="235ABB17" wp14:editId="53D29713">
            <wp:extent cx="1227455" cy="431800"/>
            <wp:effectExtent l="0" t="0" r="0" b="6350"/>
            <wp:docPr id="17" name="Picture 17" descr="D:\DP Plus\Docs\Giraffe\Environment\NatHERS, E3\sourcedocs\by.png"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P Plus\Docs\Giraffe\Environment\NatHERS, E3\sourcedocs\by.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227455" cy="431800"/>
                    </a:xfrm>
                    <a:prstGeom prst="rect">
                      <a:avLst/>
                    </a:prstGeom>
                    <a:noFill/>
                    <a:ln>
                      <a:noFill/>
                    </a:ln>
                  </pic:spPr>
                </pic:pic>
              </a:graphicData>
            </a:graphic>
          </wp:inline>
        </w:drawing>
      </w:r>
    </w:p>
    <w:p w14:paraId="2BE5AFA8" w14:textId="77777777" w:rsidR="00A37634" w:rsidRPr="00A37634" w:rsidRDefault="00A37634" w:rsidP="00A37634">
      <w:pPr>
        <w:spacing w:after="120" w:line="276" w:lineRule="auto"/>
        <w:rPr>
          <w:rFonts w:ascii="Calibri" w:eastAsia="Calibri" w:hAnsi="Calibri" w:cs="Calibri"/>
          <w:sz w:val="16"/>
          <w:szCs w:val="20"/>
          <w:lang w:val="en-AU"/>
        </w:rPr>
      </w:pPr>
      <w:r w:rsidRPr="00A37634">
        <w:rPr>
          <w:rFonts w:ascii="Calibri" w:eastAsia="Calibri" w:hAnsi="Calibri" w:cs="Calibri"/>
          <w:sz w:val="16"/>
          <w:szCs w:val="20"/>
          <w:lang w:val="en-AU"/>
        </w:rPr>
        <w:t>© Commonwealth of Australia (Department of Environment and Energy Australia) 2019.</w:t>
      </w:r>
    </w:p>
    <w:p w14:paraId="25909A3F" w14:textId="77777777" w:rsidR="00A37634" w:rsidRPr="00A37634" w:rsidRDefault="00A37634" w:rsidP="00A37634">
      <w:pPr>
        <w:spacing w:after="120" w:line="276" w:lineRule="auto"/>
        <w:rPr>
          <w:rFonts w:ascii="Calibri" w:eastAsia="Calibri" w:hAnsi="Calibri" w:cs="Calibri"/>
          <w:sz w:val="16"/>
          <w:szCs w:val="20"/>
          <w:lang w:val="en-AU"/>
        </w:rPr>
      </w:pPr>
      <w:r w:rsidRPr="00A37634">
        <w:rPr>
          <w:rFonts w:ascii="Calibri" w:eastAsia="Calibri" w:hAnsi="Calibri" w:cs="Calibri"/>
          <w:sz w:val="16"/>
          <w:szCs w:val="20"/>
          <w:lang w:val="en-AU"/>
        </w:rPr>
        <w:t>The material in this publication is provided for general information only, and on the understanding that the Australian Government is providing professional advice. Before any action or decision is taken on the basis of this material the reader should obtain appropriate independent professional advice.</w:t>
      </w:r>
    </w:p>
    <w:p w14:paraId="377A310A" w14:textId="77777777" w:rsidR="00A37634" w:rsidRPr="00A37634" w:rsidRDefault="00A37634" w:rsidP="00A37634">
      <w:pPr>
        <w:spacing w:after="120" w:line="276" w:lineRule="auto"/>
        <w:rPr>
          <w:rFonts w:ascii="Calibri" w:eastAsia="Calibri" w:hAnsi="Calibri" w:cs="Calibri"/>
          <w:sz w:val="16"/>
          <w:szCs w:val="20"/>
          <w:lang w:val="en-AU"/>
        </w:rPr>
      </w:pPr>
      <w:r w:rsidRPr="00A37634">
        <w:rPr>
          <w:rFonts w:ascii="Calibri" w:eastAsia="Calibri" w:hAnsi="Calibri" w:cs="Calibri"/>
          <w:sz w:val="16"/>
          <w:szCs w:val="20"/>
          <w:lang w:val="en-AU"/>
        </w:rPr>
        <w:t>This document is available at the Energy Rating website.</w:t>
      </w:r>
    </w:p>
    <w:p w14:paraId="65B8116A" w14:textId="77777777" w:rsidR="00A37634" w:rsidRPr="00A37634" w:rsidRDefault="00A37634" w:rsidP="00A37634">
      <w:pPr>
        <w:spacing w:after="120" w:line="276" w:lineRule="auto"/>
        <w:rPr>
          <w:rFonts w:ascii="Calibri" w:eastAsia="Calibri" w:hAnsi="Calibri" w:cs="Calibri"/>
          <w:sz w:val="16"/>
          <w:szCs w:val="20"/>
          <w:lang w:val="en-AU"/>
        </w:rPr>
      </w:pPr>
      <w:r w:rsidRPr="00A37634">
        <w:rPr>
          <w:rFonts w:ascii="Calibri" w:eastAsia="Calibri" w:hAnsi="Calibri" w:cs="Calibri"/>
          <w:sz w:val="16"/>
          <w:szCs w:val="20"/>
          <w:lang w:val="en-AU"/>
        </w:rPr>
        <w:t>While reasonable efforts have been made to ensure that the contents of this publication are factually correct, E3 does not accept responsibility for the accuracy or completeness of the content, and shall not be liable for any loss or damage that may be occasioned directly or indirectly through the use of, or reliance on, the contents of this publication.</w:t>
      </w:r>
    </w:p>
    <w:p w14:paraId="618105F8" w14:textId="77777777" w:rsidR="00A37634" w:rsidRPr="00A37634" w:rsidRDefault="00A37634" w:rsidP="00A37634">
      <w:pPr>
        <w:spacing w:after="120" w:line="276" w:lineRule="auto"/>
        <w:rPr>
          <w:rFonts w:ascii="Calibri" w:eastAsia="Calibri" w:hAnsi="Calibri" w:cs="Calibri"/>
          <w:sz w:val="16"/>
          <w:szCs w:val="20"/>
          <w:lang w:val="en-AU"/>
        </w:rPr>
      </w:pPr>
    </w:p>
    <w:p w14:paraId="2DCEDB9A" w14:textId="77777777" w:rsidR="00A37634" w:rsidRPr="00A37634" w:rsidRDefault="00A37634" w:rsidP="00A37634">
      <w:pPr>
        <w:spacing w:after="120" w:line="276" w:lineRule="auto"/>
        <w:rPr>
          <w:rFonts w:ascii="Calibri" w:eastAsia="Calibri" w:hAnsi="Calibri" w:cs="Calibri"/>
          <w:sz w:val="16"/>
          <w:szCs w:val="20"/>
          <w:lang w:val="en-AU"/>
        </w:rPr>
        <w:sectPr w:rsidR="00A37634" w:rsidRPr="00A37634" w:rsidSect="007C7289">
          <w:footerReference w:type="default" r:id="rId12"/>
          <w:headerReference w:type="first" r:id="rId13"/>
          <w:footerReference w:type="first" r:id="rId14"/>
          <w:pgSz w:w="11906" w:h="16838" w:code="9"/>
          <w:pgMar w:top="1728" w:right="1138" w:bottom="1699" w:left="1138" w:header="576" w:footer="720" w:gutter="0"/>
          <w:pgNumType w:fmt="lowerRoman"/>
          <w:cols w:space="708"/>
          <w:titlePg/>
          <w:docGrid w:linePitch="360"/>
        </w:sectPr>
      </w:pPr>
    </w:p>
    <w:p w14:paraId="73CB7AFC" w14:textId="77777777" w:rsidR="00A37634" w:rsidRPr="00A37634" w:rsidRDefault="00A37634" w:rsidP="00A37634">
      <w:pPr>
        <w:pBdr>
          <w:bottom w:val="single" w:sz="12" w:space="1" w:color="ED1B24"/>
        </w:pBdr>
        <w:spacing w:before="200" w:after="600" w:line="240" w:lineRule="auto"/>
        <w:outlineLvl w:val="0"/>
        <w:rPr>
          <w:rFonts w:ascii="Calibri" w:eastAsia="Times New Roman" w:hAnsi="Calibri" w:cs="Calibri"/>
          <w:b/>
          <w:bCs/>
          <w:color w:val="ED1B24"/>
          <w:sz w:val="50"/>
          <w:szCs w:val="28"/>
          <w:lang w:val="en-AU"/>
        </w:rPr>
      </w:pPr>
      <w:bookmarkStart w:id="1" w:name="_Toc16500966"/>
      <w:r w:rsidRPr="00A37634">
        <w:rPr>
          <w:rFonts w:ascii="Calibri" w:eastAsia="Times New Roman" w:hAnsi="Calibri" w:cs="Calibri"/>
          <w:b/>
          <w:bCs/>
          <w:color w:val="ED1B24"/>
          <w:sz w:val="50"/>
          <w:szCs w:val="28"/>
          <w:lang w:val="en-AU"/>
        </w:rPr>
        <w:lastRenderedPageBreak/>
        <w:t>Foreword</w:t>
      </w:r>
      <w:bookmarkEnd w:id="1"/>
    </w:p>
    <w:p w14:paraId="6039FFCB" w14:textId="77777777" w:rsidR="00A37634" w:rsidRPr="00A37634" w:rsidRDefault="00A37634" w:rsidP="00A37634">
      <w:pPr>
        <w:spacing w:before="240" w:after="120" w:line="276" w:lineRule="auto"/>
        <w:rPr>
          <w:rFonts w:ascii="Calibri" w:eastAsia="Calibri" w:hAnsi="Calibri" w:cs="Calibri"/>
          <w:szCs w:val="20"/>
          <w:lang w:val="en-AU"/>
        </w:rPr>
      </w:pPr>
      <w:bookmarkStart w:id="2" w:name="_Toc509835484"/>
      <w:r w:rsidRPr="00A37634">
        <w:rPr>
          <w:rFonts w:ascii="Calibri" w:eastAsia="Calibri" w:hAnsi="Calibri" w:cs="Calibri"/>
          <w:szCs w:val="20"/>
          <w:lang w:val="en-AU"/>
        </w:rPr>
        <w:t>The integration of electricity supply, demand and distributed energy resources (DER) are major concerns for electricity market regulators, policy makers and network managers. Peak demand events, often prompted by extreme weather, result in major spikes in electricity usage. These events have a disproportionate impact on network costs as they often require expensive investment to increase network capacity and to maintain the reliability of the electricity supply.</w:t>
      </w:r>
    </w:p>
    <w:p w14:paraId="2C16FE77"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rapid adoption of roof-top solar photovoltaic (PV) generation, now present in about 20% of Australian homes, has introduced new challenges. Many localities already experience periods when PV output exceeds the available load during the middle of the day. If the excess energy cannot be used or stored, it creates voltage and power quality issues which add to network costs and can result in PV inverters disconnecting from the grid. The Australian Energy Market Operator (AEMO) projects that South Australia (SA) and Western Australia (WA) will experience regular state-wide minimum load events as early as 2026. </w:t>
      </w:r>
    </w:p>
    <w:p w14:paraId="092CEE68"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Demand response (DR) – the rapid modification of appliance operation in response to changes in the condition of the grid – has been recognised as a key strategy for increasing the reliability, affordability and sustainability of electricity supply by AEMO</w:t>
      </w:r>
      <w:r w:rsidRPr="00A37634">
        <w:rPr>
          <w:rFonts w:ascii="Calibri" w:eastAsia="Calibri" w:hAnsi="Calibri" w:cs="Calibri"/>
          <w:szCs w:val="20"/>
          <w:vertAlign w:val="superscript"/>
          <w:lang w:val="en-AU"/>
        </w:rPr>
        <w:footnoteReference w:id="1"/>
      </w:r>
      <w:r w:rsidRPr="00A37634">
        <w:rPr>
          <w:rFonts w:ascii="Calibri" w:eastAsia="Calibri" w:hAnsi="Calibri" w:cs="Calibri"/>
          <w:szCs w:val="20"/>
          <w:lang w:val="en-AU"/>
        </w:rPr>
        <w:t>, the Energy Networks Association (ENA), the CSIRO</w:t>
      </w:r>
      <w:r w:rsidRPr="00A37634">
        <w:rPr>
          <w:rFonts w:ascii="Calibri" w:eastAsia="Calibri" w:hAnsi="Calibri" w:cs="Calibri"/>
          <w:szCs w:val="20"/>
          <w:vertAlign w:val="superscript"/>
          <w:lang w:val="en-AU"/>
        </w:rPr>
        <w:footnoteReference w:id="2"/>
      </w:r>
      <w:r w:rsidRPr="00A37634">
        <w:rPr>
          <w:rFonts w:ascii="Calibri" w:eastAsia="Calibri" w:hAnsi="Calibri" w:cs="Calibri"/>
          <w:szCs w:val="20"/>
          <w:lang w:val="en-AU"/>
        </w:rPr>
        <w:t>, the Australian Energy Market Commission (AEMC)</w:t>
      </w:r>
      <w:r w:rsidRPr="00A37634">
        <w:rPr>
          <w:rFonts w:ascii="Calibri" w:eastAsia="Calibri" w:hAnsi="Calibri" w:cs="Calibri"/>
          <w:szCs w:val="20"/>
          <w:vertAlign w:val="superscript"/>
          <w:lang w:val="en-AU"/>
        </w:rPr>
        <w:footnoteReference w:id="3"/>
      </w:r>
      <w:r w:rsidRPr="00A37634">
        <w:rPr>
          <w:rFonts w:ascii="Calibri" w:eastAsia="Calibri" w:hAnsi="Calibri" w:cs="Calibri"/>
          <w:szCs w:val="20"/>
          <w:lang w:val="en-AU"/>
        </w:rPr>
        <w:t>, the Australian Competition and Consumer Commission (ACCC)</w:t>
      </w:r>
      <w:r w:rsidRPr="00A37634">
        <w:rPr>
          <w:rFonts w:ascii="Calibri" w:eastAsia="Calibri" w:hAnsi="Calibri" w:cs="Calibri"/>
          <w:szCs w:val="20"/>
          <w:vertAlign w:val="superscript"/>
          <w:lang w:val="en-AU"/>
        </w:rPr>
        <w:footnoteReference w:id="4"/>
      </w:r>
      <w:r w:rsidRPr="00A37634">
        <w:rPr>
          <w:rFonts w:ascii="Calibri" w:eastAsia="Calibri" w:hAnsi="Calibri" w:cs="Calibri"/>
          <w:szCs w:val="20"/>
          <w:lang w:val="en-AU"/>
        </w:rPr>
        <w:t xml:space="preserve">, and the Independent Review (the </w:t>
      </w:r>
      <w:proofErr w:type="spellStart"/>
      <w:r w:rsidRPr="00A37634">
        <w:rPr>
          <w:rFonts w:ascii="Calibri" w:eastAsia="Calibri" w:hAnsi="Calibri" w:cs="Calibri"/>
          <w:szCs w:val="20"/>
          <w:lang w:val="en-AU"/>
        </w:rPr>
        <w:t>Finkel</w:t>
      </w:r>
      <w:proofErr w:type="spellEnd"/>
      <w:r w:rsidRPr="00A37634">
        <w:rPr>
          <w:rFonts w:ascii="Calibri" w:eastAsia="Calibri" w:hAnsi="Calibri" w:cs="Calibri"/>
          <w:szCs w:val="20"/>
          <w:lang w:val="en-AU"/>
        </w:rPr>
        <w:t xml:space="preserve"> Review).</w:t>
      </w:r>
      <w:r w:rsidRPr="00A37634">
        <w:rPr>
          <w:rFonts w:ascii="Calibri" w:eastAsia="Calibri" w:hAnsi="Calibri" w:cs="Calibri"/>
          <w:szCs w:val="20"/>
          <w:vertAlign w:val="superscript"/>
          <w:lang w:val="en-AU"/>
        </w:rPr>
        <w:footnoteReference w:id="5"/>
      </w:r>
      <w:r w:rsidRPr="00A37634">
        <w:rPr>
          <w:rFonts w:ascii="Calibri" w:eastAsia="Calibri" w:hAnsi="Calibri" w:cs="Calibri"/>
          <w:szCs w:val="20"/>
          <w:lang w:val="en-AU"/>
        </w:rPr>
        <w:t xml:space="preserve"> </w:t>
      </w:r>
    </w:p>
    <w:p w14:paraId="1BC2B0B9"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While DR has been successful with large electricity consumers, it has been difficult to engage the many millions of residential and small business consumers who, collectively, contribute most to both peak load and minimum load events. The reasons include the structure of electricity prices, and regulatory and technical issues. </w:t>
      </w:r>
    </w:p>
    <w:p w14:paraId="170271BE"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minority of consumers who face time-of-use (TOU) or critical peak pricing can already undertake ‘price-driven demand response’ by switching off appliances during high-price periods and shifting some of their electricity consumption to lower-price periods (sometimes with the use of smartphone applications (‘apps’)). Many PV owners also engage in price-driven DR by maximising consumption during times of maximum PV output, rather than exporting excess energy to the grid at low buy-back prices. </w:t>
      </w:r>
    </w:p>
    <w:p w14:paraId="53D232E8"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However, other approaches are needed to engage the great majority of consumers who do not face TOU tariffs, and who are not in position to – or simply too busy – to actively manage their energy loads. If consumers are willing to permit a DR </w:t>
      </w:r>
      <w:proofErr w:type="gramStart"/>
      <w:r w:rsidRPr="00A37634">
        <w:rPr>
          <w:rFonts w:ascii="Calibri" w:eastAsia="Calibri" w:hAnsi="Calibri" w:cs="Calibri"/>
          <w:szCs w:val="20"/>
          <w:lang w:val="en-AU"/>
        </w:rPr>
        <w:t>service</w:t>
      </w:r>
      <w:proofErr w:type="gramEnd"/>
      <w:r w:rsidRPr="00A37634">
        <w:rPr>
          <w:rFonts w:ascii="Calibri" w:eastAsia="Calibri" w:hAnsi="Calibri" w:cs="Calibri"/>
          <w:szCs w:val="20"/>
          <w:lang w:val="en-AU"/>
        </w:rPr>
        <w:t xml:space="preserve"> provider (DRSP) to manage some of their appliances, under agreed conditions and in return for agreed financial incentives, their aggregated DR capability can be exercised on their behalf in the electricity market. Aggregation increases both the scale and the reliability of the load reductions and load increases that can be bid into the market, to the point where network </w:t>
      </w:r>
      <w:r w:rsidRPr="00A37634">
        <w:rPr>
          <w:rFonts w:ascii="Calibri" w:eastAsia="Calibri" w:hAnsi="Calibri" w:cs="Calibri"/>
          <w:szCs w:val="20"/>
          <w:lang w:val="en-AU"/>
        </w:rPr>
        <w:lastRenderedPageBreak/>
        <w:t xml:space="preserve">service providers and system managers can confidently factor DR into their infrastructure planning and load scheduling. </w:t>
      </w:r>
    </w:p>
    <w:p w14:paraId="41F7C08D"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There are both regulatory and technical barriers to the development of a small consumer DR services market in Australia. The AEMC published in July 2019 a draft determination for a National Electricity Market (NEM) rule change that “implements a wholesale demand response mechanism, which allows third parties to participate directly in the wholesale market as a substitute for generation, and be paid for providing demand response.”</w:t>
      </w:r>
      <w:r w:rsidRPr="00A37634">
        <w:rPr>
          <w:rFonts w:ascii="Calibri" w:eastAsia="Calibri" w:hAnsi="Calibri" w:cs="Calibri"/>
          <w:szCs w:val="20"/>
          <w:vertAlign w:val="superscript"/>
          <w:lang w:val="en-AU"/>
        </w:rPr>
        <w:footnoteReference w:id="6"/>
      </w:r>
      <w:r w:rsidRPr="00A37634">
        <w:rPr>
          <w:rFonts w:ascii="Calibri" w:eastAsia="Calibri" w:hAnsi="Calibri" w:cs="Calibri"/>
          <w:szCs w:val="20"/>
          <w:lang w:val="en-AU"/>
        </w:rPr>
        <w:t xml:space="preserve"> The AEMC draft determination covers demand response by industrial and commercial sector consumers only, and the Commission has decided to defer a decision on extending the rule to cover small consumers pending a review of consumer protections.  </w:t>
      </w:r>
    </w:p>
    <w:p w14:paraId="58A2CBFF"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Removal of regulatory barriers would not on its own overcome the technical barriers. The development of a DR services market in which small consumers can participate requires DRSPs to be able to engage large numbers of consumers and to aggregate appliances of many different types from different manufacturers. Otherwise, costs will remain prohibitively high. At present, neither appliance manufacturers nor DRSPs are willing to risk investing in any particular demand response technology because of the fragmentation of the market. </w:t>
      </w:r>
    </w:p>
    <w:p w14:paraId="7878C941"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Market fragmentation can be addressed by adopting a common, open (as distinct from proprietary) standard for DR capability. </w:t>
      </w:r>
    </w:p>
    <w:p w14:paraId="4CCDB7BA" w14:textId="7EE05F86"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It is therefore proposed that all air conditioners, electric storage water heaters, pool pump controllers and electric vehicle chargers that are supplied or offered for supply would have to comply with the full range of demand response modes (DRMs) in either the relevant part of AS/NZS 4755 Part 3 or AS 4755.2 (see </w:t>
      </w:r>
      <w:r w:rsidRPr="00A37634">
        <w:rPr>
          <w:rFonts w:ascii="Calibri" w:eastAsia="Calibri" w:hAnsi="Calibri" w:cs="Calibri"/>
          <w:szCs w:val="20"/>
          <w:lang w:val="en-AU"/>
        </w:rPr>
        <w:fldChar w:fldCharType="begin"/>
      </w:r>
      <w:r w:rsidRPr="00A37634">
        <w:rPr>
          <w:rFonts w:ascii="Calibri" w:eastAsia="Calibri" w:hAnsi="Calibri" w:cs="Calibri"/>
          <w:szCs w:val="20"/>
          <w:lang w:val="en-AU"/>
        </w:rPr>
        <w:instrText xml:space="preserve"> REF _Ref317353103 \h  \* MERGEFORMAT </w:instrText>
      </w:r>
      <w:r w:rsidRPr="00A37634">
        <w:rPr>
          <w:rFonts w:ascii="Calibri" w:eastAsia="Calibri" w:hAnsi="Calibri" w:cs="Calibri"/>
          <w:szCs w:val="20"/>
          <w:lang w:val="en-AU"/>
        </w:rPr>
      </w:r>
      <w:r w:rsidRPr="00A37634">
        <w:rPr>
          <w:rFonts w:ascii="Calibri" w:eastAsia="Calibri" w:hAnsi="Calibri" w:cs="Calibri"/>
          <w:szCs w:val="20"/>
          <w:lang w:val="en-AU"/>
        </w:rPr>
        <w:fldChar w:fldCharType="separate"/>
      </w:r>
      <w:r w:rsidR="00181136" w:rsidRPr="00181136">
        <w:rPr>
          <w:rFonts w:ascii="Calibri" w:eastAsia="Calibri" w:hAnsi="Calibri" w:cs="Calibri"/>
          <w:szCs w:val="20"/>
          <w:lang w:val="en-AU"/>
        </w:rPr>
        <w:t xml:space="preserve">Table </w:t>
      </w:r>
      <w:r w:rsidR="00181136" w:rsidRPr="00181136">
        <w:rPr>
          <w:rFonts w:ascii="Calibri" w:eastAsia="Calibri" w:hAnsi="Calibri" w:cs="Calibri"/>
          <w:noProof/>
          <w:szCs w:val="20"/>
          <w:lang w:val="en-AU"/>
        </w:rPr>
        <w:t>2</w:t>
      </w:r>
      <w:r w:rsidRPr="00A37634">
        <w:rPr>
          <w:rFonts w:ascii="Calibri" w:eastAsia="Calibri" w:hAnsi="Calibri" w:cs="Calibri"/>
          <w:szCs w:val="20"/>
          <w:lang w:val="en-AU"/>
        </w:rPr>
        <w:fldChar w:fldCharType="end"/>
      </w:r>
      <w:r w:rsidRPr="00A37634">
        <w:rPr>
          <w:rFonts w:ascii="Calibri" w:eastAsia="Calibri" w:hAnsi="Calibri" w:cs="Calibri"/>
          <w:szCs w:val="20"/>
          <w:lang w:val="en-AU"/>
        </w:rPr>
        <w:t>). For air conditioners and electric storage water heaters, the measure would be implemented by Determinations under the GEMS Act 2012 to be made by 1 July 2021. For pool pump controllers and electric vehicle chargers, the timeframe for a GEMS Determination to be made is longer, by 1 July 2022 – due to the need to amend the GEMS Act before a Determination could be made. Some jurisdictions with imminent network issues requiring more controllable devices in the system may consider an earlier implementation using local regulation.</w:t>
      </w:r>
    </w:p>
    <w:p w14:paraId="0B0E30D1"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It should be noted that it would be up to consumers to decide whether they wish to contract with a DRSP to activate the DR capability in their appliances, in return for monetary, tariff or other benefits offered by the service provider. </w:t>
      </w:r>
    </w:p>
    <w:p w14:paraId="3A737806"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Under a range of projected activation rates, the proposal is estimated to yield accrued net benefits of between $2,260 million and $4,270 million net present value (NPV) with the most likely value around $2,970 million, at a benefit/cost ratio of 4.1. This is equivalent to a net benefit of over $300 NPV for each Australian household.</w:t>
      </w:r>
    </w:p>
    <w:p w14:paraId="7AD05D8F"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For New Zealand, the proposal is estimated to yield accrued net benefits in the range $NZ 130 million to $330 million NPV with the most likely value around $210 million, at a benefit/cost ratio of 2.5. This is equivalent to a net benefit of about $115 NPV for each New Zealand household.</w:t>
      </w:r>
    </w:p>
    <w:p w14:paraId="26A23FEC"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lastRenderedPageBreak/>
        <w:t>A Consultation RIS on a similar proposal was published in 2013.</w:t>
      </w:r>
      <w:r w:rsidRPr="00A37634">
        <w:rPr>
          <w:rFonts w:ascii="Calibri" w:eastAsia="Calibri" w:hAnsi="Calibri" w:cs="Calibri"/>
          <w:szCs w:val="20"/>
          <w:vertAlign w:val="superscript"/>
          <w:lang w:val="en-AU"/>
        </w:rPr>
        <w:footnoteReference w:id="7"/>
      </w:r>
      <w:r w:rsidRPr="00A37634">
        <w:rPr>
          <w:rFonts w:ascii="Calibri" w:eastAsia="Calibri" w:hAnsi="Calibri" w:cs="Calibri"/>
          <w:szCs w:val="20"/>
          <w:lang w:val="en-AU"/>
        </w:rPr>
        <w:t xml:space="preserve"> The proposal received a generally positive response during public consultations, but no Decision RIS was submitted to Ministers at the time. At its December 2018 meeting, the COAG Energy Council agreed “to draft a regulatory impact statement for certain electrical appliances to be demand response enabled.” </w:t>
      </w:r>
    </w:p>
    <w:p w14:paraId="397AF5B6"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While it is proposed to cover the same range of products as before, key aspects have been updated to reflect changes in the electricity market and in the standards: </w:t>
      </w:r>
    </w:p>
    <w:p w14:paraId="3D310AB4" w14:textId="77777777" w:rsidR="00A37634" w:rsidRPr="00A37634" w:rsidRDefault="00A37634" w:rsidP="00A37634">
      <w:pPr>
        <w:numPr>
          <w:ilvl w:val="0"/>
          <w:numId w:val="11"/>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Compliance would be possible with either (DR) AS 4755.2</w:t>
      </w:r>
      <w:r w:rsidRPr="00A37634">
        <w:rPr>
          <w:rFonts w:ascii="Calibri" w:eastAsia="Calibri" w:hAnsi="Calibri" w:cs="Calibri"/>
          <w:szCs w:val="20"/>
          <w:vertAlign w:val="superscript"/>
          <w:lang w:val="en-AU"/>
        </w:rPr>
        <w:footnoteReference w:id="8"/>
      </w:r>
      <w:r w:rsidRPr="00A37634">
        <w:rPr>
          <w:rFonts w:ascii="Calibri" w:eastAsia="Calibri" w:hAnsi="Calibri" w:cs="Calibri"/>
          <w:szCs w:val="20"/>
          <w:lang w:val="en-AU"/>
        </w:rPr>
        <w:t xml:space="preserve"> or with the part AS/NZS 4755.3 applying to that product type; and</w:t>
      </w:r>
    </w:p>
    <w:p w14:paraId="1D746F17" w14:textId="77777777" w:rsidR="00A37634" w:rsidRPr="00A37634" w:rsidRDefault="00A37634" w:rsidP="00A37634">
      <w:pPr>
        <w:numPr>
          <w:ilvl w:val="0"/>
          <w:numId w:val="11"/>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All DRMs in the AS/NZS 4755 framework would be mandatory. </w:t>
      </w:r>
    </w:p>
    <w:p w14:paraId="16D674B7"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This Consultation Paper details the proposals and raises a number of specific questions to which stakeholders are invited to respond. Responses will inform the final Decision RIS that will be submitted to Energy Ministers.</w:t>
      </w:r>
    </w:p>
    <w:p w14:paraId="3C483C2A"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proposal covers both Australia and New Zealand (with the exception of pool pump controllers, which are considered for Australia only).</w:t>
      </w:r>
    </w:p>
    <w:p w14:paraId="3A38ED20" w14:textId="77777777" w:rsidR="00A37634" w:rsidRPr="00A37634" w:rsidRDefault="00A37634" w:rsidP="00A37634">
      <w:pPr>
        <w:spacing w:before="120" w:after="120" w:line="276" w:lineRule="auto"/>
        <w:rPr>
          <w:rFonts w:ascii="Calibri" w:eastAsia="Calibri" w:hAnsi="Calibri" w:cs="Calibri"/>
          <w:szCs w:val="20"/>
          <w:lang w:val="en-AU"/>
        </w:rPr>
      </w:pPr>
      <w:bookmarkStart w:id="6" w:name="_Hlk16163917"/>
      <w:r w:rsidRPr="00A37634">
        <w:rPr>
          <w:rFonts w:ascii="Calibri" w:eastAsia="Calibri" w:hAnsi="Calibri" w:cs="Calibri"/>
          <w:szCs w:val="20"/>
          <w:lang w:val="en-AU"/>
        </w:rPr>
        <w:t xml:space="preserve">Since the proposal was last considered in 2013, two additional product categories have become significant for peak demand and for the management of an increasingly renewables-intensive network: home storage batteries and PV inverters. As Energy Ministers have agreed that the proposal should focus on the same range of products as previously considered, these additional products are not within the scope of the proposal at present. However, stakeholders are invited to comment on the scope (in terms of both product coverage and technical requirements) and whether it should be narrowed or widened.  </w:t>
      </w:r>
    </w:p>
    <w:p w14:paraId="34EDC49C" w14:textId="77777777" w:rsidR="00A37634" w:rsidRPr="00A37634" w:rsidRDefault="00A37634" w:rsidP="00A37634">
      <w:pPr>
        <w:keepNext/>
        <w:keepLines/>
        <w:spacing w:before="120" w:after="120" w:line="240" w:lineRule="auto"/>
        <w:outlineLvl w:val="0"/>
        <w:rPr>
          <w:rFonts w:ascii="Calibri" w:eastAsia="Times New Roman" w:hAnsi="Calibri" w:cs="Calibri"/>
          <w:b/>
          <w:bCs/>
          <w:color w:val="ED1B24"/>
          <w:sz w:val="28"/>
          <w:szCs w:val="28"/>
          <w:lang w:val="en-AU"/>
        </w:rPr>
      </w:pPr>
      <w:bookmarkStart w:id="7" w:name="_Toc16500967"/>
      <w:bookmarkEnd w:id="2"/>
      <w:bookmarkEnd w:id="6"/>
      <w:r w:rsidRPr="00A37634">
        <w:rPr>
          <w:rFonts w:ascii="Calibri" w:eastAsia="Times New Roman" w:hAnsi="Calibri" w:cs="Calibri"/>
          <w:b/>
          <w:bCs/>
          <w:color w:val="ED1B24"/>
          <w:sz w:val="28"/>
          <w:szCs w:val="28"/>
          <w:lang w:val="en-AU"/>
        </w:rPr>
        <w:t>Have Your Say</w:t>
      </w:r>
      <w:bookmarkEnd w:id="7"/>
    </w:p>
    <w:p w14:paraId="209C624D" w14:textId="03076DAA"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We welcome your feedback on the proposal to mandate ‘smart’ demand response capabilities for selected appliances. A number of specific questions are included in this Consultation Paper. Feedback and enquiries can be directed to: </w:t>
      </w:r>
      <w:hyperlink r:id="rId15" w:history="1">
        <w:r w:rsidRPr="00A37634">
          <w:rPr>
            <w:rFonts w:ascii="Calibri" w:eastAsia="Calibri" w:hAnsi="Calibri" w:cs="Calibri"/>
            <w:color w:val="0000FF"/>
            <w:szCs w:val="20"/>
            <w:u w:val="single"/>
            <w:lang w:val="en-AU"/>
          </w:rPr>
          <w:t>smartappliances2019@sa.gov.au</w:t>
        </w:r>
      </w:hyperlink>
      <w:r w:rsidR="00656086">
        <w:rPr>
          <w:rFonts w:ascii="Calibri" w:eastAsia="Calibri" w:hAnsi="Calibri" w:cs="Calibri"/>
          <w:color w:val="0000FF"/>
          <w:szCs w:val="20"/>
          <w:u w:val="single"/>
          <w:lang w:val="en-AU"/>
        </w:rPr>
        <w:t>.</w:t>
      </w:r>
    </w:p>
    <w:p w14:paraId="2A73DE58" w14:textId="4F06BAD8" w:rsidR="00A37634" w:rsidRPr="00A37634" w:rsidRDefault="00A37634" w:rsidP="00A37634">
      <w:pPr>
        <w:spacing w:before="120" w:after="120" w:line="276" w:lineRule="auto"/>
        <w:jc w:val="both"/>
        <w:rPr>
          <w:rFonts w:ascii="Calibri" w:eastAsia="Calibri" w:hAnsi="Calibri" w:cs="Calibri"/>
          <w:szCs w:val="20"/>
          <w:lang w:val="en-AU"/>
        </w:rPr>
      </w:pPr>
      <w:r w:rsidRPr="00A37634">
        <w:rPr>
          <w:rFonts w:ascii="Calibri" w:eastAsia="Calibri" w:hAnsi="Calibri" w:cs="Calibri"/>
          <w:szCs w:val="20"/>
          <w:lang w:val="en-AU"/>
        </w:rPr>
        <w:t xml:space="preserve">Submissions on this document close on: </w:t>
      </w:r>
      <w:r w:rsidR="00656086">
        <w:rPr>
          <w:rFonts w:ascii="Calibri" w:eastAsia="Calibri" w:hAnsi="Calibri" w:cs="Calibri"/>
          <w:b/>
          <w:szCs w:val="20"/>
          <w:lang w:val="en-AU"/>
        </w:rPr>
        <w:t>16</w:t>
      </w:r>
      <w:r w:rsidRPr="00A37634">
        <w:rPr>
          <w:rFonts w:ascii="Calibri" w:eastAsia="Calibri" w:hAnsi="Calibri" w:cs="Calibri"/>
          <w:b/>
          <w:szCs w:val="20"/>
          <w:lang w:val="en-AU"/>
        </w:rPr>
        <w:t xml:space="preserve"> September 2019</w:t>
      </w:r>
      <w:r w:rsidR="00656086">
        <w:rPr>
          <w:rFonts w:ascii="Calibri" w:eastAsia="Calibri" w:hAnsi="Calibri" w:cs="Calibri"/>
          <w:b/>
          <w:szCs w:val="20"/>
          <w:lang w:val="en-AU"/>
        </w:rPr>
        <w:t>.</w:t>
      </w:r>
    </w:p>
    <w:p w14:paraId="3A259C8D" w14:textId="77777777" w:rsidR="00A37634" w:rsidRPr="00A37634" w:rsidRDefault="00A37634" w:rsidP="00A37634">
      <w:pPr>
        <w:spacing w:after="0" w:line="240" w:lineRule="auto"/>
        <w:rPr>
          <w:rFonts w:ascii="Calibri" w:eastAsia="Calibri" w:hAnsi="Calibri" w:cs="Calibri"/>
          <w:szCs w:val="20"/>
          <w:lang w:val="en-AU"/>
        </w:rPr>
      </w:pPr>
    </w:p>
    <w:sdt>
      <w:sdtPr>
        <w:rPr>
          <w:rFonts w:ascii="Calibri" w:eastAsia="Calibri" w:hAnsi="Calibri" w:cs="Calibri"/>
          <w:sz w:val="50"/>
          <w:szCs w:val="50"/>
          <w:lang w:val="en-AU"/>
        </w:rPr>
        <w:id w:val="-1725984885"/>
        <w:docPartObj>
          <w:docPartGallery w:val="Table of Contents"/>
          <w:docPartUnique/>
        </w:docPartObj>
      </w:sdtPr>
      <w:sdtEndPr>
        <w:rPr>
          <w:noProof/>
          <w:sz w:val="22"/>
          <w:szCs w:val="20"/>
        </w:rPr>
      </w:sdtEndPr>
      <w:sdtContent>
        <w:p w14:paraId="4FF3AB1B" w14:textId="77777777" w:rsidR="00A37634" w:rsidRPr="00A37634" w:rsidRDefault="00A37634" w:rsidP="00A37634">
          <w:pPr>
            <w:keepNext/>
            <w:keepLines/>
            <w:pageBreakBefore/>
            <w:spacing w:after="0" w:line="276" w:lineRule="auto"/>
            <w:rPr>
              <w:rFonts w:ascii="Calibri" w:eastAsia="Times New Roman" w:hAnsi="Calibri" w:cs="Calibri"/>
              <w:b/>
              <w:bCs/>
              <w:color w:val="FF0000"/>
              <w:sz w:val="50"/>
              <w:szCs w:val="50"/>
              <w:lang w:val="en-US" w:eastAsia="ja-JP"/>
            </w:rPr>
          </w:pPr>
          <w:r w:rsidRPr="00A37634">
            <w:rPr>
              <w:rFonts w:ascii="Calibri" w:eastAsia="Times New Roman" w:hAnsi="Calibri" w:cs="Calibri"/>
              <w:b/>
              <w:bCs/>
              <w:color w:val="FF0000"/>
              <w:sz w:val="50"/>
              <w:szCs w:val="50"/>
              <w:lang w:val="en-US" w:eastAsia="ja-JP"/>
            </w:rPr>
            <w:t>Contents</w:t>
          </w:r>
        </w:p>
        <w:p w14:paraId="51F81B80" w14:textId="77777777" w:rsidR="00A37634" w:rsidRPr="00A37634" w:rsidRDefault="00A37634" w:rsidP="00A37634">
          <w:pPr>
            <w:tabs>
              <w:tab w:val="right" w:leader="dot" w:pos="9620"/>
            </w:tabs>
            <w:spacing w:after="100" w:line="276" w:lineRule="auto"/>
            <w:rPr>
              <w:rFonts w:ascii="Calibri" w:eastAsia="Times New Roman" w:hAnsi="Calibri" w:cs="Calibri"/>
              <w:b/>
              <w:lang w:val="en-US" w:eastAsia="ja-JP"/>
            </w:rPr>
          </w:pPr>
        </w:p>
        <w:p w14:paraId="3DA5D2DD" w14:textId="066F944C" w:rsidR="00332F06" w:rsidRDefault="00A37634">
          <w:pPr>
            <w:pStyle w:val="TOC1"/>
            <w:tabs>
              <w:tab w:val="right" w:leader="dot" w:pos="9620"/>
            </w:tabs>
            <w:rPr>
              <w:noProof/>
            </w:rPr>
          </w:pPr>
          <w:r w:rsidRPr="00A37634">
            <w:rPr>
              <w:rFonts w:ascii="Calibri" w:eastAsia="Times New Roman" w:hAnsi="Calibri" w:cs="Calibri"/>
              <w:b/>
              <w:lang w:val="en-US" w:eastAsia="ja-JP"/>
            </w:rPr>
            <w:fldChar w:fldCharType="begin"/>
          </w:r>
          <w:r w:rsidRPr="00A37634">
            <w:rPr>
              <w:rFonts w:ascii="Calibri" w:eastAsia="Times New Roman" w:hAnsi="Calibri" w:cs="Calibri"/>
              <w:b/>
              <w:lang w:val="en-US" w:eastAsia="ja-JP"/>
            </w:rPr>
            <w:instrText xml:space="preserve"> TOC \o "1-3" \h \z \u </w:instrText>
          </w:r>
          <w:r w:rsidRPr="00A37634">
            <w:rPr>
              <w:rFonts w:ascii="Calibri" w:eastAsia="Times New Roman" w:hAnsi="Calibri" w:cs="Calibri"/>
              <w:b/>
              <w:lang w:val="en-US" w:eastAsia="ja-JP"/>
            </w:rPr>
            <w:fldChar w:fldCharType="separate"/>
          </w:r>
          <w:hyperlink w:anchor="_Toc16500966" w:history="1">
            <w:r w:rsidR="00332F06" w:rsidRPr="003A7E4A">
              <w:rPr>
                <w:rStyle w:val="Hyperlink"/>
                <w:rFonts w:ascii="Calibri" w:eastAsia="Times New Roman" w:hAnsi="Calibri" w:cs="Calibri"/>
                <w:b/>
                <w:bCs/>
                <w:noProof/>
                <w:lang w:val="en-AU"/>
              </w:rPr>
              <w:t>Foreword</w:t>
            </w:r>
            <w:r w:rsidR="00332F06">
              <w:rPr>
                <w:noProof/>
                <w:webHidden/>
              </w:rPr>
              <w:tab/>
            </w:r>
            <w:r w:rsidR="00332F06">
              <w:rPr>
                <w:noProof/>
                <w:webHidden/>
              </w:rPr>
              <w:fldChar w:fldCharType="begin"/>
            </w:r>
            <w:r w:rsidR="00332F06">
              <w:rPr>
                <w:noProof/>
                <w:webHidden/>
              </w:rPr>
              <w:instrText xml:space="preserve"> PAGEREF _Toc16500966 \h </w:instrText>
            </w:r>
            <w:r w:rsidR="00332F06">
              <w:rPr>
                <w:noProof/>
                <w:webHidden/>
              </w:rPr>
            </w:r>
            <w:r w:rsidR="00332F06">
              <w:rPr>
                <w:noProof/>
                <w:webHidden/>
              </w:rPr>
              <w:fldChar w:fldCharType="separate"/>
            </w:r>
            <w:r w:rsidR="00181136">
              <w:rPr>
                <w:noProof/>
                <w:webHidden/>
              </w:rPr>
              <w:t>1</w:t>
            </w:r>
            <w:r w:rsidR="00332F06">
              <w:rPr>
                <w:noProof/>
                <w:webHidden/>
              </w:rPr>
              <w:fldChar w:fldCharType="end"/>
            </w:r>
          </w:hyperlink>
        </w:p>
        <w:p w14:paraId="1D973B9C" w14:textId="5D8775C6" w:rsidR="00332F06" w:rsidRDefault="00593F8A">
          <w:pPr>
            <w:pStyle w:val="TOC1"/>
            <w:tabs>
              <w:tab w:val="right" w:leader="dot" w:pos="9620"/>
            </w:tabs>
            <w:rPr>
              <w:noProof/>
            </w:rPr>
          </w:pPr>
          <w:hyperlink w:anchor="_Toc16500967" w:history="1">
            <w:r w:rsidR="00332F06" w:rsidRPr="003A7E4A">
              <w:rPr>
                <w:rStyle w:val="Hyperlink"/>
                <w:rFonts w:ascii="Calibri" w:eastAsia="Times New Roman" w:hAnsi="Calibri" w:cs="Calibri"/>
                <w:b/>
                <w:bCs/>
                <w:noProof/>
                <w:lang w:val="en-AU"/>
              </w:rPr>
              <w:t>Have Your Say</w:t>
            </w:r>
            <w:r w:rsidR="00332F06">
              <w:rPr>
                <w:noProof/>
                <w:webHidden/>
              </w:rPr>
              <w:tab/>
            </w:r>
            <w:r w:rsidR="00332F06">
              <w:rPr>
                <w:noProof/>
                <w:webHidden/>
              </w:rPr>
              <w:fldChar w:fldCharType="begin"/>
            </w:r>
            <w:r w:rsidR="00332F06">
              <w:rPr>
                <w:noProof/>
                <w:webHidden/>
              </w:rPr>
              <w:instrText xml:space="preserve"> PAGEREF _Toc16500967 \h </w:instrText>
            </w:r>
            <w:r w:rsidR="00332F06">
              <w:rPr>
                <w:noProof/>
                <w:webHidden/>
              </w:rPr>
            </w:r>
            <w:r w:rsidR="00332F06">
              <w:rPr>
                <w:noProof/>
                <w:webHidden/>
              </w:rPr>
              <w:fldChar w:fldCharType="separate"/>
            </w:r>
            <w:r w:rsidR="00181136">
              <w:rPr>
                <w:noProof/>
                <w:webHidden/>
              </w:rPr>
              <w:t>3</w:t>
            </w:r>
            <w:r w:rsidR="00332F06">
              <w:rPr>
                <w:noProof/>
                <w:webHidden/>
              </w:rPr>
              <w:fldChar w:fldCharType="end"/>
            </w:r>
          </w:hyperlink>
        </w:p>
        <w:p w14:paraId="4DD68E03" w14:textId="098517AB" w:rsidR="00332F06" w:rsidRDefault="00593F8A">
          <w:pPr>
            <w:pStyle w:val="TOC2"/>
            <w:tabs>
              <w:tab w:val="right" w:leader="dot" w:pos="9620"/>
            </w:tabs>
            <w:rPr>
              <w:noProof/>
            </w:rPr>
          </w:pPr>
          <w:hyperlink w:anchor="_Toc16500968" w:history="1">
            <w:r w:rsidR="00332F06" w:rsidRPr="003A7E4A">
              <w:rPr>
                <w:rStyle w:val="Hyperlink"/>
                <w:rFonts w:ascii="Calibri" w:eastAsia="Times New Roman" w:hAnsi="Calibri" w:cs="Calibri"/>
                <w:b/>
                <w:bCs/>
                <w:noProof/>
                <w:lang w:val="en-AU"/>
              </w:rPr>
              <w:t>Glossary</w:t>
            </w:r>
            <w:r w:rsidR="00332F06">
              <w:rPr>
                <w:noProof/>
                <w:webHidden/>
              </w:rPr>
              <w:tab/>
            </w:r>
            <w:r w:rsidR="00332F06">
              <w:rPr>
                <w:noProof/>
                <w:webHidden/>
              </w:rPr>
              <w:fldChar w:fldCharType="begin"/>
            </w:r>
            <w:r w:rsidR="00332F06">
              <w:rPr>
                <w:noProof/>
                <w:webHidden/>
              </w:rPr>
              <w:instrText xml:space="preserve"> PAGEREF _Toc16500968 \h </w:instrText>
            </w:r>
            <w:r w:rsidR="00332F06">
              <w:rPr>
                <w:noProof/>
                <w:webHidden/>
              </w:rPr>
            </w:r>
            <w:r w:rsidR="00332F06">
              <w:rPr>
                <w:noProof/>
                <w:webHidden/>
              </w:rPr>
              <w:fldChar w:fldCharType="separate"/>
            </w:r>
            <w:r w:rsidR="00181136">
              <w:rPr>
                <w:noProof/>
                <w:webHidden/>
              </w:rPr>
              <w:t>6</w:t>
            </w:r>
            <w:r w:rsidR="00332F06">
              <w:rPr>
                <w:noProof/>
                <w:webHidden/>
              </w:rPr>
              <w:fldChar w:fldCharType="end"/>
            </w:r>
          </w:hyperlink>
        </w:p>
        <w:p w14:paraId="3B12E7BA" w14:textId="0C3DDC5F" w:rsidR="00332F06" w:rsidRDefault="00593F8A">
          <w:pPr>
            <w:pStyle w:val="TOC1"/>
            <w:tabs>
              <w:tab w:val="right" w:leader="dot" w:pos="9620"/>
            </w:tabs>
            <w:rPr>
              <w:noProof/>
            </w:rPr>
          </w:pPr>
          <w:hyperlink w:anchor="_Toc16500969" w:history="1">
            <w:r w:rsidR="00332F06" w:rsidRPr="003A7E4A">
              <w:rPr>
                <w:rStyle w:val="Hyperlink"/>
                <w:rFonts w:ascii="Calibri" w:eastAsia="Times New Roman" w:hAnsi="Calibri" w:cs="Calibri"/>
                <w:b/>
                <w:bCs/>
                <w:noProof/>
                <w:lang w:val="en-AU"/>
              </w:rPr>
              <w:t>The Objective</w:t>
            </w:r>
            <w:r w:rsidR="00332F06">
              <w:rPr>
                <w:noProof/>
                <w:webHidden/>
              </w:rPr>
              <w:tab/>
            </w:r>
            <w:r w:rsidR="00332F06">
              <w:rPr>
                <w:noProof/>
                <w:webHidden/>
              </w:rPr>
              <w:fldChar w:fldCharType="begin"/>
            </w:r>
            <w:r w:rsidR="00332F06">
              <w:rPr>
                <w:noProof/>
                <w:webHidden/>
              </w:rPr>
              <w:instrText xml:space="preserve"> PAGEREF _Toc16500969 \h </w:instrText>
            </w:r>
            <w:r w:rsidR="00332F06">
              <w:rPr>
                <w:noProof/>
                <w:webHidden/>
              </w:rPr>
            </w:r>
            <w:r w:rsidR="00332F06">
              <w:rPr>
                <w:noProof/>
                <w:webHidden/>
              </w:rPr>
              <w:fldChar w:fldCharType="separate"/>
            </w:r>
            <w:r w:rsidR="00181136">
              <w:rPr>
                <w:noProof/>
                <w:webHidden/>
              </w:rPr>
              <w:t>8</w:t>
            </w:r>
            <w:r w:rsidR="00332F06">
              <w:rPr>
                <w:noProof/>
                <w:webHidden/>
              </w:rPr>
              <w:fldChar w:fldCharType="end"/>
            </w:r>
          </w:hyperlink>
        </w:p>
        <w:p w14:paraId="5F508DDB" w14:textId="5EDAF16F" w:rsidR="00332F06" w:rsidRDefault="00593F8A">
          <w:pPr>
            <w:pStyle w:val="TOC1"/>
            <w:tabs>
              <w:tab w:val="right" w:leader="dot" w:pos="9620"/>
            </w:tabs>
            <w:rPr>
              <w:noProof/>
            </w:rPr>
          </w:pPr>
          <w:hyperlink w:anchor="_Toc16500970" w:history="1">
            <w:r w:rsidR="00332F06" w:rsidRPr="003A7E4A">
              <w:rPr>
                <w:rStyle w:val="Hyperlink"/>
                <w:rFonts w:ascii="Calibri" w:eastAsia="Times New Roman" w:hAnsi="Calibri" w:cs="Calibri"/>
                <w:b/>
                <w:bCs/>
                <w:noProof/>
                <w:lang w:val="en-AU"/>
              </w:rPr>
              <w:t>Options and Regulatory Drivers</w:t>
            </w:r>
            <w:r w:rsidR="00332F06">
              <w:rPr>
                <w:noProof/>
                <w:webHidden/>
              </w:rPr>
              <w:tab/>
            </w:r>
            <w:r w:rsidR="00332F06">
              <w:rPr>
                <w:noProof/>
                <w:webHidden/>
              </w:rPr>
              <w:fldChar w:fldCharType="begin"/>
            </w:r>
            <w:r w:rsidR="00332F06">
              <w:rPr>
                <w:noProof/>
                <w:webHidden/>
              </w:rPr>
              <w:instrText xml:space="preserve"> PAGEREF _Toc16500970 \h </w:instrText>
            </w:r>
            <w:r w:rsidR="00332F06">
              <w:rPr>
                <w:noProof/>
                <w:webHidden/>
              </w:rPr>
            </w:r>
            <w:r w:rsidR="00332F06">
              <w:rPr>
                <w:noProof/>
                <w:webHidden/>
              </w:rPr>
              <w:fldChar w:fldCharType="separate"/>
            </w:r>
            <w:r w:rsidR="00181136">
              <w:rPr>
                <w:noProof/>
                <w:webHidden/>
              </w:rPr>
              <w:t>12</w:t>
            </w:r>
            <w:r w:rsidR="00332F06">
              <w:rPr>
                <w:noProof/>
                <w:webHidden/>
              </w:rPr>
              <w:fldChar w:fldCharType="end"/>
            </w:r>
          </w:hyperlink>
        </w:p>
        <w:p w14:paraId="305EE8BF" w14:textId="45F094CB" w:rsidR="00332F06" w:rsidRDefault="00593F8A">
          <w:pPr>
            <w:pStyle w:val="TOC1"/>
            <w:tabs>
              <w:tab w:val="right" w:leader="dot" w:pos="9620"/>
            </w:tabs>
            <w:rPr>
              <w:noProof/>
            </w:rPr>
          </w:pPr>
          <w:hyperlink w:anchor="_Toc16500971" w:history="1">
            <w:r w:rsidR="00332F06" w:rsidRPr="003A7E4A">
              <w:rPr>
                <w:rStyle w:val="Hyperlink"/>
                <w:rFonts w:ascii="Calibri" w:eastAsia="Times New Roman" w:hAnsi="Calibri" w:cs="Calibri"/>
                <w:b/>
                <w:bCs/>
                <w:noProof/>
                <w:lang w:val="en-AU"/>
              </w:rPr>
              <w:t>Products to be Covered</w:t>
            </w:r>
            <w:r w:rsidR="00332F06">
              <w:rPr>
                <w:noProof/>
                <w:webHidden/>
              </w:rPr>
              <w:tab/>
            </w:r>
            <w:r w:rsidR="00332F06">
              <w:rPr>
                <w:noProof/>
                <w:webHidden/>
              </w:rPr>
              <w:fldChar w:fldCharType="begin"/>
            </w:r>
            <w:r w:rsidR="00332F06">
              <w:rPr>
                <w:noProof/>
                <w:webHidden/>
              </w:rPr>
              <w:instrText xml:space="preserve"> PAGEREF _Toc16500971 \h </w:instrText>
            </w:r>
            <w:r w:rsidR="00332F06">
              <w:rPr>
                <w:noProof/>
                <w:webHidden/>
              </w:rPr>
            </w:r>
            <w:r w:rsidR="00332F06">
              <w:rPr>
                <w:noProof/>
                <w:webHidden/>
              </w:rPr>
              <w:fldChar w:fldCharType="separate"/>
            </w:r>
            <w:r w:rsidR="00181136">
              <w:rPr>
                <w:noProof/>
                <w:webHidden/>
              </w:rPr>
              <w:t>22</w:t>
            </w:r>
            <w:r w:rsidR="00332F06">
              <w:rPr>
                <w:noProof/>
                <w:webHidden/>
              </w:rPr>
              <w:fldChar w:fldCharType="end"/>
            </w:r>
          </w:hyperlink>
        </w:p>
        <w:p w14:paraId="4413A73A" w14:textId="5C1E902F" w:rsidR="00332F06" w:rsidRDefault="00593F8A">
          <w:pPr>
            <w:pStyle w:val="TOC1"/>
            <w:tabs>
              <w:tab w:val="right" w:leader="dot" w:pos="9620"/>
            </w:tabs>
            <w:rPr>
              <w:noProof/>
            </w:rPr>
          </w:pPr>
          <w:hyperlink w:anchor="_Toc16500972" w:history="1">
            <w:r w:rsidR="00332F06" w:rsidRPr="003A7E4A">
              <w:rPr>
                <w:rStyle w:val="Hyperlink"/>
                <w:rFonts w:ascii="Calibri" w:eastAsia="Times New Roman" w:hAnsi="Calibri" w:cs="Calibri"/>
                <w:b/>
                <w:bCs/>
                <w:noProof/>
                <w:lang w:val="en-AU"/>
              </w:rPr>
              <w:t>Proposed Compliance Standard</w:t>
            </w:r>
            <w:r w:rsidR="00332F06">
              <w:rPr>
                <w:noProof/>
                <w:webHidden/>
              </w:rPr>
              <w:tab/>
            </w:r>
            <w:r w:rsidR="00332F06">
              <w:rPr>
                <w:noProof/>
                <w:webHidden/>
              </w:rPr>
              <w:fldChar w:fldCharType="begin"/>
            </w:r>
            <w:r w:rsidR="00332F06">
              <w:rPr>
                <w:noProof/>
                <w:webHidden/>
              </w:rPr>
              <w:instrText xml:space="preserve"> PAGEREF _Toc16500972 \h </w:instrText>
            </w:r>
            <w:r w:rsidR="00332F06">
              <w:rPr>
                <w:noProof/>
                <w:webHidden/>
              </w:rPr>
            </w:r>
            <w:r w:rsidR="00332F06">
              <w:rPr>
                <w:noProof/>
                <w:webHidden/>
              </w:rPr>
              <w:fldChar w:fldCharType="separate"/>
            </w:r>
            <w:r w:rsidR="00181136">
              <w:rPr>
                <w:noProof/>
                <w:webHidden/>
              </w:rPr>
              <w:t>26</w:t>
            </w:r>
            <w:r w:rsidR="00332F06">
              <w:rPr>
                <w:noProof/>
                <w:webHidden/>
              </w:rPr>
              <w:fldChar w:fldCharType="end"/>
            </w:r>
          </w:hyperlink>
        </w:p>
        <w:p w14:paraId="41032C9E" w14:textId="3CFD7F3C" w:rsidR="00332F06" w:rsidRDefault="00593F8A">
          <w:pPr>
            <w:pStyle w:val="TOC1"/>
            <w:tabs>
              <w:tab w:val="right" w:leader="dot" w:pos="9620"/>
            </w:tabs>
            <w:rPr>
              <w:noProof/>
            </w:rPr>
          </w:pPr>
          <w:hyperlink w:anchor="_Toc16500973" w:history="1">
            <w:r w:rsidR="00332F06" w:rsidRPr="003A7E4A">
              <w:rPr>
                <w:rStyle w:val="Hyperlink"/>
                <w:rFonts w:ascii="Calibri" w:eastAsia="Times New Roman" w:hAnsi="Calibri" w:cs="Calibri"/>
                <w:b/>
                <w:bCs/>
                <w:noProof/>
                <w:lang w:val="en-AU"/>
              </w:rPr>
              <w:t>Summary of Costs and Benefits</w:t>
            </w:r>
            <w:r w:rsidR="00332F06">
              <w:rPr>
                <w:noProof/>
                <w:webHidden/>
              </w:rPr>
              <w:tab/>
            </w:r>
            <w:r w:rsidR="00332F06">
              <w:rPr>
                <w:noProof/>
                <w:webHidden/>
              </w:rPr>
              <w:fldChar w:fldCharType="begin"/>
            </w:r>
            <w:r w:rsidR="00332F06">
              <w:rPr>
                <w:noProof/>
                <w:webHidden/>
              </w:rPr>
              <w:instrText xml:space="preserve"> PAGEREF _Toc16500973 \h </w:instrText>
            </w:r>
            <w:r w:rsidR="00332F06">
              <w:rPr>
                <w:noProof/>
                <w:webHidden/>
              </w:rPr>
            </w:r>
            <w:r w:rsidR="00332F06">
              <w:rPr>
                <w:noProof/>
                <w:webHidden/>
              </w:rPr>
              <w:fldChar w:fldCharType="separate"/>
            </w:r>
            <w:r w:rsidR="00181136">
              <w:rPr>
                <w:noProof/>
                <w:webHidden/>
              </w:rPr>
              <w:t>30</w:t>
            </w:r>
            <w:r w:rsidR="00332F06">
              <w:rPr>
                <w:noProof/>
                <w:webHidden/>
              </w:rPr>
              <w:fldChar w:fldCharType="end"/>
            </w:r>
          </w:hyperlink>
        </w:p>
        <w:p w14:paraId="31D38D5B" w14:textId="7C14A203" w:rsidR="00332F06" w:rsidRDefault="00593F8A">
          <w:pPr>
            <w:pStyle w:val="TOC1"/>
            <w:tabs>
              <w:tab w:val="right" w:leader="dot" w:pos="9620"/>
            </w:tabs>
            <w:rPr>
              <w:noProof/>
            </w:rPr>
          </w:pPr>
          <w:hyperlink w:anchor="_Toc16500974" w:history="1">
            <w:r w:rsidR="00332F06" w:rsidRPr="003A7E4A">
              <w:rPr>
                <w:rStyle w:val="Hyperlink"/>
                <w:rFonts w:ascii="Calibri" w:eastAsia="Times New Roman" w:hAnsi="Calibri" w:cs="Calibri"/>
                <w:b/>
                <w:bCs/>
                <w:noProof/>
                <w:lang w:val="en-AU"/>
              </w:rPr>
              <w:t>Implementation and Timing</w:t>
            </w:r>
            <w:r w:rsidR="00332F06">
              <w:rPr>
                <w:noProof/>
                <w:webHidden/>
              </w:rPr>
              <w:tab/>
            </w:r>
            <w:r w:rsidR="00332F06">
              <w:rPr>
                <w:noProof/>
                <w:webHidden/>
              </w:rPr>
              <w:fldChar w:fldCharType="begin"/>
            </w:r>
            <w:r w:rsidR="00332F06">
              <w:rPr>
                <w:noProof/>
                <w:webHidden/>
              </w:rPr>
              <w:instrText xml:space="preserve"> PAGEREF _Toc16500974 \h </w:instrText>
            </w:r>
            <w:r w:rsidR="00332F06">
              <w:rPr>
                <w:noProof/>
                <w:webHidden/>
              </w:rPr>
            </w:r>
            <w:r w:rsidR="00332F06">
              <w:rPr>
                <w:noProof/>
                <w:webHidden/>
              </w:rPr>
              <w:fldChar w:fldCharType="separate"/>
            </w:r>
            <w:r w:rsidR="00181136">
              <w:rPr>
                <w:noProof/>
                <w:webHidden/>
              </w:rPr>
              <w:t>41</w:t>
            </w:r>
            <w:r w:rsidR="00332F06">
              <w:rPr>
                <w:noProof/>
                <w:webHidden/>
              </w:rPr>
              <w:fldChar w:fldCharType="end"/>
            </w:r>
          </w:hyperlink>
        </w:p>
        <w:p w14:paraId="1BE29B60" w14:textId="71C08019" w:rsidR="00332F06" w:rsidRDefault="00593F8A">
          <w:pPr>
            <w:pStyle w:val="TOC1"/>
            <w:tabs>
              <w:tab w:val="right" w:leader="dot" w:pos="9620"/>
            </w:tabs>
            <w:rPr>
              <w:noProof/>
            </w:rPr>
          </w:pPr>
          <w:hyperlink w:anchor="_Toc16500975" w:history="1">
            <w:r w:rsidR="00332F06" w:rsidRPr="003A7E4A">
              <w:rPr>
                <w:rStyle w:val="Hyperlink"/>
                <w:rFonts w:ascii="Calibri" w:eastAsia="Times New Roman" w:hAnsi="Calibri" w:cs="Calibri"/>
                <w:b/>
                <w:bCs/>
                <w:noProof/>
                <w:lang w:val="en-AU"/>
              </w:rPr>
              <w:t>Questions for Stakeholders</w:t>
            </w:r>
            <w:r w:rsidR="00332F06">
              <w:rPr>
                <w:noProof/>
                <w:webHidden/>
              </w:rPr>
              <w:tab/>
            </w:r>
            <w:r w:rsidR="00332F06">
              <w:rPr>
                <w:noProof/>
                <w:webHidden/>
              </w:rPr>
              <w:fldChar w:fldCharType="begin"/>
            </w:r>
            <w:r w:rsidR="00332F06">
              <w:rPr>
                <w:noProof/>
                <w:webHidden/>
              </w:rPr>
              <w:instrText xml:space="preserve"> PAGEREF _Toc16500975 \h </w:instrText>
            </w:r>
            <w:r w:rsidR="00332F06">
              <w:rPr>
                <w:noProof/>
                <w:webHidden/>
              </w:rPr>
            </w:r>
            <w:r w:rsidR="00332F06">
              <w:rPr>
                <w:noProof/>
                <w:webHidden/>
              </w:rPr>
              <w:fldChar w:fldCharType="separate"/>
            </w:r>
            <w:r w:rsidR="00181136">
              <w:rPr>
                <w:noProof/>
                <w:webHidden/>
              </w:rPr>
              <w:t>43</w:t>
            </w:r>
            <w:r w:rsidR="00332F06">
              <w:rPr>
                <w:noProof/>
                <w:webHidden/>
              </w:rPr>
              <w:fldChar w:fldCharType="end"/>
            </w:r>
          </w:hyperlink>
        </w:p>
        <w:p w14:paraId="5F6F7802" w14:textId="5B9BC04C" w:rsidR="00332F06" w:rsidRDefault="00593F8A">
          <w:pPr>
            <w:pStyle w:val="TOC2"/>
            <w:tabs>
              <w:tab w:val="right" w:leader="dot" w:pos="9620"/>
            </w:tabs>
            <w:rPr>
              <w:noProof/>
            </w:rPr>
          </w:pPr>
          <w:hyperlink w:anchor="_Toc16500976" w:history="1">
            <w:r w:rsidR="00332F06" w:rsidRPr="003A7E4A">
              <w:rPr>
                <w:rStyle w:val="Hyperlink"/>
                <w:rFonts w:ascii="Calibri" w:eastAsia="Times New Roman" w:hAnsi="Calibri" w:cs="Calibri"/>
                <w:b/>
                <w:bCs/>
                <w:noProof/>
                <w:lang w:val="en-AU"/>
              </w:rPr>
              <w:t>Appendix 1 Costs and Benefits</w:t>
            </w:r>
            <w:r w:rsidR="00332F06">
              <w:rPr>
                <w:noProof/>
                <w:webHidden/>
              </w:rPr>
              <w:tab/>
            </w:r>
            <w:r w:rsidR="00332F06">
              <w:rPr>
                <w:noProof/>
                <w:webHidden/>
              </w:rPr>
              <w:fldChar w:fldCharType="begin"/>
            </w:r>
            <w:r w:rsidR="00332F06">
              <w:rPr>
                <w:noProof/>
                <w:webHidden/>
              </w:rPr>
              <w:instrText xml:space="preserve"> PAGEREF _Toc16500976 \h </w:instrText>
            </w:r>
            <w:r w:rsidR="00332F06">
              <w:rPr>
                <w:noProof/>
                <w:webHidden/>
              </w:rPr>
            </w:r>
            <w:r w:rsidR="00332F06">
              <w:rPr>
                <w:noProof/>
                <w:webHidden/>
              </w:rPr>
              <w:fldChar w:fldCharType="separate"/>
            </w:r>
            <w:r w:rsidR="00181136">
              <w:rPr>
                <w:noProof/>
                <w:webHidden/>
              </w:rPr>
              <w:t>47</w:t>
            </w:r>
            <w:r w:rsidR="00332F06">
              <w:rPr>
                <w:noProof/>
                <w:webHidden/>
              </w:rPr>
              <w:fldChar w:fldCharType="end"/>
            </w:r>
          </w:hyperlink>
        </w:p>
        <w:p w14:paraId="525BBF2A" w14:textId="36F2972E" w:rsidR="00332F06" w:rsidRDefault="00593F8A">
          <w:pPr>
            <w:pStyle w:val="TOC2"/>
            <w:tabs>
              <w:tab w:val="right" w:leader="dot" w:pos="9620"/>
            </w:tabs>
            <w:rPr>
              <w:noProof/>
            </w:rPr>
          </w:pPr>
          <w:hyperlink w:anchor="_Toc16500977" w:history="1">
            <w:r w:rsidR="00332F06" w:rsidRPr="003A7E4A">
              <w:rPr>
                <w:rStyle w:val="Hyperlink"/>
                <w:rFonts w:ascii="Calibri" w:eastAsia="Times New Roman" w:hAnsi="Calibri" w:cs="Calibri"/>
                <w:b/>
                <w:bCs/>
                <w:noProof/>
                <w:lang w:val="en-AU"/>
              </w:rPr>
              <w:t>Appendix 2 AS/NZS 4755</w:t>
            </w:r>
            <w:r w:rsidR="00332F06">
              <w:rPr>
                <w:noProof/>
                <w:webHidden/>
              </w:rPr>
              <w:tab/>
            </w:r>
            <w:r w:rsidR="00332F06">
              <w:rPr>
                <w:noProof/>
                <w:webHidden/>
              </w:rPr>
              <w:fldChar w:fldCharType="begin"/>
            </w:r>
            <w:r w:rsidR="00332F06">
              <w:rPr>
                <w:noProof/>
                <w:webHidden/>
              </w:rPr>
              <w:instrText xml:space="preserve"> PAGEREF _Toc16500977 \h </w:instrText>
            </w:r>
            <w:r w:rsidR="00332F06">
              <w:rPr>
                <w:noProof/>
                <w:webHidden/>
              </w:rPr>
            </w:r>
            <w:r w:rsidR="00332F06">
              <w:rPr>
                <w:noProof/>
                <w:webHidden/>
              </w:rPr>
              <w:fldChar w:fldCharType="separate"/>
            </w:r>
            <w:r w:rsidR="00181136">
              <w:rPr>
                <w:noProof/>
                <w:webHidden/>
              </w:rPr>
              <w:t>55</w:t>
            </w:r>
            <w:r w:rsidR="00332F06">
              <w:rPr>
                <w:noProof/>
                <w:webHidden/>
              </w:rPr>
              <w:fldChar w:fldCharType="end"/>
            </w:r>
          </w:hyperlink>
        </w:p>
        <w:p w14:paraId="3B78E531" w14:textId="01413549" w:rsidR="00A37634" w:rsidRPr="00A37634" w:rsidRDefault="00A37634" w:rsidP="00A37634">
          <w:pPr>
            <w:spacing w:after="120" w:line="276" w:lineRule="auto"/>
            <w:rPr>
              <w:rFonts w:ascii="Calibri" w:eastAsia="Calibri" w:hAnsi="Calibri" w:cs="Calibri"/>
              <w:szCs w:val="20"/>
              <w:lang w:val="en-AU"/>
            </w:rPr>
          </w:pPr>
          <w:r w:rsidRPr="00A37634">
            <w:rPr>
              <w:rFonts w:ascii="Calibri" w:eastAsia="Calibri" w:hAnsi="Calibri" w:cs="Calibri"/>
              <w:b/>
              <w:bCs/>
              <w:noProof/>
              <w:szCs w:val="20"/>
              <w:lang w:val="en-AU"/>
            </w:rPr>
            <w:fldChar w:fldCharType="end"/>
          </w:r>
        </w:p>
      </w:sdtContent>
    </w:sdt>
    <w:p w14:paraId="27FD6557"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3F257A98"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1BDCF7B5"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0717901B"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2E001BE0"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553A1F77"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31D5EFD3"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775E3216"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73B47E49"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6E5D9FF1"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18CDD046"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2ABBBA50"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7EE76155"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0D8DE4A8"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1789AE5E"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17F2FB82"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5FA755E8"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3197A183"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211BFE93"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4A021B07"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4DD3BC46"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4EEAB660" w14:textId="77777777" w:rsidR="00A37634" w:rsidRPr="00A37634" w:rsidRDefault="00A37634" w:rsidP="00A37634">
      <w:pPr>
        <w:tabs>
          <w:tab w:val="right" w:leader="dot" w:pos="9620"/>
        </w:tabs>
        <w:spacing w:after="0" w:line="276" w:lineRule="auto"/>
        <w:rPr>
          <w:rFonts w:ascii="Calibri" w:eastAsia="Calibri" w:hAnsi="Calibri" w:cs="Calibri"/>
          <w:szCs w:val="20"/>
          <w:lang w:val="en-AU"/>
        </w:rPr>
      </w:pPr>
    </w:p>
    <w:p w14:paraId="1D635EC3" w14:textId="77777777" w:rsidR="00A37634" w:rsidRPr="00A37634" w:rsidRDefault="00A37634" w:rsidP="00A37634">
      <w:pPr>
        <w:tabs>
          <w:tab w:val="right" w:leader="dot" w:pos="9620"/>
        </w:tabs>
        <w:spacing w:after="0" w:line="276" w:lineRule="auto"/>
        <w:rPr>
          <w:rFonts w:ascii="Calibri" w:eastAsia="Times New Roman" w:hAnsi="Calibri" w:cs="Calibri"/>
          <w:b/>
          <w:bCs/>
          <w:color w:val="FF0000"/>
          <w:sz w:val="50"/>
          <w:szCs w:val="50"/>
          <w:lang w:val="en-US" w:eastAsia="ja-JP"/>
        </w:rPr>
      </w:pPr>
    </w:p>
    <w:p w14:paraId="0837292C" w14:textId="77777777" w:rsidR="00A37634" w:rsidRPr="00A37634" w:rsidRDefault="00A37634" w:rsidP="00A37634">
      <w:pPr>
        <w:tabs>
          <w:tab w:val="right" w:leader="dot" w:pos="9620"/>
        </w:tabs>
        <w:spacing w:after="0" w:line="276" w:lineRule="auto"/>
        <w:rPr>
          <w:rFonts w:ascii="Calibri" w:eastAsia="Times New Roman" w:hAnsi="Calibri" w:cs="Calibri"/>
          <w:b/>
          <w:bCs/>
          <w:color w:val="FF0000"/>
          <w:sz w:val="50"/>
          <w:szCs w:val="50"/>
          <w:lang w:val="en-US" w:eastAsia="ja-JP"/>
        </w:rPr>
      </w:pPr>
      <w:r w:rsidRPr="00A37634">
        <w:rPr>
          <w:rFonts w:ascii="Calibri" w:eastAsia="Times New Roman" w:hAnsi="Calibri" w:cs="Calibri"/>
          <w:b/>
          <w:bCs/>
          <w:color w:val="FF0000"/>
          <w:sz w:val="50"/>
          <w:szCs w:val="50"/>
          <w:lang w:val="en-US" w:eastAsia="ja-JP"/>
        </w:rPr>
        <w:t>Illustrations</w:t>
      </w:r>
    </w:p>
    <w:p w14:paraId="473337A7" w14:textId="77777777" w:rsidR="00A37634" w:rsidRPr="00A37634" w:rsidRDefault="00A37634" w:rsidP="00A37634">
      <w:pPr>
        <w:spacing w:after="120" w:line="276" w:lineRule="auto"/>
        <w:rPr>
          <w:rFonts w:ascii="Calibri" w:eastAsia="Calibri" w:hAnsi="Calibri" w:cs="Times New Roman"/>
          <w:szCs w:val="20"/>
          <w:lang w:val="en-US" w:eastAsia="ja-JP"/>
        </w:rPr>
      </w:pPr>
    </w:p>
    <w:p w14:paraId="5016AEB3" w14:textId="45AC5C69" w:rsidR="00332F06" w:rsidRPr="00332F06" w:rsidRDefault="00A37634">
      <w:pPr>
        <w:pStyle w:val="TableofFigures"/>
        <w:tabs>
          <w:tab w:val="right" w:leader="dot" w:pos="9620"/>
        </w:tabs>
        <w:rPr>
          <w:rFonts w:asciiTheme="minorHAnsi" w:eastAsiaTheme="minorEastAsia" w:hAnsiTheme="minorHAnsi" w:cstheme="minorBidi"/>
          <w:noProof/>
          <w:szCs w:val="22"/>
          <w:lang w:eastAsia="en-AU"/>
        </w:rPr>
      </w:pPr>
      <w:r w:rsidRPr="00A37634">
        <w:rPr>
          <w:rFonts w:eastAsia="Calibri" w:cs="Calibri"/>
        </w:rPr>
        <w:fldChar w:fldCharType="begin"/>
      </w:r>
      <w:r w:rsidRPr="00A37634">
        <w:rPr>
          <w:rFonts w:eastAsia="Calibri" w:cs="Calibri"/>
        </w:rPr>
        <w:instrText xml:space="preserve"> TOC \h \z \c "Figure" </w:instrText>
      </w:r>
      <w:r w:rsidRPr="00A37634">
        <w:rPr>
          <w:rFonts w:eastAsia="Calibri" w:cs="Calibri"/>
        </w:rPr>
        <w:fldChar w:fldCharType="separate"/>
      </w:r>
      <w:hyperlink w:anchor="_Toc16500978" w:history="1">
        <w:r w:rsidR="00332F06" w:rsidRPr="00332F06">
          <w:rPr>
            <w:rStyle w:val="Hyperlink"/>
            <w:rFonts w:eastAsia="Cambria" w:cs="Calibri"/>
            <w:bCs/>
            <w:noProof/>
            <w:u w:val="none"/>
          </w:rPr>
          <w:t>Figure 1. Electricity networks must be built for the ‘peakiest’ events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_Toc16500978 \h </w:instrText>
        </w:r>
        <w:r w:rsidR="00332F06" w:rsidRPr="00332F06">
          <w:rPr>
            <w:noProof/>
            <w:webHidden/>
          </w:rPr>
        </w:r>
        <w:r w:rsidR="00332F06" w:rsidRPr="00332F06">
          <w:rPr>
            <w:noProof/>
            <w:webHidden/>
          </w:rPr>
          <w:fldChar w:fldCharType="separate"/>
        </w:r>
        <w:r w:rsidR="00181136">
          <w:rPr>
            <w:noProof/>
            <w:webHidden/>
          </w:rPr>
          <w:t>9</w:t>
        </w:r>
        <w:r w:rsidR="00332F06" w:rsidRPr="00332F06">
          <w:rPr>
            <w:noProof/>
            <w:webHidden/>
          </w:rPr>
          <w:fldChar w:fldCharType="end"/>
        </w:r>
      </w:hyperlink>
    </w:p>
    <w:p w14:paraId="1138E0B2" w14:textId="4CAABE6E"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79" w:history="1">
        <w:r w:rsidR="00332F06" w:rsidRPr="00332F06">
          <w:rPr>
            <w:rStyle w:val="Hyperlink"/>
            <w:rFonts w:eastAsia="Cambria" w:cs="Calibri"/>
            <w:bCs/>
            <w:noProof/>
            <w:u w:val="none"/>
          </w:rPr>
          <w:t>Figure 2. The growth of solar PV brings new challenges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_Toc16500979 \h </w:instrText>
        </w:r>
        <w:r w:rsidR="00332F06" w:rsidRPr="00332F06">
          <w:rPr>
            <w:noProof/>
            <w:webHidden/>
          </w:rPr>
        </w:r>
        <w:r w:rsidR="00332F06" w:rsidRPr="00332F06">
          <w:rPr>
            <w:noProof/>
            <w:webHidden/>
          </w:rPr>
          <w:fldChar w:fldCharType="separate"/>
        </w:r>
        <w:r w:rsidR="00181136">
          <w:rPr>
            <w:noProof/>
            <w:webHidden/>
          </w:rPr>
          <w:t>10</w:t>
        </w:r>
        <w:r w:rsidR="00332F06" w:rsidRPr="00332F06">
          <w:rPr>
            <w:noProof/>
            <w:webHidden/>
          </w:rPr>
          <w:fldChar w:fldCharType="end"/>
        </w:r>
      </w:hyperlink>
    </w:p>
    <w:p w14:paraId="4E10D412" w14:textId="54F422EE"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80" w:history="1">
        <w:r w:rsidR="00332F06" w:rsidRPr="00332F06">
          <w:rPr>
            <w:rStyle w:val="Hyperlink"/>
            <w:rFonts w:eastAsia="Cambria" w:cs="Calibri"/>
            <w:bCs/>
            <w:noProof/>
            <w:u w:val="none"/>
          </w:rPr>
          <w:t>Figure 3. Relationship of Remote Agent and DRED to Air Conditioner</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_Toc16500980 \h </w:instrText>
        </w:r>
        <w:r w:rsidR="00332F06" w:rsidRPr="00332F06">
          <w:rPr>
            <w:noProof/>
            <w:webHidden/>
          </w:rPr>
        </w:r>
        <w:r w:rsidR="00332F06" w:rsidRPr="00332F06">
          <w:rPr>
            <w:noProof/>
            <w:webHidden/>
          </w:rPr>
          <w:fldChar w:fldCharType="separate"/>
        </w:r>
        <w:r w:rsidR="00181136">
          <w:rPr>
            <w:noProof/>
            <w:webHidden/>
          </w:rPr>
          <w:t>27</w:t>
        </w:r>
        <w:r w:rsidR="00332F06" w:rsidRPr="00332F06">
          <w:rPr>
            <w:noProof/>
            <w:webHidden/>
          </w:rPr>
          <w:fldChar w:fldCharType="end"/>
        </w:r>
      </w:hyperlink>
    </w:p>
    <w:p w14:paraId="76A49459" w14:textId="00C24300"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81" w:history="1">
        <w:r w:rsidR="00332F06" w:rsidRPr="00332F06">
          <w:rPr>
            <w:rStyle w:val="Hyperlink"/>
            <w:rFonts w:eastAsia="Cambria" w:cs="Calibri"/>
            <w:bCs/>
            <w:noProof/>
            <w:u w:val="none"/>
          </w:rPr>
          <w:t>Figure 4. New AS/NZS 4755 Framework</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_Toc16500981 \h </w:instrText>
        </w:r>
        <w:r w:rsidR="00332F06" w:rsidRPr="00332F06">
          <w:rPr>
            <w:noProof/>
            <w:webHidden/>
          </w:rPr>
        </w:r>
        <w:r w:rsidR="00332F06" w:rsidRPr="00332F06">
          <w:rPr>
            <w:noProof/>
            <w:webHidden/>
          </w:rPr>
          <w:fldChar w:fldCharType="separate"/>
        </w:r>
        <w:r w:rsidR="00181136">
          <w:rPr>
            <w:noProof/>
            <w:webHidden/>
          </w:rPr>
          <w:t>27</w:t>
        </w:r>
        <w:r w:rsidR="00332F06" w:rsidRPr="00332F06">
          <w:rPr>
            <w:noProof/>
            <w:webHidden/>
          </w:rPr>
          <w:fldChar w:fldCharType="end"/>
        </w:r>
      </w:hyperlink>
    </w:p>
    <w:p w14:paraId="22DC040F" w14:textId="4F96FB29"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82" w:history="1">
        <w:r w:rsidR="00332F06" w:rsidRPr="00332F06">
          <w:rPr>
            <w:rStyle w:val="Hyperlink"/>
            <w:rFonts w:eastAsia="Cambria" w:cs="Calibri"/>
            <w:bCs/>
            <w:noProof/>
            <w:u w:val="none"/>
          </w:rPr>
          <w:t>Figure 5. Projected increase in appliance costs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_Toc16500982 \h </w:instrText>
        </w:r>
        <w:r w:rsidR="00332F06" w:rsidRPr="00332F06">
          <w:rPr>
            <w:noProof/>
            <w:webHidden/>
          </w:rPr>
        </w:r>
        <w:r w:rsidR="00332F06" w:rsidRPr="00332F06">
          <w:rPr>
            <w:noProof/>
            <w:webHidden/>
          </w:rPr>
          <w:fldChar w:fldCharType="separate"/>
        </w:r>
        <w:r w:rsidR="00181136">
          <w:rPr>
            <w:noProof/>
            <w:webHidden/>
          </w:rPr>
          <w:t>31</w:t>
        </w:r>
        <w:r w:rsidR="00332F06" w:rsidRPr="00332F06">
          <w:rPr>
            <w:noProof/>
            <w:webHidden/>
          </w:rPr>
          <w:fldChar w:fldCharType="end"/>
        </w:r>
      </w:hyperlink>
    </w:p>
    <w:p w14:paraId="6D947250" w14:textId="7DA00B53"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83" w:history="1">
        <w:r w:rsidR="00332F06" w:rsidRPr="00332F06">
          <w:rPr>
            <w:rStyle w:val="Hyperlink"/>
            <w:rFonts w:eastAsia="Cambria" w:cs="Calibri"/>
            <w:bCs/>
            <w:noProof/>
            <w:u w:val="none"/>
          </w:rPr>
          <w:t>Figure 6. Projected activation costs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_Toc16500983 \h </w:instrText>
        </w:r>
        <w:r w:rsidR="00332F06" w:rsidRPr="00332F06">
          <w:rPr>
            <w:noProof/>
            <w:webHidden/>
          </w:rPr>
        </w:r>
        <w:r w:rsidR="00332F06" w:rsidRPr="00332F06">
          <w:rPr>
            <w:noProof/>
            <w:webHidden/>
          </w:rPr>
          <w:fldChar w:fldCharType="separate"/>
        </w:r>
        <w:r w:rsidR="00181136">
          <w:rPr>
            <w:noProof/>
            <w:webHidden/>
          </w:rPr>
          <w:t>32</w:t>
        </w:r>
        <w:r w:rsidR="00332F06" w:rsidRPr="00332F06">
          <w:rPr>
            <w:noProof/>
            <w:webHidden/>
          </w:rPr>
          <w:fldChar w:fldCharType="end"/>
        </w:r>
      </w:hyperlink>
    </w:p>
    <w:p w14:paraId="72F2501C" w14:textId="3B973299"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84" w:history="1">
        <w:r w:rsidR="00332F06" w:rsidRPr="00332F06">
          <w:rPr>
            <w:rStyle w:val="Hyperlink"/>
            <w:rFonts w:eastAsia="Cambria" w:cs="Calibri"/>
            <w:bCs/>
            <w:noProof/>
            <w:u w:val="none"/>
          </w:rPr>
          <w:t>Figure 7. Projected activation rates (High, Medium, Low and Minimum)</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_Toc16500984 \h </w:instrText>
        </w:r>
        <w:r w:rsidR="00332F06" w:rsidRPr="00332F06">
          <w:rPr>
            <w:noProof/>
            <w:webHidden/>
          </w:rPr>
        </w:r>
        <w:r w:rsidR="00332F06" w:rsidRPr="00332F06">
          <w:rPr>
            <w:noProof/>
            <w:webHidden/>
          </w:rPr>
          <w:fldChar w:fldCharType="separate"/>
        </w:r>
        <w:r w:rsidR="00181136">
          <w:rPr>
            <w:noProof/>
            <w:webHidden/>
          </w:rPr>
          <w:t>33</w:t>
        </w:r>
        <w:r w:rsidR="00332F06" w:rsidRPr="00332F06">
          <w:rPr>
            <w:noProof/>
            <w:webHidden/>
          </w:rPr>
          <w:fldChar w:fldCharType="end"/>
        </w:r>
      </w:hyperlink>
    </w:p>
    <w:p w14:paraId="54F8357C" w14:textId="7BB72B64"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85" w:history="1">
        <w:r w:rsidR="00332F06" w:rsidRPr="00332F06">
          <w:rPr>
            <w:rStyle w:val="Hyperlink"/>
            <w:rFonts w:eastAsia="Cambria" w:cs="Calibri"/>
            <w:bCs/>
            <w:noProof/>
            <w:u w:val="none"/>
          </w:rPr>
          <w:t>Figure 8. Projected peak demand and impact on peak demand (Medium activation) rates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_Toc16500985 \h </w:instrText>
        </w:r>
        <w:r w:rsidR="00332F06" w:rsidRPr="00332F06">
          <w:rPr>
            <w:noProof/>
            <w:webHidden/>
          </w:rPr>
        </w:r>
        <w:r w:rsidR="00332F06" w:rsidRPr="00332F06">
          <w:rPr>
            <w:noProof/>
            <w:webHidden/>
          </w:rPr>
          <w:fldChar w:fldCharType="separate"/>
        </w:r>
        <w:r w:rsidR="00181136">
          <w:rPr>
            <w:noProof/>
            <w:webHidden/>
          </w:rPr>
          <w:t>33</w:t>
        </w:r>
        <w:r w:rsidR="00332F06" w:rsidRPr="00332F06">
          <w:rPr>
            <w:noProof/>
            <w:webHidden/>
          </w:rPr>
          <w:fldChar w:fldCharType="end"/>
        </w:r>
      </w:hyperlink>
    </w:p>
    <w:p w14:paraId="5128C4DD" w14:textId="0B46E48F"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86" w:history="1">
        <w:r w:rsidR="00332F06" w:rsidRPr="00332F06">
          <w:rPr>
            <w:rStyle w:val="Hyperlink"/>
            <w:rFonts w:eastAsia="Cambria" w:cs="Calibri"/>
            <w:bCs/>
            <w:noProof/>
            <w:u w:val="none"/>
          </w:rPr>
          <w:t>Figure 9. Projected costs and benefits of the measure at various activation rates, Australia</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_Toc16500986 \h </w:instrText>
        </w:r>
        <w:r w:rsidR="00332F06" w:rsidRPr="00332F06">
          <w:rPr>
            <w:noProof/>
            <w:webHidden/>
          </w:rPr>
        </w:r>
        <w:r w:rsidR="00332F06" w:rsidRPr="00332F06">
          <w:rPr>
            <w:noProof/>
            <w:webHidden/>
          </w:rPr>
          <w:fldChar w:fldCharType="separate"/>
        </w:r>
        <w:r w:rsidR="00181136">
          <w:rPr>
            <w:noProof/>
            <w:webHidden/>
          </w:rPr>
          <w:t>34</w:t>
        </w:r>
        <w:r w:rsidR="00332F06" w:rsidRPr="00332F06">
          <w:rPr>
            <w:noProof/>
            <w:webHidden/>
          </w:rPr>
          <w:fldChar w:fldCharType="end"/>
        </w:r>
      </w:hyperlink>
    </w:p>
    <w:p w14:paraId="241544ED" w14:textId="52ED9936"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87" w:history="1">
        <w:r w:rsidR="00332F06" w:rsidRPr="00332F06">
          <w:rPr>
            <w:rStyle w:val="Hyperlink"/>
            <w:rFonts w:eastAsia="Cambria" w:cs="Calibri"/>
            <w:bCs/>
            <w:noProof/>
            <w:u w:val="none"/>
          </w:rPr>
          <w:t>Figure 10. High install-activation rate projections vs actual PeakSmart activation rates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_Toc16500987 \h </w:instrText>
        </w:r>
        <w:r w:rsidR="00332F06" w:rsidRPr="00332F06">
          <w:rPr>
            <w:noProof/>
            <w:webHidden/>
          </w:rPr>
        </w:r>
        <w:r w:rsidR="00332F06" w:rsidRPr="00332F06">
          <w:rPr>
            <w:noProof/>
            <w:webHidden/>
          </w:rPr>
          <w:fldChar w:fldCharType="separate"/>
        </w:r>
        <w:r w:rsidR="00181136">
          <w:rPr>
            <w:noProof/>
            <w:webHidden/>
          </w:rPr>
          <w:t>51</w:t>
        </w:r>
        <w:r w:rsidR="00332F06" w:rsidRPr="00332F06">
          <w:rPr>
            <w:noProof/>
            <w:webHidden/>
          </w:rPr>
          <w:fldChar w:fldCharType="end"/>
        </w:r>
      </w:hyperlink>
    </w:p>
    <w:p w14:paraId="5F020E7D" w14:textId="3B5B242B"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88" w:history="1">
        <w:r w:rsidR="00332F06" w:rsidRPr="00332F06">
          <w:rPr>
            <w:rStyle w:val="Hyperlink"/>
            <w:rFonts w:eastAsia="Cambria" w:cs="Calibri"/>
            <w:bCs/>
            <w:noProof/>
            <w:u w:val="none"/>
          </w:rPr>
          <w:t>Figure 11. Number of installation and post-installation air conditioner activations, medium activation rates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_Toc16500988 \h </w:instrText>
        </w:r>
        <w:r w:rsidR="00332F06" w:rsidRPr="00332F06">
          <w:rPr>
            <w:noProof/>
            <w:webHidden/>
          </w:rPr>
        </w:r>
        <w:r w:rsidR="00332F06" w:rsidRPr="00332F06">
          <w:rPr>
            <w:noProof/>
            <w:webHidden/>
          </w:rPr>
          <w:fldChar w:fldCharType="separate"/>
        </w:r>
        <w:r w:rsidR="00181136">
          <w:rPr>
            <w:noProof/>
            <w:webHidden/>
          </w:rPr>
          <w:t>52</w:t>
        </w:r>
        <w:r w:rsidR="00332F06" w:rsidRPr="00332F06">
          <w:rPr>
            <w:noProof/>
            <w:webHidden/>
          </w:rPr>
          <w:fldChar w:fldCharType="end"/>
        </w:r>
      </w:hyperlink>
    </w:p>
    <w:p w14:paraId="6CF2BBCE" w14:textId="0C6F0890"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89" w:history="1">
        <w:r w:rsidR="00332F06" w:rsidRPr="00332F06">
          <w:rPr>
            <w:rStyle w:val="Hyperlink"/>
            <w:rFonts w:eastAsia="Cambria" w:cs="Calibri"/>
            <w:bCs/>
            <w:noProof/>
            <w:u w:val="none"/>
          </w:rPr>
          <w:t>Figure 12. Projected emergency DR air conditioner load available as % of maximum demand, Medium activation rates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_Toc16500989 \h </w:instrText>
        </w:r>
        <w:r w:rsidR="00332F06" w:rsidRPr="00332F06">
          <w:rPr>
            <w:noProof/>
            <w:webHidden/>
          </w:rPr>
        </w:r>
        <w:r w:rsidR="00332F06" w:rsidRPr="00332F06">
          <w:rPr>
            <w:noProof/>
            <w:webHidden/>
          </w:rPr>
          <w:fldChar w:fldCharType="separate"/>
        </w:r>
        <w:r w:rsidR="00181136">
          <w:rPr>
            <w:noProof/>
            <w:webHidden/>
          </w:rPr>
          <w:t>53</w:t>
        </w:r>
        <w:r w:rsidR="00332F06" w:rsidRPr="00332F06">
          <w:rPr>
            <w:noProof/>
            <w:webHidden/>
          </w:rPr>
          <w:fldChar w:fldCharType="end"/>
        </w:r>
      </w:hyperlink>
    </w:p>
    <w:p w14:paraId="3186F224" w14:textId="25A1ED3B" w:rsidR="00A37634" w:rsidRPr="00A37634" w:rsidRDefault="00A37634" w:rsidP="00A37634">
      <w:pPr>
        <w:spacing w:after="0" w:line="240" w:lineRule="auto"/>
        <w:rPr>
          <w:rFonts w:ascii="Calibri" w:eastAsia="Calibri" w:hAnsi="Calibri" w:cs="Calibri"/>
          <w:szCs w:val="20"/>
          <w:lang w:val="en-AU"/>
        </w:rPr>
      </w:pPr>
      <w:r w:rsidRPr="00A37634">
        <w:rPr>
          <w:rFonts w:ascii="Calibri" w:eastAsia="Calibri" w:hAnsi="Calibri" w:cs="Calibri"/>
          <w:szCs w:val="20"/>
          <w:lang w:val="en-AU"/>
        </w:rPr>
        <w:fldChar w:fldCharType="end"/>
      </w:r>
      <w:r w:rsidRPr="00A37634">
        <w:rPr>
          <w:rFonts w:ascii="Calibri" w:eastAsia="Calibri" w:hAnsi="Calibri" w:cs="Calibri"/>
          <w:szCs w:val="20"/>
          <w:lang w:val="en-AU"/>
        </w:rPr>
        <w:t xml:space="preserve"> </w:t>
      </w:r>
    </w:p>
    <w:p w14:paraId="6A127F91" w14:textId="3F4CE06E" w:rsidR="00332F06" w:rsidRPr="00332F06" w:rsidRDefault="00A37634">
      <w:pPr>
        <w:pStyle w:val="TableofFigures"/>
        <w:tabs>
          <w:tab w:val="right" w:leader="dot" w:pos="9620"/>
        </w:tabs>
        <w:rPr>
          <w:rFonts w:asciiTheme="minorHAnsi" w:eastAsiaTheme="minorEastAsia" w:hAnsiTheme="minorHAnsi" w:cstheme="minorBidi"/>
          <w:noProof/>
          <w:szCs w:val="22"/>
          <w:lang w:eastAsia="en-AU"/>
        </w:rPr>
      </w:pPr>
      <w:r w:rsidRPr="00A37634">
        <w:rPr>
          <w:rFonts w:eastAsia="Calibri" w:cs="Calibri"/>
        </w:rPr>
        <w:fldChar w:fldCharType="begin"/>
      </w:r>
      <w:r w:rsidRPr="00A37634">
        <w:rPr>
          <w:rFonts w:eastAsia="Calibri" w:cs="Calibri"/>
        </w:rPr>
        <w:instrText xml:space="preserve"> TOC \h \z \c "Table" </w:instrText>
      </w:r>
      <w:r w:rsidRPr="00A37634">
        <w:rPr>
          <w:rFonts w:eastAsia="Calibri" w:cs="Calibri"/>
        </w:rPr>
        <w:fldChar w:fldCharType="separate"/>
      </w:r>
      <w:hyperlink w:anchor="_Toc16500992" w:history="1">
        <w:r w:rsidR="00332F06" w:rsidRPr="00332F06">
          <w:rPr>
            <w:rStyle w:val="Hyperlink"/>
            <w:rFonts w:eastAsia="Cambria" w:cs="Calibri"/>
            <w:bCs/>
            <w:noProof/>
            <w:u w:val="none"/>
          </w:rPr>
          <w:t>Table 1. Types of Demand Response in the NEM</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_Toc16500992 \h </w:instrText>
        </w:r>
        <w:r w:rsidR="00332F06" w:rsidRPr="00332F06">
          <w:rPr>
            <w:noProof/>
            <w:webHidden/>
          </w:rPr>
        </w:r>
        <w:r w:rsidR="00332F06" w:rsidRPr="00332F06">
          <w:rPr>
            <w:noProof/>
            <w:webHidden/>
          </w:rPr>
          <w:fldChar w:fldCharType="separate"/>
        </w:r>
        <w:r w:rsidR="00181136">
          <w:rPr>
            <w:noProof/>
            <w:webHidden/>
          </w:rPr>
          <w:t>20</w:t>
        </w:r>
        <w:r w:rsidR="00332F06" w:rsidRPr="00332F06">
          <w:rPr>
            <w:noProof/>
            <w:webHidden/>
          </w:rPr>
          <w:fldChar w:fldCharType="end"/>
        </w:r>
      </w:hyperlink>
    </w:p>
    <w:p w14:paraId="62B4CB85" w14:textId="61B7C777"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93" w:history="1">
        <w:r w:rsidR="00332F06" w:rsidRPr="00332F06">
          <w:rPr>
            <w:rStyle w:val="Hyperlink"/>
            <w:rFonts w:eastAsia="Cambria" w:cs="Calibri"/>
            <w:bCs/>
            <w:noProof/>
            <w:u w:val="none"/>
          </w:rPr>
          <w:t>Table 2. Proposed mandatory Demand Response Modes in AS/NZS 4755</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_Toc16500993 \h </w:instrText>
        </w:r>
        <w:r w:rsidR="00332F06" w:rsidRPr="00332F06">
          <w:rPr>
            <w:noProof/>
            <w:webHidden/>
          </w:rPr>
        </w:r>
        <w:r w:rsidR="00332F06" w:rsidRPr="00332F06">
          <w:rPr>
            <w:noProof/>
            <w:webHidden/>
          </w:rPr>
          <w:fldChar w:fldCharType="separate"/>
        </w:r>
        <w:r w:rsidR="00181136">
          <w:rPr>
            <w:noProof/>
            <w:webHidden/>
          </w:rPr>
          <w:t>28</w:t>
        </w:r>
        <w:r w:rsidR="00332F06" w:rsidRPr="00332F06">
          <w:rPr>
            <w:noProof/>
            <w:webHidden/>
          </w:rPr>
          <w:fldChar w:fldCharType="end"/>
        </w:r>
      </w:hyperlink>
    </w:p>
    <w:p w14:paraId="4CF09218" w14:textId="66596B33"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94" w:history="1">
        <w:r w:rsidR="00332F06" w:rsidRPr="00332F06">
          <w:rPr>
            <w:rStyle w:val="Hyperlink"/>
            <w:rFonts w:eastAsia="Cambria" w:cs="Calibri"/>
            <w:bCs/>
            <w:noProof/>
            <w:u w:val="none"/>
          </w:rPr>
          <w:t>Table 3. Benefit/Cost ratio variations by discount rate and appliance type, Australia</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_Toc16500994 \h </w:instrText>
        </w:r>
        <w:r w:rsidR="00332F06" w:rsidRPr="00332F06">
          <w:rPr>
            <w:noProof/>
            <w:webHidden/>
          </w:rPr>
        </w:r>
        <w:r w:rsidR="00332F06" w:rsidRPr="00332F06">
          <w:rPr>
            <w:noProof/>
            <w:webHidden/>
          </w:rPr>
          <w:fldChar w:fldCharType="separate"/>
        </w:r>
        <w:r w:rsidR="00181136">
          <w:rPr>
            <w:noProof/>
            <w:webHidden/>
          </w:rPr>
          <w:t>35</w:t>
        </w:r>
        <w:r w:rsidR="00332F06" w:rsidRPr="00332F06">
          <w:rPr>
            <w:noProof/>
            <w:webHidden/>
          </w:rPr>
          <w:fldChar w:fldCharType="end"/>
        </w:r>
      </w:hyperlink>
    </w:p>
    <w:p w14:paraId="44218852" w14:textId="34548FB7"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95" w:history="1">
        <w:r w:rsidR="00332F06" w:rsidRPr="00332F06">
          <w:rPr>
            <w:rStyle w:val="Hyperlink"/>
            <w:rFonts w:eastAsia="Cambria" w:cs="Calibri"/>
            <w:bCs/>
            <w:noProof/>
            <w:u w:val="none"/>
          </w:rPr>
          <w:t>Table 4. Benefit/Cost ratio variations by discount rate and appliance type, New Zealand</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_Toc16500995 \h </w:instrText>
        </w:r>
        <w:r w:rsidR="00332F06" w:rsidRPr="00332F06">
          <w:rPr>
            <w:noProof/>
            <w:webHidden/>
          </w:rPr>
        </w:r>
        <w:r w:rsidR="00332F06" w:rsidRPr="00332F06">
          <w:rPr>
            <w:noProof/>
            <w:webHidden/>
          </w:rPr>
          <w:fldChar w:fldCharType="separate"/>
        </w:r>
        <w:r w:rsidR="00181136">
          <w:rPr>
            <w:noProof/>
            <w:webHidden/>
          </w:rPr>
          <w:t>35</w:t>
        </w:r>
        <w:r w:rsidR="00332F06" w:rsidRPr="00332F06">
          <w:rPr>
            <w:noProof/>
            <w:webHidden/>
          </w:rPr>
          <w:fldChar w:fldCharType="end"/>
        </w:r>
      </w:hyperlink>
    </w:p>
    <w:p w14:paraId="55779751" w14:textId="2524B259"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96" w:history="1">
        <w:r w:rsidR="00332F06" w:rsidRPr="00332F06">
          <w:rPr>
            <w:rStyle w:val="Hyperlink"/>
            <w:rFonts w:eastAsia="Cambria" w:cs="Calibri"/>
            <w:bCs/>
            <w:noProof/>
            <w:u w:val="none"/>
          </w:rPr>
          <w:t>Table 5. Projected costs and benefits by jurisdiction (low activation)</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_Toc16500996 \h </w:instrText>
        </w:r>
        <w:r w:rsidR="00332F06" w:rsidRPr="00332F06">
          <w:rPr>
            <w:noProof/>
            <w:webHidden/>
          </w:rPr>
        </w:r>
        <w:r w:rsidR="00332F06" w:rsidRPr="00332F06">
          <w:rPr>
            <w:noProof/>
            <w:webHidden/>
          </w:rPr>
          <w:fldChar w:fldCharType="separate"/>
        </w:r>
        <w:r w:rsidR="00181136">
          <w:rPr>
            <w:noProof/>
            <w:webHidden/>
          </w:rPr>
          <w:t>35</w:t>
        </w:r>
        <w:r w:rsidR="00332F06" w:rsidRPr="00332F06">
          <w:rPr>
            <w:noProof/>
            <w:webHidden/>
          </w:rPr>
          <w:fldChar w:fldCharType="end"/>
        </w:r>
      </w:hyperlink>
    </w:p>
    <w:p w14:paraId="67F4DCFC" w14:textId="60F45513"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97" w:history="1">
        <w:r w:rsidR="00332F06" w:rsidRPr="00332F06">
          <w:rPr>
            <w:rStyle w:val="Hyperlink"/>
            <w:rFonts w:eastAsia="Cambria" w:cs="Calibri"/>
            <w:bCs/>
            <w:noProof/>
            <w:u w:val="none"/>
          </w:rPr>
          <w:t>Table 6. Projected costs and benefits by jurisdiction (medium activation)</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_Toc16500997 \h </w:instrText>
        </w:r>
        <w:r w:rsidR="00332F06" w:rsidRPr="00332F06">
          <w:rPr>
            <w:noProof/>
            <w:webHidden/>
          </w:rPr>
        </w:r>
        <w:r w:rsidR="00332F06" w:rsidRPr="00332F06">
          <w:rPr>
            <w:noProof/>
            <w:webHidden/>
          </w:rPr>
          <w:fldChar w:fldCharType="separate"/>
        </w:r>
        <w:r w:rsidR="00181136">
          <w:rPr>
            <w:noProof/>
            <w:webHidden/>
          </w:rPr>
          <w:t>36</w:t>
        </w:r>
        <w:r w:rsidR="00332F06" w:rsidRPr="00332F06">
          <w:rPr>
            <w:noProof/>
            <w:webHidden/>
          </w:rPr>
          <w:fldChar w:fldCharType="end"/>
        </w:r>
      </w:hyperlink>
    </w:p>
    <w:p w14:paraId="37CE923A" w14:textId="35CEC46F"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98" w:history="1">
        <w:r w:rsidR="00332F06" w:rsidRPr="00332F06">
          <w:rPr>
            <w:rStyle w:val="Hyperlink"/>
            <w:rFonts w:eastAsia="Cambria" w:cs="Calibri"/>
            <w:bCs/>
            <w:noProof/>
            <w:u w:val="none"/>
          </w:rPr>
          <w:t>Table 7. Projected costs and benefits by jurisdiction (high activation)</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_Toc16500998 \h </w:instrText>
        </w:r>
        <w:r w:rsidR="00332F06" w:rsidRPr="00332F06">
          <w:rPr>
            <w:noProof/>
            <w:webHidden/>
          </w:rPr>
        </w:r>
        <w:r w:rsidR="00332F06" w:rsidRPr="00332F06">
          <w:rPr>
            <w:noProof/>
            <w:webHidden/>
          </w:rPr>
          <w:fldChar w:fldCharType="separate"/>
        </w:r>
        <w:r w:rsidR="00181136">
          <w:rPr>
            <w:noProof/>
            <w:webHidden/>
          </w:rPr>
          <w:t>36</w:t>
        </w:r>
        <w:r w:rsidR="00332F06" w:rsidRPr="00332F06">
          <w:rPr>
            <w:noProof/>
            <w:webHidden/>
          </w:rPr>
          <w:fldChar w:fldCharType="end"/>
        </w:r>
      </w:hyperlink>
    </w:p>
    <w:p w14:paraId="0ACC9D61" w14:textId="73BC3547"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0999" w:history="1">
        <w:r w:rsidR="00332F06" w:rsidRPr="00332F06">
          <w:rPr>
            <w:rStyle w:val="Hyperlink"/>
            <w:rFonts w:eastAsia="Cambria" w:cs="Calibri"/>
            <w:bCs/>
            <w:noProof/>
            <w:u w:val="none"/>
          </w:rPr>
          <w:t>Table 8. Projected costs and benefits by appliance, Australia (low activation)</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_Toc16500999 \h </w:instrText>
        </w:r>
        <w:r w:rsidR="00332F06" w:rsidRPr="00332F06">
          <w:rPr>
            <w:noProof/>
            <w:webHidden/>
          </w:rPr>
        </w:r>
        <w:r w:rsidR="00332F06" w:rsidRPr="00332F06">
          <w:rPr>
            <w:noProof/>
            <w:webHidden/>
          </w:rPr>
          <w:fldChar w:fldCharType="separate"/>
        </w:r>
        <w:r w:rsidR="00181136">
          <w:rPr>
            <w:noProof/>
            <w:webHidden/>
          </w:rPr>
          <w:t>37</w:t>
        </w:r>
        <w:r w:rsidR="00332F06" w:rsidRPr="00332F06">
          <w:rPr>
            <w:noProof/>
            <w:webHidden/>
          </w:rPr>
          <w:fldChar w:fldCharType="end"/>
        </w:r>
      </w:hyperlink>
    </w:p>
    <w:p w14:paraId="66BE51B3" w14:textId="4F07BD3B"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1000" w:history="1">
        <w:r w:rsidR="00332F06" w:rsidRPr="00332F06">
          <w:rPr>
            <w:rStyle w:val="Hyperlink"/>
            <w:rFonts w:eastAsia="Cambria" w:cs="Calibri"/>
            <w:bCs/>
            <w:noProof/>
            <w:u w:val="none"/>
          </w:rPr>
          <w:t>Table 9. Projected costs and benefits by appliance, Australia (medium activation)</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_Toc16501000 \h </w:instrText>
        </w:r>
        <w:r w:rsidR="00332F06" w:rsidRPr="00332F06">
          <w:rPr>
            <w:noProof/>
            <w:webHidden/>
          </w:rPr>
        </w:r>
        <w:r w:rsidR="00332F06" w:rsidRPr="00332F06">
          <w:rPr>
            <w:noProof/>
            <w:webHidden/>
          </w:rPr>
          <w:fldChar w:fldCharType="separate"/>
        </w:r>
        <w:r w:rsidR="00181136">
          <w:rPr>
            <w:noProof/>
            <w:webHidden/>
          </w:rPr>
          <w:t>37</w:t>
        </w:r>
        <w:r w:rsidR="00332F06" w:rsidRPr="00332F06">
          <w:rPr>
            <w:noProof/>
            <w:webHidden/>
          </w:rPr>
          <w:fldChar w:fldCharType="end"/>
        </w:r>
      </w:hyperlink>
    </w:p>
    <w:p w14:paraId="2E513A76" w14:textId="7378C2F7"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1001" w:history="1">
        <w:r w:rsidR="00332F06" w:rsidRPr="00332F06">
          <w:rPr>
            <w:rStyle w:val="Hyperlink"/>
            <w:rFonts w:eastAsia="Cambria" w:cs="Calibri"/>
            <w:bCs/>
            <w:noProof/>
            <w:u w:val="none"/>
          </w:rPr>
          <w:t>Table 10. Projected costs and benefits by appliance Australia (high activation)</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_Toc16501001 \h </w:instrText>
        </w:r>
        <w:r w:rsidR="00332F06" w:rsidRPr="00332F06">
          <w:rPr>
            <w:noProof/>
            <w:webHidden/>
          </w:rPr>
        </w:r>
        <w:r w:rsidR="00332F06" w:rsidRPr="00332F06">
          <w:rPr>
            <w:noProof/>
            <w:webHidden/>
          </w:rPr>
          <w:fldChar w:fldCharType="separate"/>
        </w:r>
        <w:r w:rsidR="00181136">
          <w:rPr>
            <w:noProof/>
            <w:webHidden/>
          </w:rPr>
          <w:t>37</w:t>
        </w:r>
        <w:r w:rsidR="00332F06" w:rsidRPr="00332F06">
          <w:rPr>
            <w:noProof/>
            <w:webHidden/>
          </w:rPr>
          <w:fldChar w:fldCharType="end"/>
        </w:r>
      </w:hyperlink>
    </w:p>
    <w:p w14:paraId="7D3C930F" w14:textId="779E8E28"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1002" w:history="1">
        <w:r w:rsidR="00332F06" w:rsidRPr="00332F06">
          <w:rPr>
            <w:rStyle w:val="Hyperlink"/>
            <w:rFonts w:eastAsia="Cambria" w:cs="Calibri"/>
            <w:bCs/>
            <w:noProof/>
            <w:u w:val="none"/>
          </w:rPr>
          <w:t>Table 11. Projected costs and benefits by appliance, New Zealand (low activation)</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_Toc16501002 \h </w:instrText>
        </w:r>
        <w:r w:rsidR="00332F06" w:rsidRPr="00332F06">
          <w:rPr>
            <w:noProof/>
            <w:webHidden/>
          </w:rPr>
        </w:r>
        <w:r w:rsidR="00332F06" w:rsidRPr="00332F06">
          <w:rPr>
            <w:noProof/>
            <w:webHidden/>
          </w:rPr>
          <w:fldChar w:fldCharType="separate"/>
        </w:r>
        <w:r w:rsidR="00181136">
          <w:rPr>
            <w:noProof/>
            <w:webHidden/>
          </w:rPr>
          <w:t>38</w:t>
        </w:r>
        <w:r w:rsidR="00332F06" w:rsidRPr="00332F06">
          <w:rPr>
            <w:noProof/>
            <w:webHidden/>
          </w:rPr>
          <w:fldChar w:fldCharType="end"/>
        </w:r>
      </w:hyperlink>
    </w:p>
    <w:p w14:paraId="17E2B09F" w14:textId="2B2E6F0D"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1003" w:history="1">
        <w:r w:rsidR="00332F06" w:rsidRPr="00332F06">
          <w:rPr>
            <w:rStyle w:val="Hyperlink"/>
            <w:rFonts w:eastAsia="Cambria" w:cs="Calibri"/>
            <w:bCs/>
            <w:noProof/>
            <w:u w:val="none"/>
          </w:rPr>
          <w:t>Table 12. Projected costs and benefits by appliance, New Zealand (medium activation)</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_Toc16501003 \h </w:instrText>
        </w:r>
        <w:r w:rsidR="00332F06" w:rsidRPr="00332F06">
          <w:rPr>
            <w:noProof/>
            <w:webHidden/>
          </w:rPr>
        </w:r>
        <w:r w:rsidR="00332F06" w:rsidRPr="00332F06">
          <w:rPr>
            <w:noProof/>
            <w:webHidden/>
          </w:rPr>
          <w:fldChar w:fldCharType="separate"/>
        </w:r>
        <w:r w:rsidR="00181136">
          <w:rPr>
            <w:noProof/>
            <w:webHidden/>
          </w:rPr>
          <w:t>38</w:t>
        </w:r>
        <w:r w:rsidR="00332F06" w:rsidRPr="00332F06">
          <w:rPr>
            <w:noProof/>
            <w:webHidden/>
          </w:rPr>
          <w:fldChar w:fldCharType="end"/>
        </w:r>
      </w:hyperlink>
    </w:p>
    <w:p w14:paraId="6E9E7523" w14:textId="1FA0669A"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1004" w:history="1">
        <w:r w:rsidR="00332F06" w:rsidRPr="00332F06">
          <w:rPr>
            <w:rStyle w:val="Hyperlink"/>
            <w:rFonts w:eastAsia="Cambria" w:cs="Calibri"/>
            <w:bCs/>
            <w:noProof/>
            <w:u w:val="none"/>
          </w:rPr>
          <w:t>Table 13. Projected costs and benefits by appliance. New Zealand, Australia (high activation)</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_Toc16501004 \h </w:instrText>
        </w:r>
        <w:r w:rsidR="00332F06" w:rsidRPr="00332F06">
          <w:rPr>
            <w:noProof/>
            <w:webHidden/>
          </w:rPr>
        </w:r>
        <w:r w:rsidR="00332F06" w:rsidRPr="00332F06">
          <w:rPr>
            <w:noProof/>
            <w:webHidden/>
          </w:rPr>
          <w:fldChar w:fldCharType="separate"/>
        </w:r>
        <w:r w:rsidR="00181136">
          <w:rPr>
            <w:noProof/>
            <w:webHidden/>
          </w:rPr>
          <w:t>38</w:t>
        </w:r>
        <w:r w:rsidR="00332F06" w:rsidRPr="00332F06">
          <w:rPr>
            <w:noProof/>
            <w:webHidden/>
          </w:rPr>
          <w:fldChar w:fldCharType="end"/>
        </w:r>
      </w:hyperlink>
    </w:p>
    <w:p w14:paraId="5000B474" w14:textId="24459AFB"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1005" w:history="1">
        <w:r w:rsidR="00332F06" w:rsidRPr="00332F06">
          <w:rPr>
            <w:rStyle w:val="Hyperlink"/>
            <w:rFonts w:eastAsia="Cambria" w:cs="Calibri"/>
            <w:bCs/>
            <w:noProof/>
            <w:u w:val="none"/>
          </w:rPr>
          <w:t>Table 14. Estimated investment required per marginal peak load kW</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_Toc16501005 \h </w:instrText>
        </w:r>
        <w:r w:rsidR="00332F06" w:rsidRPr="00332F06">
          <w:rPr>
            <w:noProof/>
            <w:webHidden/>
          </w:rPr>
        </w:r>
        <w:r w:rsidR="00332F06" w:rsidRPr="00332F06">
          <w:rPr>
            <w:noProof/>
            <w:webHidden/>
          </w:rPr>
          <w:fldChar w:fldCharType="separate"/>
        </w:r>
        <w:r w:rsidR="00181136">
          <w:rPr>
            <w:noProof/>
            <w:webHidden/>
          </w:rPr>
          <w:t>47</w:t>
        </w:r>
        <w:r w:rsidR="00332F06" w:rsidRPr="00332F06">
          <w:rPr>
            <w:noProof/>
            <w:webHidden/>
          </w:rPr>
          <w:fldChar w:fldCharType="end"/>
        </w:r>
      </w:hyperlink>
    </w:p>
    <w:p w14:paraId="46179FFB" w14:textId="3B6813BE"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1006" w:history="1">
        <w:r w:rsidR="00332F06" w:rsidRPr="00332F06">
          <w:rPr>
            <w:rStyle w:val="Hyperlink"/>
            <w:rFonts w:eastAsia="Cambria" w:cs="Calibri"/>
            <w:bCs/>
            <w:noProof/>
            <w:u w:val="none"/>
          </w:rPr>
          <w:t>Table 15. Load reduction available from participating appliances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_Toc16501006 \h </w:instrText>
        </w:r>
        <w:r w:rsidR="00332F06" w:rsidRPr="00332F06">
          <w:rPr>
            <w:noProof/>
            <w:webHidden/>
          </w:rPr>
        </w:r>
        <w:r w:rsidR="00332F06" w:rsidRPr="00332F06">
          <w:rPr>
            <w:noProof/>
            <w:webHidden/>
          </w:rPr>
          <w:fldChar w:fldCharType="separate"/>
        </w:r>
        <w:r w:rsidR="00181136">
          <w:rPr>
            <w:noProof/>
            <w:webHidden/>
          </w:rPr>
          <w:t>48</w:t>
        </w:r>
        <w:r w:rsidR="00332F06" w:rsidRPr="00332F06">
          <w:rPr>
            <w:noProof/>
            <w:webHidden/>
          </w:rPr>
          <w:fldChar w:fldCharType="end"/>
        </w:r>
      </w:hyperlink>
    </w:p>
    <w:p w14:paraId="136131DC" w14:textId="431D84D4"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1007" w:history="1">
        <w:r w:rsidR="00332F06" w:rsidRPr="00332F06">
          <w:rPr>
            <w:rStyle w:val="Hyperlink"/>
            <w:rFonts w:eastAsia="Cambria" w:cs="Calibri"/>
            <w:bCs/>
            <w:noProof/>
            <w:u w:val="none"/>
          </w:rPr>
          <w:t>Table 16. Demand response costs and benefits quantified in this RIS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_Toc16501007 \h </w:instrText>
        </w:r>
        <w:r w:rsidR="00332F06" w:rsidRPr="00332F06">
          <w:rPr>
            <w:noProof/>
            <w:webHidden/>
          </w:rPr>
        </w:r>
        <w:r w:rsidR="00332F06" w:rsidRPr="00332F06">
          <w:rPr>
            <w:noProof/>
            <w:webHidden/>
          </w:rPr>
          <w:fldChar w:fldCharType="separate"/>
        </w:r>
        <w:r w:rsidR="00181136">
          <w:rPr>
            <w:noProof/>
            <w:webHidden/>
          </w:rPr>
          <w:t>49</w:t>
        </w:r>
        <w:r w:rsidR="00332F06" w:rsidRPr="00332F06">
          <w:rPr>
            <w:noProof/>
            <w:webHidden/>
          </w:rPr>
          <w:fldChar w:fldCharType="end"/>
        </w:r>
      </w:hyperlink>
    </w:p>
    <w:p w14:paraId="12C277F3" w14:textId="11C8551F"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1008" w:history="1">
        <w:r w:rsidR="00332F06" w:rsidRPr="00332F06">
          <w:rPr>
            <w:rStyle w:val="Hyperlink"/>
            <w:rFonts w:eastAsia="Cambria" w:cs="Calibri"/>
            <w:bCs/>
            <w:noProof/>
            <w:u w:val="none"/>
          </w:rPr>
          <w:t>Table 17. Summary of assumptions used to calculate benefits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_Toc16501008 \h </w:instrText>
        </w:r>
        <w:r w:rsidR="00332F06" w:rsidRPr="00332F06">
          <w:rPr>
            <w:noProof/>
            <w:webHidden/>
          </w:rPr>
        </w:r>
        <w:r w:rsidR="00332F06" w:rsidRPr="00332F06">
          <w:rPr>
            <w:noProof/>
            <w:webHidden/>
          </w:rPr>
          <w:fldChar w:fldCharType="separate"/>
        </w:r>
        <w:r w:rsidR="00181136">
          <w:rPr>
            <w:noProof/>
            <w:webHidden/>
          </w:rPr>
          <w:t>54</w:t>
        </w:r>
        <w:r w:rsidR="00332F06" w:rsidRPr="00332F06">
          <w:rPr>
            <w:noProof/>
            <w:webHidden/>
          </w:rPr>
          <w:fldChar w:fldCharType="end"/>
        </w:r>
      </w:hyperlink>
    </w:p>
    <w:p w14:paraId="49807381" w14:textId="4EAE1582"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1009" w:history="1">
        <w:r w:rsidR="00332F06" w:rsidRPr="00332F06">
          <w:rPr>
            <w:rStyle w:val="Hyperlink"/>
            <w:rFonts w:eastAsia="Cambria" w:cs="Calibri"/>
            <w:bCs/>
            <w:noProof/>
            <w:u w:val="none"/>
          </w:rPr>
          <w:t>Table 18. Parts of AS/NZS 4755 Demand response capabilities and supporting technologies for electrical products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_Toc16501009 \h </w:instrText>
        </w:r>
        <w:r w:rsidR="00332F06" w:rsidRPr="00332F06">
          <w:rPr>
            <w:noProof/>
            <w:webHidden/>
          </w:rPr>
        </w:r>
        <w:r w:rsidR="00332F06" w:rsidRPr="00332F06">
          <w:rPr>
            <w:noProof/>
            <w:webHidden/>
          </w:rPr>
          <w:fldChar w:fldCharType="separate"/>
        </w:r>
        <w:r w:rsidR="00181136">
          <w:rPr>
            <w:noProof/>
            <w:webHidden/>
          </w:rPr>
          <w:t>56</w:t>
        </w:r>
        <w:r w:rsidR="00332F06" w:rsidRPr="00332F06">
          <w:rPr>
            <w:noProof/>
            <w:webHidden/>
          </w:rPr>
          <w:fldChar w:fldCharType="end"/>
        </w:r>
      </w:hyperlink>
    </w:p>
    <w:p w14:paraId="5FDBE79D" w14:textId="3AF1CC75"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1010" w:history="1">
        <w:r w:rsidR="00332F06" w:rsidRPr="00332F06">
          <w:rPr>
            <w:rStyle w:val="Hyperlink"/>
            <w:rFonts w:eastAsia="Cambria" w:cs="Calibri"/>
            <w:bCs/>
            <w:noProof/>
            <w:u w:val="none"/>
          </w:rPr>
          <w:t>Table 19. Air conditioner types installed in homes, Australia and USA</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_Toc16501010 \h </w:instrText>
        </w:r>
        <w:r w:rsidR="00332F06" w:rsidRPr="00332F06">
          <w:rPr>
            <w:noProof/>
            <w:webHidden/>
          </w:rPr>
        </w:r>
        <w:r w:rsidR="00332F06" w:rsidRPr="00332F06">
          <w:rPr>
            <w:noProof/>
            <w:webHidden/>
          </w:rPr>
          <w:fldChar w:fldCharType="separate"/>
        </w:r>
        <w:r w:rsidR="00181136">
          <w:rPr>
            <w:noProof/>
            <w:webHidden/>
          </w:rPr>
          <w:t>57</w:t>
        </w:r>
        <w:r w:rsidR="00332F06" w:rsidRPr="00332F06">
          <w:rPr>
            <w:noProof/>
            <w:webHidden/>
          </w:rPr>
          <w:fldChar w:fldCharType="end"/>
        </w:r>
      </w:hyperlink>
    </w:p>
    <w:p w14:paraId="12516461" w14:textId="78529A0F" w:rsidR="00332F06" w:rsidRPr="00332F06" w:rsidRDefault="00593F8A">
      <w:pPr>
        <w:pStyle w:val="TableofFigures"/>
        <w:tabs>
          <w:tab w:val="right" w:leader="dot" w:pos="9620"/>
        </w:tabs>
        <w:rPr>
          <w:rFonts w:asciiTheme="minorHAnsi" w:eastAsiaTheme="minorEastAsia" w:hAnsiTheme="minorHAnsi" w:cstheme="minorBidi"/>
          <w:noProof/>
          <w:szCs w:val="22"/>
          <w:lang w:eastAsia="en-AU"/>
        </w:rPr>
      </w:pPr>
      <w:hyperlink w:anchor="_Toc16501011" w:history="1">
        <w:r w:rsidR="00332F06" w:rsidRPr="00332F06">
          <w:rPr>
            <w:rStyle w:val="Hyperlink"/>
            <w:rFonts w:eastAsia="Cambria" w:cs="Calibri"/>
            <w:bCs/>
            <w:noProof/>
            <w:u w:val="none"/>
          </w:rPr>
          <w:t>Table 20. Product types covered by published standards for ‘connected’ or ‘smart’ products</w:t>
        </w:r>
        <w:r w:rsidR="00332F06" w:rsidRPr="00332F06">
          <w:rPr>
            <w:noProof/>
            <w:webHidden/>
          </w:rPr>
          <w:tab/>
        </w:r>
        <w:r w:rsidR="00332F06" w:rsidRPr="00332F06">
          <w:rPr>
            <w:noProof/>
            <w:webHidden/>
          </w:rPr>
          <w:fldChar w:fldCharType="begin"/>
        </w:r>
        <w:r w:rsidR="00332F06" w:rsidRPr="00332F06">
          <w:rPr>
            <w:noProof/>
            <w:webHidden/>
          </w:rPr>
          <w:instrText xml:space="preserve"> PAGEREF _Toc16501011 \h </w:instrText>
        </w:r>
        <w:r w:rsidR="00332F06" w:rsidRPr="00332F06">
          <w:rPr>
            <w:noProof/>
            <w:webHidden/>
          </w:rPr>
        </w:r>
        <w:r w:rsidR="00332F06" w:rsidRPr="00332F06">
          <w:rPr>
            <w:noProof/>
            <w:webHidden/>
          </w:rPr>
          <w:fldChar w:fldCharType="separate"/>
        </w:r>
        <w:r w:rsidR="00181136">
          <w:rPr>
            <w:noProof/>
            <w:webHidden/>
          </w:rPr>
          <w:t>58</w:t>
        </w:r>
        <w:r w:rsidR="00332F06" w:rsidRPr="00332F06">
          <w:rPr>
            <w:noProof/>
            <w:webHidden/>
          </w:rPr>
          <w:fldChar w:fldCharType="end"/>
        </w:r>
      </w:hyperlink>
    </w:p>
    <w:p w14:paraId="24BBFE46" w14:textId="1C8D0C03" w:rsidR="00A37634" w:rsidRPr="00A37634" w:rsidRDefault="00A37634" w:rsidP="00A37634">
      <w:pPr>
        <w:spacing w:after="0" w:line="240" w:lineRule="auto"/>
        <w:rPr>
          <w:rFonts w:ascii="Calibri" w:eastAsia="Calibri" w:hAnsi="Calibri" w:cs="Calibri"/>
          <w:szCs w:val="20"/>
          <w:lang w:val="en-AU"/>
        </w:rPr>
      </w:pPr>
      <w:r w:rsidRPr="00A37634">
        <w:rPr>
          <w:rFonts w:ascii="Calibri" w:eastAsia="Calibri" w:hAnsi="Calibri" w:cs="Calibri"/>
          <w:szCs w:val="20"/>
          <w:lang w:val="en-AU"/>
        </w:rPr>
        <w:fldChar w:fldCharType="end"/>
      </w:r>
    </w:p>
    <w:p w14:paraId="5B1697DF" w14:textId="77777777" w:rsidR="00A37634" w:rsidRPr="00A37634" w:rsidRDefault="00A37634" w:rsidP="00A37634">
      <w:pPr>
        <w:keepNext/>
        <w:keepLines/>
        <w:pageBreakBefore/>
        <w:spacing w:before="200" w:after="600" w:line="240" w:lineRule="auto"/>
        <w:outlineLvl w:val="1"/>
        <w:rPr>
          <w:rFonts w:ascii="Calibri" w:eastAsia="Times New Roman" w:hAnsi="Calibri" w:cs="Calibri"/>
          <w:b/>
          <w:bCs/>
          <w:color w:val="FF0000"/>
          <w:sz w:val="50"/>
          <w:szCs w:val="50"/>
          <w:lang w:val="en-AU"/>
        </w:rPr>
      </w:pPr>
      <w:bookmarkStart w:id="8" w:name="_Toc16500968"/>
      <w:r w:rsidRPr="00A37634">
        <w:rPr>
          <w:rFonts w:ascii="Calibri" w:eastAsia="Times New Roman" w:hAnsi="Calibri" w:cs="Calibri"/>
          <w:b/>
          <w:bCs/>
          <w:color w:val="FF0000"/>
          <w:sz w:val="50"/>
          <w:szCs w:val="50"/>
          <w:lang w:val="en-AU"/>
        </w:rPr>
        <w:t>Glossary</w:t>
      </w:r>
      <w:bookmarkEnd w:id="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800"/>
        <w:gridCol w:w="7820"/>
        <w:gridCol w:w="9"/>
      </w:tblGrid>
      <w:tr w:rsidR="00A37634" w:rsidRPr="00A37634" w14:paraId="36E4A759" w14:textId="77777777" w:rsidTr="007C7289">
        <w:trPr>
          <w:gridAfter w:val="1"/>
          <w:wAfter w:w="9" w:type="dxa"/>
          <w:cantSplit/>
          <w:tblHeader/>
        </w:trPr>
        <w:tc>
          <w:tcPr>
            <w:tcW w:w="1800" w:type="dxa"/>
          </w:tcPr>
          <w:p w14:paraId="0CCD3B0E" w14:textId="77777777" w:rsidR="00A37634" w:rsidRPr="00A37634" w:rsidRDefault="00A37634" w:rsidP="00A37634">
            <w:pPr>
              <w:spacing w:after="0" w:line="276" w:lineRule="auto"/>
              <w:jc w:val="center"/>
              <w:rPr>
                <w:rFonts w:ascii="Calibri" w:eastAsia="Calibri" w:hAnsi="Calibri" w:cs="Calibri"/>
                <w:b/>
                <w:sz w:val="18"/>
                <w:szCs w:val="18"/>
                <w:lang w:val="en-AU"/>
              </w:rPr>
            </w:pPr>
            <w:r w:rsidRPr="00A37634">
              <w:rPr>
                <w:rFonts w:ascii="Calibri" w:eastAsia="Calibri" w:hAnsi="Calibri" w:cs="Calibri"/>
                <w:b/>
                <w:sz w:val="18"/>
                <w:szCs w:val="18"/>
                <w:lang w:val="en-AU"/>
              </w:rPr>
              <w:t>Acronym</w:t>
            </w:r>
          </w:p>
        </w:tc>
        <w:tc>
          <w:tcPr>
            <w:tcW w:w="7820" w:type="dxa"/>
          </w:tcPr>
          <w:p w14:paraId="385F30EC" w14:textId="77777777" w:rsidR="00A37634" w:rsidRPr="00A37634" w:rsidRDefault="00A37634" w:rsidP="00A37634">
            <w:pPr>
              <w:spacing w:after="0" w:line="276" w:lineRule="auto"/>
              <w:jc w:val="center"/>
              <w:rPr>
                <w:rFonts w:ascii="Calibri" w:eastAsia="Calibri" w:hAnsi="Calibri" w:cs="Calibri"/>
                <w:b/>
                <w:sz w:val="18"/>
                <w:szCs w:val="18"/>
                <w:lang w:val="en-AU"/>
              </w:rPr>
            </w:pPr>
            <w:r w:rsidRPr="00A37634">
              <w:rPr>
                <w:rFonts w:ascii="Calibri" w:eastAsia="Calibri" w:hAnsi="Calibri" w:cs="Calibri"/>
                <w:b/>
                <w:sz w:val="18"/>
                <w:szCs w:val="18"/>
                <w:lang w:val="en-AU"/>
              </w:rPr>
              <w:t>Definition</w:t>
            </w:r>
          </w:p>
        </w:tc>
      </w:tr>
      <w:tr w:rsidR="00A37634" w:rsidRPr="00A37634" w14:paraId="03D36904" w14:textId="77777777" w:rsidTr="007C7289">
        <w:trPr>
          <w:gridAfter w:val="1"/>
          <w:wAfter w:w="9" w:type="dxa"/>
          <w:cantSplit/>
        </w:trPr>
        <w:tc>
          <w:tcPr>
            <w:tcW w:w="1800" w:type="dxa"/>
          </w:tcPr>
          <w:p w14:paraId="7CF4E475"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AC</w:t>
            </w:r>
          </w:p>
        </w:tc>
        <w:tc>
          <w:tcPr>
            <w:tcW w:w="7820" w:type="dxa"/>
          </w:tcPr>
          <w:p w14:paraId="59ED689E"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Air conditioner.</w:t>
            </w:r>
          </w:p>
        </w:tc>
      </w:tr>
      <w:tr w:rsidR="00A37634" w:rsidRPr="00A37634" w14:paraId="1908358C" w14:textId="77777777" w:rsidTr="007C7289">
        <w:trPr>
          <w:gridAfter w:val="1"/>
          <w:wAfter w:w="9" w:type="dxa"/>
          <w:cantSplit/>
        </w:trPr>
        <w:tc>
          <w:tcPr>
            <w:tcW w:w="1800" w:type="dxa"/>
          </w:tcPr>
          <w:p w14:paraId="60707C58"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Activated load</w:t>
            </w:r>
          </w:p>
        </w:tc>
        <w:tc>
          <w:tcPr>
            <w:tcW w:w="7820" w:type="dxa"/>
          </w:tcPr>
          <w:p w14:paraId="565F1728"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 xml:space="preserve">The total electricity demand of appliances which consumers have contracted to DR aggregators. </w:t>
            </w:r>
          </w:p>
        </w:tc>
      </w:tr>
      <w:tr w:rsidR="00A37634" w:rsidRPr="00A37634" w14:paraId="666A8A7C" w14:textId="77777777" w:rsidTr="007C7289">
        <w:trPr>
          <w:gridAfter w:val="1"/>
          <w:wAfter w:w="9" w:type="dxa"/>
          <w:cantSplit/>
        </w:trPr>
        <w:tc>
          <w:tcPr>
            <w:tcW w:w="1800" w:type="dxa"/>
          </w:tcPr>
          <w:p w14:paraId="6AFAF16E"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Activation</w:t>
            </w:r>
          </w:p>
        </w:tc>
        <w:tc>
          <w:tcPr>
            <w:tcW w:w="7820" w:type="dxa"/>
          </w:tcPr>
          <w:p w14:paraId="380D044B"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 xml:space="preserve">The provision of all the elements necessary to transmit operational instructions to an appliance complying with AS/NZS 4755. </w:t>
            </w:r>
          </w:p>
        </w:tc>
      </w:tr>
      <w:tr w:rsidR="00A37634" w:rsidRPr="00A37634" w14:paraId="23AAA169" w14:textId="77777777" w:rsidTr="007C7289">
        <w:trPr>
          <w:gridAfter w:val="1"/>
          <w:wAfter w:w="9" w:type="dxa"/>
          <w:cantSplit/>
        </w:trPr>
        <w:tc>
          <w:tcPr>
            <w:tcW w:w="1800" w:type="dxa"/>
          </w:tcPr>
          <w:p w14:paraId="204F9DB3"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AEMC</w:t>
            </w:r>
          </w:p>
        </w:tc>
        <w:tc>
          <w:tcPr>
            <w:tcW w:w="7820" w:type="dxa"/>
          </w:tcPr>
          <w:p w14:paraId="2961B006"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Australian Energy Market Commission.</w:t>
            </w:r>
          </w:p>
        </w:tc>
      </w:tr>
      <w:tr w:rsidR="00A37634" w:rsidRPr="00A37634" w14:paraId="2F047C29" w14:textId="77777777" w:rsidTr="007C7289">
        <w:trPr>
          <w:gridAfter w:val="1"/>
          <w:wAfter w:w="9" w:type="dxa"/>
          <w:cantSplit/>
        </w:trPr>
        <w:tc>
          <w:tcPr>
            <w:tcW w:w="1800" w:type="dxa"/>
          </w:tcPr>
          <w:p w14:paraId="63FEFAB4"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AEMO</w:t>
            </w:r>
          </w:p>
        </w:tc>
        <w:tc>
          <w:tcPr>
            <w:tcW w:w="7820" w:type="dxa"/>
          </w:tcPr>
          <w:p w14:paraId="47E4C91F"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Australian Energy Market Operator.</w:t>
            </w:r>
          </w:p>
        </w:tc>
      </w:tr>
      <w:tr w:rsidR="00A37634" w:rsidRPr="00A37634" w14:paraId="044CEA9E" w14:textId="77777777" w:rsidTr="007C7289">
        <w:trPr>
          <w:gridAfter w:val="1"/>
          <w:wAfter w:w="9" w:type="dxa"/>
          <w:cantSplit/>
        </w:trPr>
        <w:tc>
          <w:tcPr>
            <w:tcW w:w="1800" w:type="dxa"/>
          </w:tcPr>
          <w:p w14:paraId="5A1BF8D3"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AEC</w:t>
            </w:r>
          </w:p>
        </w:tc>
        <w:tc>
          <w:tcPr>
            <w:tcW w:w="7820" w:type="dxa"/>
          </w:tcPr>
          <w:p w14:paraId="7E259EE0"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Australian Energy Council.</w:t>
            </w:r>
          </w:p>
        </w:tc>
      </w:tr>
      <w:tr w:rsidR="00A37634" w:rsidRPr="00A37634" w14:paraId="2E105232" w14:textId="77777777" w:rsidTr="007C7289">
        <w:trPr>
          <w:gridAfter w:val="1"/>
          <w:wAfter w:w="9" w:type="dxa"/>
          <w:cantSplit/>
        </w:trPr>
        <w:tc>
          <w:tcPr>
            <w:tcW w:w="1800" w:type="dxa"/>
          </w:tcPr>
          <w:p w14:paraId="15D170F7"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AER</w:t>
            </w:r>
          </w:p>
        </w:tc>
        <w:tc>
          <w:tcPr>
            <w:tcW w:w="7820" w:type="dxa"/>
          </w:tcPr>
          <w:p w14:paraId="1EE764BC"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Australian Energy Regulator.</w:t>
            </w:r>
          </w:p>
        </w:tc>
      </w:tr>
      <w:tr w:rsidR="00A37634" w:rsidRPr="00A37634" w14:paraId="142A20CB" w14:textId="77777777" w:rsidTr="007C7289">
        <w:trPr>
          <w:gridAfter w:val="1"/>
          <w:wAfter w:w="9" w:type="dxa"/>
          <w:cantSplit/>
        </w:trPr>
        <w:tc>
          <w:tcPr>
            <w:tcW w:w="1800" w:type="dxa"/>
          </w:tcPr>
          <w:p w14:paraId="432E1018"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ARENA</w:t>
            </w:r>
          </w:p>
        </w:tc>
        <w:tc>
          <w:tcPr>
            <w:tcW w:w="7820" w:type="dxa"/>
          </w:tcPr>
          <w:p w14:paraId="592C50F1"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Australian Renewable Energy Agency.</w:t>
            </w:r>
          </w:p>
        </w:tc>
      </w:tr>
      <w:tr w:rsidR="00A37634" w:rsidRPr="00A37634" w14:paraId="363FB54B" w14:textId="77777777" w:rsidTr="007C7289">
        <w:trPr>
          <w:gridAfter w:val="1"/>
          <w:wAfter w:w="9" w:type="dxa"/>
          <w:cantSplit/>
        </w:trPr>
        <w:tc>
          <w:tcPr>
            <w:tcW w:w="1800" w:type="dxa"/>
          </w:tcPr>
          <w:p w14:paraId="2F38CD29"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AS/NZS</w:t>
            </w:r>
          </w:p>
        </w:tc>
        <w:tc>
          <w:tcPr>
            <w:tcW w:w="7820" w:type="dxa"/>
          </w:tcPr>
          <w:p w14:paraId="31236753"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Australian Standard/New Zealand Standard.</w:t>
            </w:r>
          </w:p>
        </w:tc>
      </w:tr>
      <w:tr w:rsidR="00A37634" w:rsidRPr="00A37634" w14:paraId="4D5D755F" w14:textId="77777777" w:rsidTr="007C7289">
        <w:trPr>
          <w:gridAfter w:val="1"/>
          <w:wAfter w:w="9" w:type="dxa"/>
          <w:cantSplit/>
        </w:trPr>
        <w:tc>
          <w:tcPr>
            <w:tcW w:w="1800" w:type="dxa"/>
          </w:tcPr>
          <w:p w14:paraId="451AC56E"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Available load</w:t>
            </w:r>
          </w:p>
        </w:tc>
        <w:tc>
          <w:tcPr>
            <w:tcW w:w="7820" w:type="dxa"/>
          </w:tcPr>
          <w:p w14:paraId="2F14D5DE"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 xml:space="preserve">The maximum electricity load of participating appliances that are likely to be available for modified operation during a DR event, given that some appliances will be off. </w:t>
            </w:r>
          </w:p>
        </w:tc>
      </w:tr>
      <w:tr w:rsidR="00A37634" w:rsidRPr="00A37634" w14:paraId="176315AC" w14:textId="77777777" w:rsidTr="007C7289">
        <w:trPr>
          <w:gridAfter w:val="1"/>
          <w:wAfter w:w="9" w:type="dxa"/>
          <w:cantSplit/>
        </w:trPr>
        <w:tc>
          <w:tcPr>
            <w:tcW w:w="1800" w:type="dxa"/>
          </w:tcPr>
          <w:p w14:paraId="156CA18B"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BAU</w:t>
            </w:r>
          </w:p>
        </w:tc>
        <w:tc>
          <w:tcPr>
            <w:tcW w:w="7820" w:type="dxa"/>
          </w:tcPr>
          <w:p w14:paraId="037E17C8"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Business as usual (no new regulations).</w:t>
            </w:r>
          </w:p>
        </w:tc>
      </w:tr>
      <w:tr w:rsidR="00A37634" w:rsidRPr="00A37634" w14:paraId="2189B69A" w14:textId="77777777" w:rsidTr="007C7289">
        <w:trPr>
          <w:gridAfter w:val="1"/>
          <w:wAfter w:w="9" w:type="dxa"/>
          <w:cantSplit/>
        </w:trPr>
        <w:tc>
          <w:tcPr>
            <w:tcW w:w="1800" w:type="dxa"/>
          </w:tcPr>
          <w:p w14:paraId="4F431BEF"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B/C</w:t>
            </w:r>
          </w:p>
        </w:tc>
        <w:tc>
          <w:tcPr>
            <w:tcW w:w="7820" w:type="dxa"/>
          </w:tcPr>
          <w:p w14:paraId="5C937F5B"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Benefit/cost.</w:t>
            </w:r>
          </w:p>
        </w:tc>
      </w:tr>
      <w:tr w:rsidR="00A37634" w:rsidRPr="00A37634" w14:paraId="7CADF887" w14:textId="77777777" w:rsidTr="007C7289">
        <w:trPr>
          <w:gridAfter w:val="1"/>
          <w:wAfter w:w="9" w:type="dxa"/>
          <w:cantSplit/>
        </w:trPr>
        <w:tc>
          <w:tcPr>
            <w:tcW w:w="1800" w:type="dxa"/>
          </w:tcPr>
          <w:p w14:paraId="3B2F050B"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COAG</w:t>
            </w:r>
          </w:p>
        </w:tc>
        <w:tc>
          <w:tcPr>
            <w:tcW w:w="7820" w:type="dxa"/>
          </w:tcPr>
          <w:p w14:paraId="15E13B55"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Council of Australian Governments.</w:t>
            </w:r>
          </w:p>
        </w:tc>
      </w:tr>
      <w:tr w:rsidR="00A37634" w:rsidRPr="00A37634" w14:paraId="4C41B43F" w14:textId="77777777" w:rsidTr="007C7289">
        <w:trPr>
          <w:gridAfter w:val="1"/>
          <w:wAfter w:w="9" w:type="dxa"/>
          <w:cantSplit/>
        </w:trPr>
        <w:tc>
          <w:tcPr>
            <w:tcW w:w="1800" w:type="dxa"/>
          </w:tcPr>
          <w:p w14:paraId="39244C47"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CPP</w:t>
            </w:r>
          </w:p>
        </w:tc>
        <w:tc>
          <w:tcPr>
            <w:tcW w:w="7820" w:type="dxa"/>
          </w:tcPr>
          <w:p w14:paraId="408F15BC"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Critical Peak Pricing.</w:t>
            </w:r>
          </w:p>
        </w:tc>
      </w:tr>
      <w:tr w:rsidR="00A37634" w:rsidRPr="00A37634" w14:paraId="450CAAC5" w14:textId="77777777" w:rsidTr="007C7289">
        <w:trPr>
          <w:gridAfter w:val="1"/>
          <w:wAfter w:w="9" w:type="dxa"/>
          <w:cantSplit/>
        </w:trPr>
        <w:tc>
          <w:tcPr>
            <w:tcW w:w="1800" w:type="dxa"/>
          </w:tcPr>
          <w:p w14:paraId="0FACC4C2"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DEE</w:t>
            </w:r>
          </w:p>
        </w:tc>
        <w:tc>
          <w:tcPr>
            <w:tcW w:w="7820" w:type="dxa"/>
          </w:tcPr>
          <w:p w14:paraId="72050138"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The Department of the Environment and Energy.</w:t>
            </w:r>
          </w:p>
        </w:tc>
      </w:tr>
      <w:tr w:rsidR="00A37634" w:rsidRPr="00A37634" w14:paraId="40AD8F96" w14:textId="77777777" w:rsidTr="007C7289">
        <w:trPr>
          <w:gridAfter w:val="1"/>
          <w:wAfter w:w="9" w:type="dxa"/>
          <w:cantSplit/>
        </w:trPr>
        <w:tc>
          <w:tcPr>
            <w:tcW w:w="1800" w:type="dxa"/>
          </w:tcPr>
          <w:p w14:paraId="120010ED"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DER</w:t>
            </w:r>
          </w:p>
        </w:tc>
        <w:tc>
          <w:tcPr>
            <w:tcW w:w="7820" w:type="dxa"/>
          </w:tcPr>
          <w:p w14:paraId="279600E8"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Distributed energy resources.</w:t>
            </w:r>
          </w:p>
        </w:tc>
      </w:tr>
      <w:tr w:rsidR="00A37634" w:rsidRPr="00A37634" w14:paraId="04D1C2DF" w14:textId="77777777" w:rsidTr="007C7289">
        <w:trPr>
          <w:gridAfter w:val="1"/>
          <w:wAfter w:w="9" w:type="dxa"/>
          <w:cantSplit/>
        </w:trPr>
        <w:tc>
          <w:tcPr>
            <w:tcW w:w="1800" w:type="dxa"/>
          </w:tcPr>
          <w:p w14:paraId="5D6A3605"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DLC</w:t>
            </w:r>
          </w:p>
        </w:tc>
        <w:tc>
          <w:tcPr>
            <w:tcW w:w="7820" w:type="dxa"/>
          </w:tcPr>
          <w:p w14:paraId="4EA7576D"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Direct Load Control. An arrangement under which an appliance user authorises an electricity utility or other entity to modify the operation of the user’s appliances, within the context of a DR Program.</w:t>
            </w:r>
          </w:p>
        </w:tc>
      </w:tr>
      <w:tr w:rsidR="00A37634" w:rsidRPr="00A37634" w14:paraId="21A20B4F" w14:textId="77777777" w:rsidTr="007C7289">
        <w:trPr>
          <w:gridAfter w:val="1"/>
          <w:wAfter w:w="9" w:type="dxa"/>
          <w:cantSplit/>
        </w:trPr>
        <w:tc>
          <w:tcPr>
            <w:tcW w:w="1800" w:type="dxa"/>
          </w:tcPr>
          <w:p w14:paraId="7E2DA96B"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DNSP</w:t>
            </w:r>
          </w:p>
        </w:tc>
        <w:tc>
          <w:tcPr>
            <w:tcW w:w="7820" w:type="dxa"/>
          </w:tcPr>
          <w:p w14:paraId="38C967DB"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 xml:space="preserve">Distribution Network Service Provider. </w:t>
            </w:r>
          </w:p>
        </w:tc>
      </w:tr>
      <w:tr w:rsidR="00A37634" w:rsidRPr="00A37634" w14:paraId="75CAFD94" w14:textId="77777777" w:rsidTr="007C7289">
        <w:trPr>
          <w:gridAfter w:val="1"/>
          <w:wAfter w:w="9" w:type="dxa"/>
          <w:cantSplit/>
        </w:trPr>
        <w:tc>
          <w:tcPr>
            <w:tcW w:w="1800" w:type="dxa"/>
          </w:tcPr>
          <w:p w14:paraId="6098ABDD"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DR</w:t>
            </w:r>
          </w:p>
        </w:tc>
        <w:tc>
          <w:tcPr>
            <w:tcW w:w="7820" w:type="dxa"/>
          </w:tcPr>
          <w:p w14:paraId="5C063924"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Demand Response. The automated alteration of an electrical product’s normal mode of operation in response to an initiating signal originating from or defined by a remote agent, usually with the objective of reducing the product’s power demand (as defined in AS 4755).</w:t>
            </w:r>
          </w:p>
        </w:tc>
      </w:tr>
      <w:tr w:rsidR="00A37634" w:rsidRPr="00A37634" w14:paraId="69DBE137" w14:textId="77777777" w:rsidTr="007C7289">
        <w:trPr>
          <w:gridAfter w:val="1"/>
          <w:wAfter w:w="9" w:type="dxa"/>
          <w:cantSplit/>
        </w:trPr>
        <w:tc>
          <w:tcPr>
            <w:tcW w:w="1800" w:type="dxa"/>
          </w:tcPr>
          <w:p w14:paraId="076F1F5D"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DR Program</w:t>
            </w:r>
          </w:p>
        </w:tc>
        <w:tc>
          <w:tcPr>
            <w:tcW w:w="7820" w:type="dxa"/>
          </w:tcPr>
          <w:p w14:paraId="4D12EB5B"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An arrangement in which remote agents offer, and appliance owners/users may accept, contracts for remote agents to modify the operation of the appliance under agreed conditions for agreed recompense (monetary–e.g. lump sum payment or lower tariffs–or other).</w:t>
            </w:r>
          </w:p>
        </w:tc>
      </w:tr>
      <w:tr w:rsidR="00A37634" w:rsidRPr="00A37634" w14:paraId="1C00757E" w14:textId="77777777" w:rsidTr="007C7289">
        <w:trPr>
          <w:gridAfter w:val="1"/>
          <w:wAfter w:w="9" w:type="dxa"/>
          <w:cantSplit/>
        </w:trPr>
        <w:tc>
          <w:tcPr>
            <w:tcW w:w="1800" w:type="dxa"/>
          </w:tcPr>
          <w:p w14:paraId="335BEF0C"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DRM</w:t>
            </w:r>
          </w:p>
        </w:tc>
        <w:tc>
          <w:tcPr>
            <w:tcW w:w="7820" w:type="dxa"/>
          </w:tcPr>
          <w:p w14:paraId="68EE60B2"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Demand Response Mode (as defined in AS/NZS 4755).</w:t>
            </w:r>
          </w:p>
        </w:tc>
      </w:tr>
      <w:tr w:rsidR="00A37634" w:rsidRPr="00A37634" w14:paraId="4E35ACAC" w14:textId="77777777" w:rsidTr="007C7289">
        <w:trPr>
          <w:gridAfter w:val="1"/>
          <w:wAfter w:w="9" w:type="dxa"/>
          <w:cantSplit/>
        </w:trPr>
        <w:tc>
          <w:tcPr>
            <w:tcW w:w="1800" w:type="dxa"/>
          </w:tcPr>
          <w:p w14:paraId="58A81AAB"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DRED</w:t>
            </w:r>
          </w:p>
        </w:tc>
        <w:tc>
          <w:tcPr>
            <w:tcW w:w="7820" w:type="dxa"/>
          </w:tcPr>
          <w:p w14:paraId="4413FF4B"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Demand response enabling device.</w:t>
            </w:r>
          </w:p>
        </w:tc>
      </w:tr>
      <w:tr w:rsidR="00A37634" w:rsidRPr="00A37634" w14:paraId="7060F9E2" w14:textId="77777777" w:rsidTr="007C7289">
        <w:trPr>
          <w:gridAfter w:val="1"/>
          <w:wAfter w:w="9" w:type="dxa"/>
          <w:cantSplit/>
        </w:trPr>
        <w:tc>
          <w:tcPr>
            <w:tcW w:w="1800" w:type="dxa"/>
          </w:tcPr>
          <w:p w14:paraId="7C2E26CF"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DRSP</w:t>
            </w:r>
          </w:p>
        </w:tc>
        <w:tc>
          <w:tcPr>
            <w:tcW w:w="7820" w:type="dxa"/>
          </w:tcPr>
          <w:p w14:paraId="1193DBB9"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Demand response service provider; May be DNSP, a Retailer or an independent DRSP.</w:t>
            </w:r>
          </w:p>
        </w:tc>
      </w:tr>
      <w:tr w:rsidR="00A37634" w:rsidRPr="00A37634" w14:paraId="22CE18E5" w14:textId="77777777" w:rsidTr="007C7289">
        <w:trPr>
          <w:gridAfter w:val="1"/>
          <w:wAfter w:w="9" w:type="dxa"/>
          <w:cantSplit/>
        </w:trPr>
        <w:tc>
          <w:tcPr>
            <w:tcW w:w="1800" w:type="dxa"/>
          </w:tcPr>
          <w:p w14:paraId="535F3D59"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(DR)</w:t>
            </w:r>
          </w:p>
        </w:tc>
        <w:tc>
          <w:tcPr>
            <w:tcW w:w="7820" w:type="dxa"/>
          </w:tcPr>
          <w:p w14:paraId="07C16F0E"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Draft – in relation to a standard.</w:t>
            </w:r>
          </w:p>
        </w:tc>
      </w:tr>
      <w:tr w:rsidR="00A37634" w:rsidRPr="00A37634" w14:paraId="2B04775E" w14:textId="77777777" w:rsidTr="007C7289">
        <w:trPr>
          <w:gridAfter w:val="1"/>
          <w:wAfter w:w="9" w:type="dxa"/>
          <w:cantSplit/>
        </w:trPr>
        <w:tc>
          <w:tcPr>
            <w:tcW w:w="1800" w:type="dxa"/>
          </w:tcPr>
          <w:p w14:paraId="579DD47E"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 xml:space="preserve">E3 </w:t>
            </w:r>
          </w:p>
        </w:tc>
        <w:tc>
          <w:tcPr>
            <w:tcW w:w="7820" w:type="dxa"/>
          </w:tcPr>
          <w:p w14:paraId="5CEDD4AA"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Equipment Energy Efficiency (Program or Committee).</w:t>
            </w:r>
          </w:p>
        </w:tc>
      </w:tr>
      <w:tr w:rsidR="00A37634" w:rsidRPr="00A37634" w14:paraId="67324F8F" w14:textId="77777777" w:rsidTr="007C7289">
        <w:trPr>
          <w:cantSplit/>
        </w:trPr>
        <w:tc>
          <w:tcPr>
            <w:tcW w:w="1800" w:type="dxa"/>
          </w:tcPr>
          <w:p w14:paraId="6564236B"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ENA</w:t>
            </w:r>
          </w:p>
        </w:tc>
        <w:tc>
          <w:tcPr>
            <w:tcW w:w="7829" w:type="dxa"/>
            <w:gridSpan w:val="2"/>
          </w:tcPr>
          <w:p w14:paraId="4DAFAAA5"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Energy Networks Association (Australia – there is also a New Zealand ENA).</w:t>
            </w:r>
          </w:p>
        </w:tc>
      </w:tr>
      <w:tr w:rsidR="00A37634" w:rsidRPr="00A37634" w14:paraId="2F4727AE" w14:textId="77777777" w:rsidTr="007C7289">
        <w:trPr>
          <w:cantSplit/>
        </w:trPr>
        <w:tc>
          <w:tcPr>
            <w:tcW w:w="1800" w:type="dxa"/>
          </w:tcPr>
          <w:p w14:paraId="10231611"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EV</w:t>
            </w:r>
          </w:p>
        </w:tc>
        <w:tc>
          <w:tcPr>
            <w:tcW w:w="7829" w:type="dxa"/>
            <w:gridSpan w:val="2"/>
          </w:tcPr>
          <w:p w14:paraId="2D1239FB"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 xml:space="preserve">Electric Vehicle. </w:t>
            </w:r>
          </w:p>
        </w:tc>
      </w:tr>
      <w:tr w:rsidR="00A37634" w:rsidRPr="00A37634" w14:paraId="2E9D9BF5" w14:textId="77777777" w:rsidTr="007C7289">
        <w:trPr>
          <w:cantSplit/>
        </w:trPr>
        <w:tc>
          <w:tcPr>
            <w:tcW w:w="1800" w:type="dxa"/>
          </w:tcPr>
          <w:p w14:paraId="57C9FB5A"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FCAS</w:t>
            </w:r>
          </w:p>
        </w:tc>
        <w:tc>
          <w:tcPr>
            <w:tcW w:w="7829" w:type="dxa"/>
            <w:gridSpan w:val="2"/>
          </w:tcPr>
          <w:p w14:paraId="7ABC8DEC"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Frequency Control Ancillary Services.</w:t>
            </w:r>
          </w:p>
        </w:tc>
      </w:tr>
      <w:tr w:rsidR="00A37634" w:rsidRPr="00A37634" w14:paraId="3E827FCE" w14:textId="77777777" w:rsidTr="007C7289">
        <w:trPr>
          <w:cantSplit/>
        </w:trPr>
        <w:tc>
          <w:tcPr>
            <w:tcW w:w="1800" w:type="dxa"/>
          </w:tcPr>
          <w:p w14:paraId="6F74DE57"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GEMS</w:t>
            </w:r>
          </w:p>
        </w:tc>
        <w:tc>
          <w:tcPr>
            <w:tcW w:w="7829" w:type="dxa"/>
            <w:gridSpan w:val="2"/>
          </w:tcPr>
          <w:p w14:paraId="7182B5B9"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Greenhouse and Energy Minimum Standards (Commonwealth Act, 2012).</w:t>
            </w:r>
          </w:p>
        </w:tc>
      </w:tr>
      <w:tr w:rsidR="00A37634" w:rsidRPr="00A37634" w14:paraId="2AA3A024" w14:textId="77777777" w:rsidTr="007C7289">
        <w:trPr>
          <w:cantSplit/>
        </w:trPr>
        <w:tc>
          <w:tcPr>
            <w:tcW w:w="1800" w:type="dxa"/>
          </w:tcPr>
          <w:p w14:paraId="2F6DD695"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HEMS</w:t>
            </w:r>
          </w:p>
        </w:tc>
        <w:tc>
          <w:tcPr>
            <w:tcW w:w="7829" w:type="dxa"/>
            <w:gridSpan w:val="2"/>
          </w:tcPr>
          <w:p w14:paraId="23CDD651"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Home Energy Management System.</w:t>
            </w:r>
          </w:p>
        </w:tc>
      </w:tr>
      <w:tr w:rsidR="00A37634" w:rsidRPr="00A37634" w14:paraId="74CF9A86" w14:textId="77777777" w:rsidTr="007C7289">
        <w:trPr>
          <w:cantSplit/>
        </w:trPr>
        <w:tc>
          <w:tcPr>
            <w:tcW w:w="1800" w:type="dxa"/>
          </w:tcPr>
          <w:p w14:paraId="62436030"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kW</w:t>
            </w:r>
          </w:p>
        </w:tc>
        <w:tc>
          <w:tcPr>
            <w:tcW w:w="7829" w:type="dxa"/>
            <w:gridSpan w:val="2"/>
          </w:tcPr>
          <w:p w14:paraId="4DCE0CD8"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Kilowatts.</w:t>
            </w:r>
          </w:p>
        </w:tc>
      </w:tr>
      <w:tr w:rsidR="00A37634" w:rsidRPr="00A37634" w14:paraId="4CF6B9D8" w14:textId="77777777" w:rsidTr="007C7289">
        <w:trPr>
          <w:cantSplit/>
        </w:trPr>
        <w:tc>
          <w:tcPr>
            <w:tcW w:w="1800" w:type="dxa"/>
          </w:tcPr>
          <w:p w14:paraId="5B6801A3"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MD</w:t>
            </w:r>
          </w:p>
        </w:tc>
        <w:tc>
          <w:tcPr>
            <w:tcW w:w="7829" w:type="dxa"/>
            <w:gridSpan w:val="2"/>
          </w:tcPr>
          <w:p w14:paraId="4013A6E7"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Maximum Demand.</w:t>
            </w:r>
          </w:p>
        </w:tc>
      </w:tr>
      <w:tr w:rsidR="00A37634" w:rsidRPr="00A37634" w14:paraId="2BFED827" w14:textId="77777777" w:rsidTr="007C7289">
        <w:trPr>
          <w:cantSplit/>
        </w:trPr>
        <w:tc>
          <w:tcPr>
            <w:tcW w:w="1800" w:type="dxa"/>
          </w:tcPr>
          <w:p w14:paraId="304469B6"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MASP</w:t>
            </w:r>
          </w:p>
        </w:tc>
        <w:tc>
          <w:tcPr>
            <w:tcW w:w="7829" w:type="dxa"/>
            <w:gridSpan w:val="2"/>
          </w:tcPr>
          <w:p w14:paraId="4B984794"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color w:val="272626"/>
                <w:sz w:val="18"/>
                <w:szCs w:val="20"/>
                <w:lang w:val="en-AU"/>
              </w:rPr>
              <w:t>Market Ancillary Service Providers.</w:t>
            </w:r>
          </w:p>
        </w:tc>
      </w:tr>
      <w:tr w:rsidR="00A37634" w:rsidRPr="00A37634" w14:paraId="14809FA3" w14:textId="77777777" w:rsidTr="007C7289">
        <w:trPr>
          <w:cantSplit/>
        </w:trPr>
        <w:tc>
          <w:tcPr>
            <w:tcW w:w="1800" w:type="dxa"/>
          </w:tcPr>
          <w:p w14:paraId="6AB70C68"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MEPS</w:t>
            </w:r>
          </w:p>
        </w:tc>
        <w:tc>
          <w:tcPr>
            <w:tcW w:w="7829" w:type="dxa"/>
            <w:gridSpan w:val="2"/>
          </w:tcPr>
          <w:p w14:paraId="0B63F37C"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Minimum Energy Performance Standards.</w:t>
            </w:r>
          </w:p>
        </w:tc>
      </w:tr>
      <w:tr w:rsidR="00A37634" w:rsidRPr="00A37634" w14:paraId="055A14D1" w14:textId="77777777" w:rsidTr="007C7289">
        <w:trPr>
          <w:cantSplit/>
        </w:trPr>
        <w:tc>
          <w:tcPr>
            <w:tcW w:w="1800" w:type="dxa"/>
          </w:tcPr>
          <w:p w14:paraId="2578DD8C"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MW</w:t>
            </w:r>
          </w:p>
        </w:tc>
        <w:tc>
          <w:tcPr>
            <w:tcW w:w="7829" w:type="dxa"/>
            <w:gridSpan w:val="2"/>
          </w:tcPr>
          <w:p w14:paraId="28D81994"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Megawatts (kW x 1,000).</w:t>
            </w:r>
          </w:p>
        </w:tc>
      </w:tr>
      <w:tr w:rsidR="00A37634" w:rsidRPr="00A37634" w14:paraId="58094D9D" w14:textId="77777777" w:rsidTr="007C7289">
        <w:trPr>
          <w:cantSplit/>
        </w:trPr>
        <w:tc>
          <w:tcPr>
            <w:tcW w:w="1800" w:type="dxa"/>
          </w:tcPr>
          <w:p w14:paraId="6BDD456E"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NEL</w:t>
            </w:r>
          </w:p>
        </w:tc>
        <w:tc>
          <w:tcPr>
            <w:tcW w:w="7829" w:type="dxa"/>
            <w:gridSpan w:val="2"/>
          </w:tcPr>
          <w:p w14:paraId="22BD6CF2"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National Electricity Law.</w:t>
            </w:r>
          </w:p>
        </w:tc>
      </w:tr>
      <w:tr w:rsidR="00A37634" w:rsidRPr="00A37634" w14:paraId="4C430399" w14:textId="77777777" w:rsidTr="007C7289">
        <w:trPr>
          <w:cantSplit/>
        </w:trPr>
        <w:tc>
          <w:tcPr>
            <w:tcW w:w="1800" w:type="dxa"/>
          </w:tcPr>
          <w:p w14:paraId="77F367BC"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NEM</w:t>
            </w:r>
          </w:p>
        </w:tc>
        <w:tc>
          <w:tcPr>
            <w:tcW w:w="7829" w:type="dxa"/>
            <w:gridSpan w:val="2"/>
          </w:tcPr>
          <w:p w14:paraId="4FDF801F"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 xml:space="preserve">National Electricity Market. </w:t>
            </w:r>
          </w:p>
        </w:tc>
      </w:tr>
      <w:tr w:rsidR="00A37634" w:rsidRPr="00A37634" w14:paraId="6B195346" w14:textId="77777777" w:rsidTr="007C7289">
        <w:trPr>
          <w:cantSplit/>
        </w:trPr>
        <w:tc>
          <w:tcPr>
            <w:tcW w:w="1800" w:type="dxa"/>
          </w:tcPr>
          <w:p w14:paraId="41EDD25C"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NPE</w:t>
            </w:r>
          </w:p>
        </w:tc>
        <w:tc>
          <w:tcPr>
            <w:tcW w:w="7829" w:type="dxa"/>
            <w:gridSpan w:val="2"/>
          </w:tcPr>
          <w:p w14:paraId="5BABDBBA"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Negative price event.</w:t>
            </w:r>
          </w:p>
        </w:tc>
      </w:tr>
      <w:tr w:rsidR="00A37634" w:rsidRPr="00A37634" w14:paraId="2704FAED" w14:textId="77777777" w:rsidTr="007C7289">
        <w:trPr>
          <w:cantSplit/>
        </w:trPr>
        <w:tc>
          <w:tcPr>
            <w:tcW w:w="1800" w:type="dxa"/>
          </w:tcPr>
          <w:p w14:paraId="459C8310"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NPV</w:t>
            </w:r>
          </w:p>
        </w:tc>
        <w:tc>
          <w:tcPr>
            <w:tcW w:w="7829" w:type="dxa"/>
            <w:gridSpan w:val="2"/>
          </w:tcPr>
          <w:p w14:paraId="205CE68A"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Net present value.</w:t>
            </w:r>
          </w:p>
        </w:tc>
      </w:tr>
      <w:tr w:rsidR="00A37634" w:rsidRPr="00A37634" w14:paraId="340F1844" w14:textId="77777777" w:rsidTr="007C7289">
        <w:trPr>
          <w:cantSplit/>
        </w:trPr>
        <w:tc>
          <w:tcPr>
            <w:tcW w:w="1800" w:type="dxa"/>
          </w:tcPr>
          <w:p w14:paraId="051B11D2"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OP</w:t>
            </w:r>
          </w:p>
        </w:tc>
        <w:tc>
          <w:tcPr>
            <w:tcW w:w="7829" w:type="dxa"/>
            <w:gridSpan w:val="2"/>
          </w:tcPr>
          <w:p w14:paraId="7A874FD8"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Off-Peak (electricity price).</w:t>
            </w:r>
          </w:p>
        </w:tc>
      </w:tr>
      <w:tr w:rsidR="00A37634" w:rsidRPr="00A37634" w14:paraId="518CEFB1" w14:textId="77777777" w:rsidTr="007C7289">
        <w:trPr>
          <w:cantSplit/>
        </w:trPr>
        <w:tc>
          <w:tcPr>
            <w:tcW w:w="1800" w:type="dxa"/>
          </w:tcPr>
          <w:p w14:paraId="4222B9DA"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Participating load</w:t>
            </w:r>
          </w:p>
        </w:tc>
        <w:tc>
          <w:tcPr>
            <w:tcW w:w="7829" w:type="dxa"/>
            <w:gridSpan w:val="2"/>
          </w:tcPr>
          <w:p w14:paraId="4940AF2B"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The total electricity demand of appliances that are activated and where the owner/user has agreed to participate in a DR program.</w:t>
            </w:r>
          </w:p>
        </w:tc>
      </w:tr>
      <w:tr w:rsidR="00A37634" w:rsidRPr="00A37634" w14:paraId="558BD28A" w14:textId="77777777" w:rsidTr="007C7289">
        <w:trPr>
          <w:cantSplit/>
        </w:trPr>
        <w:tc>
          <w:tcPr>
            <w:tcW w:w="1800" w:type="dxa"/>
          </w:tcPr>
          <w:p w14:paraId="26D448CC"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Remote agent</w:t>
            </w:r>
          </w:p>
        </w:tc>
        <w:tc>
          <w:tcPr>
            <w:tcW w:w="7829" w:type="dxa"/>
            <w:gridSpan w:val="2"/>
          </w:tcPr>
          <w:p w14:paraId="38F97860"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An electricity utility or other entity authorised by a user to modify the operation of the user’s appliances, within the context of a DR Program.</w:t>
            </w:r>
          </w:p>
        </w:tc>
      </w:tr>
      <w:tr w:rsidR="00A37634" w:rsidRPr="00A37634" w14:paraId="4747454B" w14:textId="77777777" w:rsidTr="007C7289">
        <w:trPr>
          <w:cantSplit/>
        </w:trPr>
        <w:tc>
          <w:tcPr>
            <w:tcW w:w="1800" w:type="dxa"/>
          </w:tcPr>
          <w:p w14:paraId="7018E5E6"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RRO</w:t>
            </w:r>
          </w:p>
        </w:tc>
        <w:tc>
          <w:tcPr>
            <w:tcW w:w="7829" w:type="dxa"/>
            <w:gridSpan w:val="2"/>
          </w:tcPr>
          <w:p w14:paraId="0638ACBB"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Retailer Reliability Obligation.</w:t>
            </w:r>
          </w:p>
        </w:tc>
      </w:tr>
      <w:tr w:rsidR="00A37634" w:rsidRPr="00A37634" w14:paraId="0908B9A4" w14:textId="77777777" w:rsidTr="007C7289">
        <w:trPr>
          <w:cantSplit/>
        </w:trPr>
        <w:tc>
          <w:tcPr>
            <w:tcW w:w="1800" w:type="dxa"/>
          </w:tcPr>
          <w:p w14:paraId="143A3367"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PCT</w:t>
            </w:r>
          </w:p>
        </w:tc>
        <w:tc>
          <w:tcPr>
            <w:tcW w:w="7829" w:type="dxa"/>
            <w:gridSpan w:val="2"/>
          </w:tcPr>
          <w:p w14:paraId="17D2B223"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Programmable Communicating Thermostat.</w:t>
            </w:r>
          </w:p>
        </w:tc>
      </w:tr>
      <w:tr w:rsidR="00A37634" w:rsidRPr="00A37634" w14:paraId="55E8B03E" w14:textId="77777777" w:rsidTr="007C7289">
        <w:trPr>
          <w:cantSplit/>
        </w:trPr>
        <w:tc>
          <w:tcPr>
            <w:tcW w:w="1800" w:type="dxa"/>
          </w:tcPr>
          <w:p w14:paraId="2EC682A6"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 xml:space="preserve">RERT </w:t>
            </w:r>
          </w:p>
        </w:tc>
        <w:tc>
          <w:tcPr>
            <w:tcW w:w="7829" w:type="dxa"/>
            <w:gridSpan w:val="2"/>
          </w:tcPr>
          <w:p w14:paraId="108EEB61"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Reliability and Emergency Reserve Trader.</w:t>
            </w:r>
          </w:p>
        </w:tc>
      </w:tr>
      <w:tr w:rsidR="00A37634" w:rsidRPr="00A37634" w14:paraId="30E215BC" w14:textId="77777777" w:rsidTr="007C7289">
        <w:trPr>
          <w:cantSplit/>
        </w:trPr>
        <w:tc>
          <w:tcPr>
            <w:tcW w:w="1800" w:type="dxa"/>
          </w:tcPr>
          <w:p w14:paraId="5ABE29B7"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RIS</w:t>
            </w:r>
          </w:p>
        </w:tc>
        <w:tc>
          <w:tcPr>
            <w:tcW w:w="7829" w:type="dxa"/>
            <w:gridSpan w:val="2"/>
          </w:tcPr>
          <w:p w14:paraId="4C534099"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Regulation Impact Statement.</w:t>
            </w:r>
          </w:p>
        </w:tc>
      </w:tr>
      <w:tr w:rsidR="00A37634" w:rsidRPr="00A37634" w14:paraId="04579771" w14:textId="77777777" w:rsidTr="007C7289">
        <w:trPr>
          <w:cantSplit/>
        </w:trPr>
        <w:tc>
          <w:tcPr>
            <w:tcW w:w="1800" w:type="dxa"/>
          </w:tcPr>
          <w:p w14:paraId="6C689334"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SMD</w:t>
            </w:r>
          </w:p>
        </w:tc>
        <w:tc>
          <w:tcPr>
            <w:tcW w:w="7829" w:type="dxa"/>
            <w:gridSpan w:val="2"/>
          </w:tcPr>
          <w:p w14:paraId="02E41DCB"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Summer maximum demand.</w:t>
            </w:r>
          </w:p>
        </w:tc>
      </w:tr>
      <w:tr w:rsidR="00A37634" w:rsidRPr="00A37634" w14:paraId="5AF6FB9D" w14:textId="77777777" w:rsidTr="007C7289">
        <w:trPr>
          <w:cantSplit/>
        </w:trPr>
        <w:tc>
          <w:tcPr>
            <w:tcW w:w="1800" w:type="dxa"/>
          </w:tcPr>
          <w:p w14:paraId="2F59815A"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Take-up</w:t>
            </w:r>
          </w:p>
        </w:tc>
        <w:tc>
          <w:tcPr>
            <w:tcW w:w="7829" w:type="dxa"/>
            <w:gridSpan w:val="2"/>
          </w:tcPr>
          <w:p w14:paraId="17C4261E"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The rate at which households with DR-capable appliances consent to have them activated in order to enter direct load control programs with utilities or DRSPs. (May also denote the percentage of appliance owners participating in demand response programs at a given time).</w:t>
            </w:r>
          </w:p>
        </w:tc>
      </w:tr>
      <w:tr w:rsidR="00A37634" w:rsidRPr="00A37634" w14:paraId="52FEC889" w14:textId="77777777" w:rsidTr="007C7289">
        <w:trPr>
          <w:cantSplit/>
        </w:trPr>
        <w:tc>
          <w:tcPr>
            <w:tcW w:w="1800" w:type="dxa"/>
          </w:tcPr>
          <w:p w14:paraId="501FACC2"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TNSP</w:t>
            </w:r>
          </w:p>
        </w:tc>
        <w:tc>
          <w:tcPr>
            <w:tcW w:w="7829" w:type="dxa"/>
            <w:gridSpan w:val="2"/>
          </w:tcPr>
          <w:p w14:paraId="6A33743A"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 xml:space="preserve">Transmission Network Service Provider. </w:t>
            </w:r>
          </w:p>
        </w:tc>
      </w:tr>
      <w:tr w:rsidR="00A37634" w:rsidRPr="00A37634" w14:paraId="6BCAD37F" w14:textId="77777777" w:rsidTr="007C7289">
        <w:trPr>
          <w:cantSplit/>
        </w:trPr>
        <w:tc>
          <w:tcPr>
            <w:tcW w:w="1800" w:type="dxa"/>
          </w:tcPr>
          <w:p w14:paraId="13600617"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TOU</w:t>
            </w:r>
          </w:p>
        </w:tc>
        <w:tc>
          <w:tcPr>
            <w:tcW w:w="7829" w:type="dxa"/>
            <w:gridSpan w:val="2"/>
          </w:tcPr>
          <w:p w14:paraId="65D65D6C"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Time-of-use (electricity price).</w:t>
            </w:r>
          </w:p>
        </w:tc>
      </w:tr>
      <w:tr w:rsidR="00A37634" w:rsidRPr="00A37634" w14:paraId="2D9801B2" w14:textId="77777777" w:rsidTr="007C7289">
        <w:trPr>
          <w:cantSplit/>
        </w:trPr>
        <w:tc>
          <w:tcPr>
            <w:tcW w:w="1800" w:type="dxa"/>
          </w:tcPr>
          <w:p w14:paraId="5F20921E"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WM</w:t>
            </w:r>
          </w:p>
        </w:tc>
        <w:tc>
          <w:tcPr>
            <w:tcW w:w="7829" w:type="dxa"/>
            <w:gridSpan w:val="2"/>
          </w:tcPr>
          <w:p w14:paraId="7F9260C9" w14:textId="77777777" w:rsidR="00A37634" w:rsidRPr="00A37634" w:rsidRDefault="00A37634" w:rsidP="00A37634">
            <w:pPr>
              <w:spacing w:after="0" w:line="276" w:lineRule="auto"/>
              <w:rPr>
                <w:rFonts w:ascii="Calibri" w:eastAsia="Calibri" w:hAnsi="Calibri" w:cs="Calibri"/>
                <w:sz w:val="18"/>
                <w:szCs w:val="18"/>
                <w:lang w:val="en-AU"/>
              </w:rPr>
            </w:pPr>
            <w:r w:rsidRPr="00A37634">
              <w:rPr>
                <w:rFonts w:ascii="Calibri" w:eastAsia="Calibri" w:hAnsi="Calibri" w:cs="Calibri"/>
                <w:sz w:val="18"/>
                <w:szCs w:val="18"/>
                <w:lang w:val="en-AU"/>
              </w:rPr>
              <w:t>With Measure (i.e. with compliance mandated).</w:t>
            </w:r>
          </w:p>
        </w:tc>
      </w:tr>
      <w:tr w:rsidR="00A37634" w:rsidRPr="00A37634" w14:paraId="6E5B1667" w14:textId="77777777" w:rsidTr="007C7289">
        <w:trPr>
          <w:cantSplit/>
        </w:trPr>
        <w:tc>
          <w:tcPr>
            <w:tcW w:w="1800" w:type="dxa"/>
          </w:tcPr>
          <w:p w14:paraId="3B85DB1D"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WMD</w:t>
            </w:r>
          </w:p>
        </w:tc>
        <w:tc>
          <w:tcPr>
            <w:tcW w:w="7829" w:type="dxa"/>
            <w:gridSpan w:val="2"/>
          </w:tcPr>
          <w:p w14:paraId="1933AC06" w14:textId="77777777" w:rsidR="00A37634" w:rsidRPr="00A37634" w:rsidRDefault="00A37634" w:rsidP="00A37634">
            <w:pPr>
              <w:spacing w:after="0" w:line="276" w:lineRule="auto"/>
              <w:rPr>
                <w:rFonts w:ascii="Calibri" w:eastAsia="Cambria" w:hAnsi="Calibri" w:cs="Calibri"/>
                <w:sz w:val="18"/>
                <w:szCs w:val="18"/>
                <w:lang w:val="en-AU"/>
              </w:rPr>
            </w:pPr>
            <w:r w:rsidRPr="00A37634">
              <w:rPr>
                <w:rFonts w:ascii="Calibri" w:eastAsia="Calibri" w:hAnsi="Calibri" w:cs="Calibri"/>
                <w:sz w:val="18"/>
                <w:szCs w:val="18"/>
                <w:lang w:val="en-AU"/>
              </w:rPr>
              <w:t>Winter maximum demand.</w:t>
            </w:r>
          </w:p>
        </w:tc>
      </w:tr>
    </w:tbl>
    <w:p w14:paraId="37775E69" w14:textId="77777777" w:rsidR="00A37634" w:rsidRPr="00A37634" w:rsidRDefault="00A37634" w:rsidP="00A37634">
      <w:pPr>
        <w:spacing w:after="120" w:line="276" w:lineRule="auto"/>
        <w:rPr>
          <w:rFonts w:ascii="Calibri" w:eastAsia="Calibri" w:hAnsi="Calibri" w:cs="Calibri"/>
          <w:szCs w:val="20"/>
          <w:lang w:val="en-AU"/>
        </w:rPr>
      </w:pPr>
    </w:p>
    <w:p w14:paraId="796DB8AF" w14:textId="77777777" w:rsidR="00A37634" w:rsidRPr="00A37634" w:rsidRDefault="00A37634" w:rsidP="00A37634">
      <w:pPr>
        <w:spacing w:after="120" w:line="276" w:lineRule="auto"/>
        <w:rPr>
          <w:rFonts w:ascii="Calibri" w:eastAsia="Calibri" w:hAnsi="Calibri" w:cs="Calibri"/>
          <w:szCs w:val="20"/>
          <w:lang w:val="en-AU"/>
        </w:rPr>
      </w:pPr>
      <w:r w:rsidRPr="00A37634">
        <w:rPr>
          <w:rFonts w:ascii="Calibri" w:eastAsia="Calibri" w:hAnsi="Calibri" w:cs="Calibri"/>
          <w:szCs w:val="20"/>
          <w:lang w:val="en-AU"/>
        </w:rPr>
        <w:br w:type="page"/>
      </w:r>
    </w:p>
    <w:p w14:paraId="015309EA" w14:textId="77777777" w:rsidR="00A37634" w:rsidRPr="00A37634" w:rsidRDefault="00A37634" w:rsidP="00A37634">
      <w:pPr>
        <w:pBdr>
          <w:bottom w:val="single" w:sz="12" w:space="1" w:color="ED1B24"/>
        </w:pBdr>
        <w:spacing w:before="200" w:after="600" w:line="240" w:lineRule="auto"/>
        <w:outlineLvl w:val="0"/>
        <w:rPr>
          <w:rFonts w:ascii="Calibri" w:eastAsia="Times New Roman" w:hAnsi="Calibri" w:cs="Calibri"/>
          <w:b/>
          <w:bCs/>
          <w:color w:val="ED1B24"/>
          <w:sz w:val="50"/>
          <w:szCs w:val="28"/>
          <w:lang w:val="en-AU"/>
        </w:rPr>
      </w:pPr>
      <w:bookmarkStart w:id="9" w:name="_Toc16500969"/>
      <w:r w:rsidRPr="00A37634">
        <w:rPr>
          <w:rFonts w:ascii="Calibri" w:eastAsia="Times New Roman" w:hAnsi="Calibri" w:cs="Calibri"/>
          <w:b/>
          <w:bCs/>
          <w:color w:val="ED1B24"/>
          <w:sz w:val="50"/>
          <w:szCs w:val="28"/>
          <w:lang w:val="en-AU"/>
        </w:rPr>
        <w:t>The Objective</w:t>
      </w:r>
      <w:bookmarkEnd w:id="9"/>
      <w:r w:rsidRPr="00A37634">
        <w:rPr>
          <w:rFonts w:ascii="Calibri" w:eastAsia="Times New Roman" w:hAnsi="Calibri" w:cs="Calibri"/>
          <w:b/>
          <w:bCs/>
          <w:color w:val="ED1B24"/>
          <w:sz w:val="50"/>
          <w:szCs w:val="28"/>
          <w:lang w:val="en-AU"/>
        </w:rPr>
        <w:t xml:space="preserve"> </w:t>
      </w:r>
    </w:p>
    <w:p w14:paraId="69AFFEB1" w14:textId="77777777" w:rsidR="00A37634" w:rsidRPr="00A37634" w:rsidRDefault="00A37634" w:rsidP="00A37634">
      <w:pPr>
        <w:spacing w:before="120" w:after="120" w:line="276" w:lineRule="auto"/>
        <w:rPr>
          <w:rFonts w:ascii="Calibri" w:eastAsia="Calibri" w:hAnsi="Calibri" w:cs="Calibri"/>
          <w:b/>
          <w:bCs/>
          <w:szCs w:val="20"/>
          <w:lang w:val="en-AU"/>
        </w:rPr>
      </w:pPr>
      <w:bookmarkStart w:id="10" w:name="_Toc509835485"/>
      <w:r w:rsidRPr="00A37634">
        <w:rPr>
          <w:rFonts w:ascii="Calibri" w:eastAsia="Calibri" w:hAnsi="Calibri" w:cs="Calibri"/>
          <w:szCs w:val="20"/>
          <w:lang w:val="en-AU"/>
        </w:rPr>
        <w:t xml:space="preserve">The objective of the proposal is </w:t>
      </w:r>
      <w:r w:rsidRPr="00A37634">
        <w:rPr>
          <w:rFonts w:ascii="Calibri" w:eastAsia="Calibri" w:hAnsi="Calibri" w:cs="Calibri"/>
          <w:b/>
          <w:bCs/>
          <w:szCs w:val="20"/>
          <w:lang w:val="en-AU"/>
        </w:rPr>
        <w:t xml:space="preserve">‘to contribute to reducing the future investment requirements for electricity network, generation and transmission infrastructure due to growth in peak electricity demand, and to address network costs arising from the rapid growth in customer-side renewable generation, by facilitating development of the demand response market.’ </w:t>
      </w:r>
    </w:p>
    <w:p w14:paraId="1FCABE58"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Electricity generation, transmission and distribution systems must be designed to provide high levels of reliability at all times, including during periods of peak demand. As the extreme peaks are of brief duration (hours at most, occurring on only a few days each year), the full capacity of the electricity system (or parts of the electricity system) is under-utilised for most of the time. </w:t>
      </w:r>
    </w:p>
    <w:p w14:paraId="3FF50671" w14:textId="1EA383FB" w:rsidR="00A37634" w:rsidRPr="00A37634" w:rsidRDefault="00A37634" w:rsidP="00A37634">
      <w:pPr>
        <w:spacing w:before="120" w:after="120" w:line="276" w:lineRule="auto"/>
        <w:rPr>
          <w:rFonts w:ascii="Calibri" w:eastAsia="Calibri" w:hAnsi="Calibri" w:cs="Calibri"/>
          <w:szCs w:val="20"/>
          <w:lang w:val="en-AU"/>
        </w:rPr>
      </w:pP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_Ref395956978  \* MERGEFORMAT </w:instrText>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Figure </w:t>
      </w:r>
      <w:r w:rsidR="00181136" w:rsidRPr="00181136">
        <w:rPr>
          <w:rFonts w:ascii="Calibri" w:eastAsia="Calibri" w:hAnsi="Calibri" w:cs="Calibri"/>
          <w:b/>
          <w:noProof/>
          <w:szCs w:val="20"/>
          <w:lang w:val="en-AU"/>
        </w:rPr>
        <w:t>1</w:t>
      </w:r>
      <w:r w:rsidRPr="00BB0627">
        <w:rPr>
          <w:rFonts w:ascii="Calibri" w:eastAsia="Calibri" w:hAnsi="Calibri" w:cs="Calibri"/>
          <w:b/>
          <w:szCs w:val="20"/>
          <w:lang w:val="en-AU"/>
        </w:rPr>
        <w:fldChar w:fldCharType="end"/>
      </w:r>
      <w:r w:rsidRPr="00A37634">
        <w:rPr>
          <w:rFonts w:ascii="Calibri" w:eastAsia="Calibri" w:hAnsi="Calibri" w:cs="Calibri"/>
          <w:szCs w:val="20"/>
          <w:lang w:val="en-AU"/>
        </w:rPr>
        <w:t xml:space="preserve"> shows a typical load duration curve forecast for a zone substation (in this case, in Sydney). It shows that demand is projected to exceed the existing firm capacity about 9.5% of the time, or 830 hours per year. If capital were invested in the substation to meet the full projected load, the last 10% of capacity would be utilised for less than 200 hours per year. If the extremes of the peak could be avoided through demand response (DR), significant capital investment could be saved. </w:t>
      </w:r>
    </w:p>
    <w:p w14:paraId="3604FA0A"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People value thermal comfort, and so may use more electricity to cool or heat their homes when the weather is very hot or cold. However, very few are made aware of the costs of using electricity at peak times, as about 88% of residential electricity consumers in Australia currently pay a flat tariff for their general consumption.</w:t>
      </w:r>
      <w:r w:rsidRPr="00A37634">
        <w:rPr>
          <w:rFonts w:ascii="Calibri" w:eastAsia="Calibri" w:hAnsi="Calibri" w:cs="Calibri"/>
          <w:szCs w:val="20"/>
          <w:vertAlign w:val="superscript"/>
          <w:lang w:val="en-AU"/>
        </w:rPr>
        <w:footnoteReference w:id="9"/>
      </w:r>
      <w:r w:rsidRPr="00A37634">
        <w:rPr>
          <w:rFonts w:ascii="Calibri" w:eastAsia="Calibri" w:hAnsi="Calibri" w:cs="Calibri"/>
          <w:szCs w:val="20"/>
          <w:lang w:val="en-AU"/>
        </w:rPr>
        <w:t xml:space="preserve"> The Productivity Commission has concluded that “growth in peak electricity demand is likely to be inducing (or bringing forward) a sizable stream of otherwise unnecessary investment, for which consumers ultimately pay. And the widening gap between peak and average demand is contributing to reduced productivity in the electricity sector.”</w:t>
      </w:r>
      <w:r w:rsidRPr="00A37634">
        <w:rPr>
          <w:rFonts w:ascii="Calibri" w:eastAsia="Calibri" w:hAnsi="Calibri" w:cs="Calibri"/>
          <w:szCs w:val="20"/>
          <w:vertAlign w:val="superscript"/>
          <w:lang w:val="en-AU"/>
        </w:rPr>
        <w:footnoteReference w:id="10"/>
      </w:r>
      <w:r w:rsidRPr="00A37634">
        <w:rPr>
          <w:rFonts w:ascii="Calibri" w:eastAsia="Calibri" w:hAnsi="Calibri" w:cs="Calibri"/>
          <w:szCs w:val="20"/>
          <w:lang w:val="en-AU"/>
        </w:rPr>
        <w:t xml:space="preserve"> </w:t>
      </w:r>
    </w:p>
    <w:p w14:paraId="77F91511"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cost of inefficient investment in network capacity is passed on to consumers in their electricity bills. Wholesale electricity prices are also impacted, because the highest-cost peaking plant sets the pool price during peak events. In its 2018 </w:t>
      </w:r>
      <w:r w:rsidRPr="00A37634">
        <w:rPr>
          <w:rFonts w:ascii="Calibri" w:eastAsia="Calibri" w:hAnsi="Calibri" w:cs="Calibri"/>
          <w:i/>
          <w:iCs/>
          <w:szCs w:val="20"/>
          <w:lang w:val="en-AU"/>
        </w:rPr>
        <w:t>Inquiry into Retail Electricity Tariffs,</w:t>
      </w:r>
      <w:r w:rsidRPr="00A37634">
        <w:rPr>
          <w:rFonts w:ascii="Calibri" w:eastAsia="Calibri" w:hAnsi="Calibri" w:cs="Calibri"/>
          <w:szCs w:val="20"/>
          <w:lang w:val="en-AU"/>
        </w:rPr>
        <w:t xml:space="preserve"> the ACCC found that average residential tariffs increased by 56% in real terms between 2007/08 and 2017/18.</w:t>
      </w:r>
      <w:r w:rsidRPr="00A37634">
        <w:rPr>
          <w:rFonts w:ascii="Calibri" w:eastAsia="Calibri" w:hAnsi="Calibri" w:cs="Calibri"/>
          <w:szCs w:val="20"/>
          <w:vertAlign w:val="superscript"/>
          <w:lang w:val="en-AU"/>
        </w:rPr>
        <w:footnoteReference w:id="11"/>
      </w:r>
      <w:r w:rsidRPr="00A37634">
        <w:rPr>
          <w:rFonts w:ascii="Calibri" w:eastAsia="Calibri" w:hAnsi="Calibri" w:cs="Calibri"/>
          <w:szCs w:val="20"/>
          <w:lang w:val="en-AU"/>
        </w:rPr>
        <w:t xml:space="preserve"> The main reasons were network charges (accounting for 38% of the increase) and wholesale electricity prices (27%).</w:t>
      </w:r>
    </w:p>
    <w:p w14:paraId="29AA194D"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Maximum demand on electricity networks continues to rise, albeit at a more moderate rate than in the past decade. Even so, the rate of growth in peak demand is projected to exceed the rate of growth in energy supplied in all jurisdictions except Western Australia (WA) and New Zealand, indicating that load factors – a primary indicator of economic efficiency – will continue to decline.</w:t>
      </w:r>
    </w:p>
    <w:p w14:paraId="7D9956A4"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Since the 1990s, the main driver of summer maximum demand has been the rising ownership of air conditioners (ACs). The rate of increase in ownership is slowing, but AC numbers will continue to rise due to population growth. However, the Australian Energy Market Operator (AEMO) now projects electric vehicle (EV) charging to take over as the driver of peak demand in the late 2020s and 2030s.</w:t>
      </w:r>
      <w:r w:rsidRPr="00A37634">
        <w:rPr>
          <w:rFonts w:ascii="Calibri" w:eastAsia="Calibri" w:hAnsi="Calibri" w:cs="Calibri"/>
          <w:szCs w:val="20"/>
          <w:vertAlign w:val="superscript"/>
          <w:lang w:val="en-AU"/>
        </w:rPr>
        <w:footnoteReference w:id="12"/>
      </w:r>
    </w:p>
    <w:p w14:paraId="7E9DD034" w14:textId="3A60D16F"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11" w:name="_Ref395956978"/>
      <w:bookmarkStart w:id="12" w:name="_Toc11360665"/>
      <w:bookmarkStart w:id="13" w:name="_Toc16500978"/>
      <w:r w:rsidRPr="00A37634">
        <w:rPr>
          <w:rFonts w:ascii="Calibri" w:eastAsia="Cambria" w:hAnsi="Calibri" w:cs="Calibri"/>
          <w:b/>
          <w:bCs/>
          <w:sz w:val="20"/>
          <w:szCs w:val="16"/>
          <w:lang w:val="en-AU"/>
        </w:rPr>
        <w:t xml:space="preserve">Figure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Figure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w:t>
      </w:r>
      <w:r w:rsidRPr="00A37634">
        <w:rPr>
          <w:rFonts w:ascii="Calibri" w:eastAsia="Cambria" w:hAnsi="Calibri" w:cs="Calibri"/>
          <w:b/>
          <w:bCs/>
          <w:noProof/>
          <w:sz w:val="20"/>
          <w:szCs w:val="16"/>
          <w:lang w:val="en-AU"/>
        </w:rPr>
        <w:fldChar w:fldCharType="end"/>
      </w:r>
      <w:bookmarkEnd w:id="11"/>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Electricity networks must be built for the ‘peakiest’ events</w:t>
      </w:r>
      <w:bookmarkEnd w:id="12"/>
      <w:bookmarkEnd w:id="13"/>
    </w:p>
    <w:p w14:paraId="07495A33" w14:textId="77777777" w:rsidR="00A37634" w:rsidRPr="00A37634" w:rsidRDefault="00A37634" w:rsidP="00A37634">
      <w:pPr>
        <w:spacing w:before="120" w:after="120" w:line="276" w:lineRule="auto"/>
        <w:jc w:val="center"/>
        <w:rPr>
          <w:rFonts w:ascii="Calibri" w:eastAsia="Calibri" w:hAnsi="Calibri" w:cs="Calibri"/>
          <w:szCs w:val="20"/>
          <w:u w:val="single"/>
          <w:lang w:val="en-AU"/>
        </w:rPr>
      </w:pPr>
      <w:r w:rsidRPr="00A37634">
        <w:rPr>
          <w:rFonts w:ascii="Calibri" w:eastAsia="Calibri" w:hAnsi="Calibri" w:cs="Calibri"/>
          <w:noProof/>
          <w:szCs w:val="20"/>
          <w:lang w:val="en-AU" w:eastAsia="en-AU"/>
        </w:rPr>
        <w:drawing>
          <wp:inline distT="0" distB="0" distL="0" distR="0" wp14:anchorId="1D8E2A9B" wp14:editId="41E5480C">
            <wp:extent cx="4355274" cy="2838450"/>
            <wp:effectExtent l="0" t="0" r="7620" b="0"/>
            <wp:docPr id="63" name="Picture 63"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36619" cy="2891465"/>
                    </a:xfrm>
                    <a:prstGeom prst="rect">
                      <a:avLst/>
                    </a:prstGeom>
                    <a:noFill/>
                    <a:ln>
                      <a:noFill/>
                    </a:ln>
                  </pic:spPr>
                </pic:pic>
              </a:graphicData>
            </a:graphic>
          </wp:inline>
        </w:drawing>
      </w:r>
      <w:r w:rsidRPr="00A37634">
        <w:rPr>
          <w:rFonts w:ascii="Calibri" w:eastAsia="Calibri" w:hAnsi="Calibri" w:cs="Calibri"/>
          <w:noProof/>
          <w:szCs w:val="20"/>
          <w:lang w:val="en-AU"/>
        </w:rPr>
        <w:t xml:space="preserve"> </w:t>
      </w:r>
    </w:p>
    <w:p w14:paraId="2415FB05" w14:textId="77777777" w:rsidR="00A37634" w:rsidRPr="00A37634" w:rsidRDefault="00A37634" w:rsidP="00A37634">
      <w:pPr>
        <w:spacing w:before="120" w:after="120" w:line="276" w:lineRule="auto"/>
        <w:jc w:val="center"/>
        <w:rPr>
          <w:rFonts w:ascii="Calibri" w:eastAsia="Calibri" w:hAnsi="Calibri" w:cs="Calibri"/>
          <w:sz w:val="16"/>
          <w:szCs w:val="16"/>
          <w:lang w:val="en-AU"/>
        </w:rPr>
      </w:pPr>
      <w:r w:rsidRPr="00A37634">
        <w:rPr>
          <w:rFonts w:ascii="Calibri" w:eastAsia="Calibri" w:hAnsi="Calibri" w:cs="Calibri"/>
          <w:sz w:val="16"/>
          <w:szCs w:val="16"/>
          <w:lang w:val="en-AU"/>
        </w:rPr>
        <w:t xml:space="preserve">Source: </w:t>
      </w:r>
      <w:proofErr w:type="spellStart"/>
      <w:r w:rsidRPr="00A37634">
        <w:rPr>
          <w:rFonts w:ascii="Calibri" w:eastAsia="Calibri" w:hAnsi="Calibri" w:cs="Calibri"/>
          <w:sz w:val="16"/>
          <w:szCs w:val="16"/>
          <w:lang w:val="en-AU"/>
        </w:rPr>
        <w:t>Ausgrid</w:t>
      </w:r>
      <w:proofErr w:type="spellEnd"/>
      <w:r w:rsidRPr="00A37634">
        <w:rPr>
          <w:rFonts w:ascii="Calibri" w:eastAsia="Calibri" w:hAnsi="Calibri" w:cs="Calibri"/>
          <w:sz w:val="16"/>
          <w:szCs w:val="16"/>
          <w:lang w:val="en-AU"/>
        </w:rPr>
        <w:t xml:space="preserve"> (2018) Macquarie Park Zone Substation, demand projections for 2021/22 </w:t>
      </w:r>
    </w:p>
    <w:p w14:paraId="3E58B26A" w14:textId="41D2945C" w:rsidR="00D8211A" w:rsidRPr="00D8211A" w:rsidRDefault="00A37634" w:rsidP="00D8211A">
      <w:pPr>
        <w:rPr>
          <w:lang w:val="en-AU"/>
        </w:rPr>
      </w:pPr>
      <w:r w:rsidRPr="00A37634">
        <w:rPr>
          <w:lang w:val="en-AU"/>
        </w:rPr>
        <w:t>One of the factors moderating growth in afternoon peak demand is solar photovoltaics (PV). While this brings financial benefits to the owners and reduces the greenhouse gas-intensity of electricity supply, it also imposes network costs which need to be recouped from all network users, including householders without PV.</w:t>
      </w:r>
      <w:r w:rsidR="00D8211A" w:rsidRPr="00D8211A">
        <w:rPr>
          <w:lang w:val="en-AU"/>
        </w:rPr>
        <w:t xml:space="preserve"> </w:t>
      </w:r>
      <w:r w:rsidR="00E401CD" w:rsidRPr="00E401CD">
        <w:rPr>
          <w:b/>
          <w:lang w:val="en-AU"/>
        </w:rPr>
        <w:t>Figure 2</w:t>
      </w:r>
      <w:r w:rsidR="00D8211A" w:rsidRPr="00D8211A">
        <w:rPr>
          <w:lang w:val="en-AU"/>
        </w:rPr>
        <w:t xml:space="preserve"> illustrates the changes in daily load pattern on a residential feeder in Queensland at yearly intervals between 2010 and 2017, as the local concentration of PV has increased. Since 2015, the daytime load has become negative, so the local area back-feeds energy through the zone substation. The increase in daily variance makes it more challenging to keep the network voltage within statutory limits, and can result in decreased asset life as voltage regulation devices operate more frequently. </w:t>
      </w:r>
    </w:p>
    <w:p w14:paraId="79A08D23" w14:textId="7985F312" w:rsidR="00A37634" w:rsidRPr="00A37634" w:rsidRDefault="00A37634" w:rsidP="00D8211A">
      <w:pPr>
        <w:rPr>
          <w:rFonts w:ascii="Calibri" w:eastAsia="Calibri" w:hAnsi="Calibri" w:cs="Calibri"/>
          <w:szCs w:val="20"/>
          <w:lang w:val="en-AU"/>
        </w:rPr>
      </w:pPr>
      <w:r w:rsidRPr="00A37634">
        <w:rPr>
          <w:rFonts w:ascii="Calibri" w:eastAsia="Calibri" w:hAnsi="Calibri" w:cs="Calibri"/>
          <w:szCs w:val="20"/>
          <w:lang w:val="en-AU"/>
        </w:rPr>
        <w:t xml:space="preserve">This increasingly typical load shape (known in the electricity supply industry as the “duck curve”) also means that fossil fuel generators must be brought on more quickly to meet the rapid rise in the post-solar evening peak. </w:t>
      </w:r>
    </w:p>
    <w:p w14:paraId="1F537E97"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A lack of cost reflective price signals has been a major contributor to the peak demand problem, encouraging over consumption at peak times and inefficient supply side investment which may only be utilised for a handful of days a year. At the same time, PV owners do not receive effective signals of the costs of generating and exporting energy at times of low load, further encouraging inefficient supply side investment. The cost of additional network capacity is spread across all consumers regardless of whether or not their actions contribute to inefficient supply-side investments, so creating significant cross subsidies. </w:t>
      </w:r>
    </w:p>
    <w:p w14:paraId="612C1888" w14:textId="1744C8F8" w:rsidR="00A37634" w:rsidRDefault="00A37634" w:rsidP="00A37634">
      <w:pPr>
        <w:spacing w:before="240" w:after="120" w:line="240" w:lineRule="auto"/>
        <w:jc w:val="center"/>
        <w:rPr>
          <w:rFonts w:ascii="Calibri" w:eastAsia="Cambria" w:hAnsi="Calibri" w:cs="Calibri"/>
          <w:b/>
          <w:bCs/>
          <w:sz w:val="20"/>
          <w:szCs w:val="16"/>
          <w:lang w:val="en-AU"/>
        </w:rPr>
      </w:pPr>
      <w:bookmarkStart w:id="14" w:name="_Ref13049415"/>
    </w:p>
    <w:p w14:paraId="44DE9BF9" w14:textId="77777777" w:rsidR="00D24A37" w:rsidRPr="00A37634" w:rsidRDefault="00D24A37" w:rsidP="00A37634">
      <w:pPr>
        <w:spacing w:before="240" w:after="120" w:line="240" w:lineRule="auto"/>
        <w:jc w:val="center"/>
        <w:rPr>
          <w:rFonts w:ascii="Calibri" w:eastAsia="Cambria" w:hAnsi="Calibri" w:cs="Calibri"/>
          <w:b/>
          <w:bCs/>
          <w:sz w:val="20"/>
          <w:szCs w:val="16"/>
          <w:lang w:val="en-AU"/>
        </w:rPr>
      </w:pPr>
    </w:p>
    <w:p w14:paraId="73B603A7" w14:textId="77777777" w:rsidR="00A37634" w:rsidRPr="00A37634" w:rsidRDefault="00A37634" w:rsidP="00A37634">
      <w:pPr>
        <w:spacing w:before="240" w:after="120" w:line="240" w:lineRule="auto"/>
        <w:jc w:val="center"/>
        <w:rPr>
          <w:rFonts w:ascii="Calibri" w:eastAsia="Cambria" w:hAnsi="Calibri" w:cs="Calibri"/>
          <w:b/>
          <w:bCs/>
          <w:sz w:val="20"/>
          <w:szCs w:val="16"/>
          <w:lang w:val="en-AU"/>
        </w:rPr>
      </w:pPr>
    </w:p>
    <w:p w14:paraId="28B70D3D" w14:textId="77777777" w:rsidR="00A37634" w:rsidRPr="00A37634" w:rsidRDefault="00A37634" w:rsidP="00A37634">
      <w:pPr>
        <w:spacing w:before="240" w:after="120" w:line="240" w:lineRule="auto"/>
        <w:jc w:val="center"/>
        <w:rPr>
          <w:rFonts w:ascii="Calibri" w:eastAsia="Cambria" w:hAnsi="Calibri" w:cs="Calibri"/>
          <w:b/>
          <w:bCs/>
          <w:sz w:val="20"/>
          <w:szCs w:val="16"/>
          <w:lang w:val="en-AU"/>
        </w:rPr>
      </w:pPr>
    </w:p>
    <w:p w14:paraId="1183A279" w14:textId="77777777" w:rsidR="00A37634" w:rsidRPr="00A37634" w:rsidRDefault="00A37634" w:rsidP="00A37634">
      <w:pPr>
        <w:spacing w:before="240" w:after="120" w:line="240" w:lineRule="auto"/>
        <w:jc w:val="center"/>
        <w:rPr>
          <w:rFonts w:ascii="Calibri" w:eastAsia="Cambria" w:hAnsi="Calibri" w:cs="Calibri"/>
          <w:b/>
          <w:bCs/>
          <w:sz w:val="20"/>
          <w:szCs w:val="16"/>
          <w:lang w:val="en-AU"/>
        </w:rPr>
      </w:pPr>
    </w:p>
    <w:p w14:paraId="710D6567" w14:textId="77777777" w:rsidR="004F7A4B" w:rsidRDefault="004F7A4B" w:rsidP="00A37634">
      <w:pPr>
        <w:spacing w:before="240" w:after="120" w:line="240" w:lineRule="auto"/>
        <w:jc w:val="center"/>
        <w:rPr>
          <w:rFonts w:ascii="Calibri" w:eastAsia="Cambria" w:hAnsi="Calibri" w:cs="Calibri"/>
          <w:b/>
          <w:bCs/>
          <w:sz w:val="20"/>
          <w:szCs w:val="16"/>
          <w:lang w:val="en-AU"/>
        </w:rPr>
      </w:pPr>
      <w:bookmarkStart w:id="15" w:name="_Toc16500979"/>
    </w:p>
    <w:p w14:paraId="01FCB01C" w14:textId="24710E53" w:rsidR="00A37634" w:rsidRPr="00A37634" w:rsidRDefault="00A37634" w:rsidP="00A37634">
      <w:pPr>
        <w:spacing w:before="240" w:after="120" w:line="240" w:lineRule="auto"/>
        <w:jc w:val="center"/>
        <w:rPr>
          <w:rFonts w:ascii="Calibri" w:eastAsia="Cambria" w:hAnsi="Calibri" w:cs="Calibri"/>
          <w:b/>
          <w:bCs/>
          <w:sz w:val="20"/>
          <w:szCs w:val="16"/>
          <w:lang w:val="en-AU"/>
        </w:rPr>
      </w:pPr>
      <w:r w:rsidRPr="00A37634">
        <w:rPr>
          <w:rFonts w:ascii="Calibri" w:eastAsia="Cambria" w:hAnsi="Calibri" w:cs="Calibri"/>
          <w:b/>
          <w:bCs/>
          <w:sz w:val="20"/>
          <w:szCs w:val="16"/>
          <w:lang w:val="en-AU"/>
        </w:rPr>
        <w:t xml:space="preserve">Figure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Figure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2</w:t>
      </w:r>
      <w:r w:rsidRPr="00A37634">
        <w:rPr>
          <w:rFonts w:ascii="Calibri" w:eastAsia="Cambria" w:hAnsi="Calibri" w:cs="Calibri"/>
          <w:b/>
          <w:bCs/>
          <w:noProof/>
          <w:sz w:val="20"/>
          <w:szCs w:val="16"/>
          <w:lang w:val="en-AU"/>
        </w:rPr>
        <w:fldChar w:fldCharType="end"/>
      </w:r>
      <w:bookmarkEnd w:id="14"/>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The growth of solar PV brings new challenges</w:t>
      </w:r>
      <w:bookmarkEnd w:id="15"/>
    </w:p>
    <w:p w14:paraId="55FCE5D5" w14:textId="77777777" w:rsidR="00A37634" w:rsidRPr="00A37634" w:rsidRDefault="00A37634" w:rsidP="00A37634">
      <w:pPr>
        <w:spacing w:after="120" w:line="276" w:lineRule="auto"/>
        <w:jc w:val="center"/>
        <w:rPr>
          <w:rFonts w:ascii="Calibri" w:eastAsia="Calibri" w:hAnsi="Calibri" w:cs="Calibri"/>
          <w:szCs w:val="20"/>
          <w:lang w:val="en-AU"/>
        </w:rPr>
      </w:pPr>
      <w:r w:rsidRPr="00A37634">
        <w:rPr>
          <w:rFonts w:ascii="Calibri" w:eastAsia="Calibri" w:hAnsi="Calibri" w:cs="Calibri"/>
          <w:noProof/>
          <w:szCs w:val="20"/>
          <w:lang w:val="en-AU" w:eastAsia="en-AU"/>
        </w:rPr>
        <w:drawing>
          <wp:inline distT="0" distB="0" distL="0" distR="0" wp14:anchorId="506DD0FF" wp14:editId="453743CB">
            <wp:extent cx="4438650" cy="2961401"/>
            <wp:effectExtent l="19050" t="19050" r="19050" b="10795"/>
            <wp:docPr id="62" name="Picture 62"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10061" cy="3009045"/>
                    </a:xfrm>
                    <a:prstGeom prst="rect">
                      <a:avLst/>
                    </a:prstGeom>
                    <a:noFill/>
                    <a:ln>
                      <a:solidFill>
                        <a:sysClr val="windowText" lastClr="000000"/>
                      </a:solidFill>
                    </a:ln>
                  </pic:spPr>
                </pic:pic>
              </a:graphicData>
            </a:graphic>
          </wp:inline>
        </w:drawing>
      </w:r>
    </w:p>
    <w:p w14:paraId="6209F70B" w14:textId="77777777" w:rsidR="00A37634" w:rsidRPr="00A37634" w:rsidRDefault="00A37634" w:rsidP="00A37634">
      <w:pPr>
        <w:spacing w:before="120" w:after="120" w:line="276" w:lineRule="auto"/>
        <w:jc w:val="center"/>
        <w:rPr>
          <w:rFonts w:ascii="Calibri" w:eastAsia="Calibri" w:hAnsi="Calibri" w:cs="Calibri"/>
          <w:sz w:val="16"/>
          <w:szCs w:val="16"/>
          <w:lang w:val="en-AU"/>
        </w:rPr>
      </w:pPr>
      <w:r w:rsidRPr="00A37634">
        <w:rPr>
          <w:rFonts w:ascii="Calibri" w:eastAsia="Calibri" w:hAnsi="Calibri" w:cs="Calibri"/>
          <w:sz w:val="16"/>
          <w:szCs w:val="16"/>
          <w:lang w:val="en-AU"/>
        </w:rPr>
        <w:t xml:space="preserve">Source: Energy Queensland (2018). Daily load curves, </w:t>
      </w:r>
      <w:proofErr w:type="spellStart"/>
      <w:r w:rsidRPr="00A37634">
        <w:rPr>
          <w:rFonts w:ascii="Calibri" w:eastAsia="Calibri" w:hAnsi="Calibri" w:cs="Calibri"/>
          <w:sz w:val="16"/>
          <w:szCs w:val="16"/>
          <w:lang w:val="en-AU"/>
        </w:rPr>
        <w:t>Burrum</w:t>
      </w:r>
      <w:proofErr w:type="spellEnd"/>
      <w:r w:rsidRPr="00A37634">
        <w:rPr>
          <w:rFonts w:ascii="Calibri" w:eastAsia="Calibri" w:hAnsi="Calibri" w:cs="Calibri"/>
          <w:sz w:val="16"/>
          <w:szCs w:val="16"/>
          <w:lang w:val="en-AU"/>
        </w:rPr>
        <w:t xml:space="preserve"> feeder, 2010-17</w:t>
      </w:r>
    </w:p>
    <w:p w14:paraId="33574999" w14:textId="77777777" w:rsidR="00A37634" w:rsidRPr="00A37634" w:rsidRDefault="00A37634" w:rsidP="00A37634">
      <w:pPr>
        <w:spacing w:before="240" w:after="120" w:line="276" w:lineRule="auto"/>
        <w:rPr>
          <w:rFonts w:ascii="Calibri" w:eastAsia="Calibri" w:hAnsi="Calibri" w:cs="Calibri"/>
          <w:szCs w:val="20"/>
          <w:lang w:val="en-AU"/>
        </w:rPr>
      </w:pPr>
      <w:r w:rsidRPr="00A37634">
        <w:rPr>
          <w:rFonts w:ascii="Calibri" w:eastAsia="Calibri" w:hAnsi="Calibri" w:cs="Calibri"/>
          <w:szCs w:val="20"/>
          <w:lang w:val="en-AU"/>
        </w:rPr>
        <w:t>This issue can be addressed by:</w:t>
      </w:r>
    </w:p>
    <w:p w14:paraId="36AF3BF0" w14:textId="77777777" w:rsidR="00A37634" w:rsidRPr="00A37634" w:rsidRDefault="00A37634" w:rsidP="00A37634">
      <w:pPr>
        <w:numPr>
          <w:ilvl w:val="0"/>
          <w:numId w:val="13"/>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Appropriate pricing that reflects the cost of electricity and provides clear signals that encourage consumers to manage their demand;</w:t>
      </w:r>
    </w:p>
    <w:p w14:paraId="7B9B395B" w14:textId="77777777" w:rsidR="00A37634" w:rsidRPr="00A37634" w:rsidRDefault="00A37634" w:rsidP="00A37634">
      <w:pPr>
        <w:numPr>
          <w:ilvl w:val="0"/>
          <w:numId w:val="13"/>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Enabling technologies such as smart metering and in-home or in-app displays which support the ability of consumers to undertake DR manually; and</w:t>
      </w:r>
    </w:p>
    <w:p w14:paraId="0CF449BA" w14:textId="77777777" w:rsidR="00A37634" w:rsidRPr="00A37634" w:rsidRDefault="00A37634" w:rsidP="00A37634">
      <w:pPr>
        <w:numPr>
          <w:ilvl w:val="0"/>
          <w:numId w:val="13"/>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The development of automated DR.</w:t>
      </w:r>
    </w:p>
    <w:p w14:paraId="12BD2D2E"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low incidence of time-of-use (TOU) signals in electricity pricing is a regulatory failure that needs to be addressed through the actions of governments, electricity regulators and consumers. However, it is compounded by a market failure in the provision of services and technologies that can contribute to more economically efficient load management, irrespective of the pricing regime.  </w:t>
      </w:r>
    </w:p>
    <w:p w14:paraId="7E7AF18F"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It is proposed to address this market failure by facilitating the supply of an enabling technology – demand-responsive or “smart” appliances. This will support the development of a Direct Load Control (DLC) DR market which does not rely on TOU pricing, but which will provide more options to consumers to respond to price signals as they become more prevalent in the electricity market.</w:t>
      </w:r>
    </w:p>
    <w:p w14:paraId="4D91EF76"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development of demand-responsive appliances is inhibited by market failure in the form of “network externality” in which the benefit an individual can derive from a product or service depends on the number of other users. In order for an individual consumer to benefit from having an appliance with a particular DR capability, a sufficient number of other consumers must have products with the same capabilities. This enables DR </w:t>
      </w:r>
      <w:proofErr w:type="gramStart"/>
      <w:r w:rsidRPr="00A37634">
        <w:rPr>
          <w:rFonts w:ascii="Calibri" w:eastAsia="Calibri" w:hAnsi="Calibri" w:cs="Calibri"/>
          <w:szCs w:val="20"/>
          <w:lang w:val="en-AU"/>
        </w:rPr>
        <w:t>service</w:t>
      </w:r>
      <w:proofErr w:type="gramEnd"/>
      <w:r w:rsidRPr="00A37634">
        <w:rPr>
          <w:rFonts w:ascii="Calibri" w:eastAsia="Calibri" w:hAnsi="Calibri" w:cs="Calibri"/>
          <w:szCs w:val="20"/>
          <w:lang w:val="en-AU"/>
        </w:rPr>
        <w:t xml:space="preserve"> providers (DRSPs) to achieve economies of scale, making it feasible for them to offer DR schemes to all consumers. </w:t>
      </w:r>
    </w:p>
    <w:p w14:paraId="729C6D16"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Currently, competing technologies and a lack of standardisation undermine the economies of scale, increasing costs and risks for appliance manufacturers and deterring potential DR </w:t>
      </w:r>
      <w:proofErr w:type="gramStart"/>
      <w:r w:rsidRPr="00A37634">
        <w:rPr>
          <w:rFonts w:ascii="Calibri" w:eastAsia="Calibri" w:hAnsi="Calibri" w:cs="Calibri"/>
          <w:szCs w:val="20"/>
          <w:lang w:val="en-AU"/>
        </w:rPr>
        <w:t>service</w:t>
      </w:r>
      <w:proofErr w:type="gramEnd"/>
      <w:r w:rsidRPr="00A37634">
        <w:rPr>
          <w:rFonts w:ascii="Calibri" w:eastAsia="Calibri" w:hAnsi="Calibri" w:cs="Calibri"/>
          <w:szCs w:val="20"/>
          <w:lang w:val="en-AU"/>
        </w:rPr>
        <w:t xml:space="preserve"> providers. They also increase transaction costs for DRSPs, who have to pay large upfront incentives to get consumers to purchase specific technologies or models compatible with the service provider’s systems.    </w:t>
      </w:r>
    </w:p>
    <w:p w14:paraId="7611E26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Australian and New Zealand Standard AS/NZS 4755 </w:t>
      </w:r>
      <w:r w:rsidRPr="00A37634">
        <w:rPr>
          <w:rFonts w:ascii="Calibri" w:eastAsia="Calibri" w:hAnsi="Calibri" w:cs="Calibri"/>
          <w:i/>
          <w:iCs/>
          <w:szCs w:val="20"/>
          <w:lang w:val="en-AU"/>
        </w:rPr>
        <w:t>Demand response capabilities and supporting technologies for electrical products</w:t>
      </w:r>
      <w:r w:rsidRPr="00A37634">
        <w:rPr>
          <w:rFonts w:ascii="Calibri" w:eastAsia="Calibri" w:hAnsi="Calibri" w:cs="Calibri"/>
          <w:szCs w:val="20"/>
          <w:lang w:val="en-AU"/>
        </w:rPr>
        <w:t xml:space="preserve">, which is proposed for mandatory adoption, is an open rather than a proprietary standard. Using an open standard would lower costs for manufacturers and DRSPs, and facilitate the development of DR. </w:t>
      </w:r>
    </w:p>
    <w:p w14:paraId="272825C6" w14:textId="77777777" w:rsidR="00A37634" w:rsidRPr="00A37634" w:rsidRDefault="00A37634" w:rsidP="00A37634">
      <w:pPr>
        <w:spacing w:after="120" w:line="276" w:lineRule="auto"/>
        <w:jc w:val="both"/>
        <w:rPr>
          <w:rFonts w:ascii="Calibri" w:eastAsia="Calibri" w:hAnsi="Calibri" w:cs="Calibri"/>
          <w:szCs w:val="20"/>
          <w:lang w:val="en-AU"/>
        </w:rPr>
      </w:pPr>
    </w:p>
    <w:p w14:paraId="4A3DDCFE" w14:textId="77777777" w:rsidR="00A37634" w:rsidRPr="00A37634" w:rsidRDefault="00A37634" w:rsidP="00A37634">
      <w:pPr>
        <w:pageBreakBefore/>
        <w:pBdr>
          <w:bottom w:val="single" w:sz="12" w:space="1" w:color="ED1B24"/>
        </w:pBdr>
        <w:spacing w:before="200" w:after="600" w:line="240" w:lineRule="auto"/>
        <w:outlineLvl w:val="0"/>
        <w:rPr>
          <w:rFonts w:ascii="Calibri" w:eastAsia="Times New Roman" w:hAnsi="Calibri" w:cs="Calibri"/>
          <w:b/>
          <w:bCs/>
          <w:color w:val="ED1B24"/>
          <w:sz w:val="50"/>
          <w:szCs w:val="28"/>
          <w:lang w:val="en-AU"/>
        </w:rPr>
      </w:pPr>
      <w:bookmarkStart w:id="16" w:name="_Toc349659342"/>
      <w:bookmarkStart w:id="17" w:name="_Toc349829772"/>
      <w:bookmarkStart w:id="18" w:name="_Toc351542072"/>
      <w:bookmarkStart w:id="19" w:name="_Toc11360528"/>
      <w:bookmarkStart w:id="20" w:name="_Toc16500970"/>
      <w:r w:rsidRPr="00A37634">
        <w:rPr>
          <w:rFonts w:ascii="Calibri" w:eastAsia="Times New Roman" w:hAnsi="Calibri" w:cs="Calibri"/>
          <w:b/>
          <w:bCs/>
          <w:color w:val="ED1B24"/>
          <w:sz w:val="50"/>
          <w:szCs w:val="28"/>
          <w:lang w:val="en-AU"/>
        </w:rPr>
        <w:t>Options</w:t>
      </w:r>
      <w:bookmarkEnd w:id="16"/>
      <w:bookmarkEnd w:id="17"/>
      <w:bookmarkEnd w:id="18"/>
      <w:bookmarkEnd w:id="19"/>
      <w:r w:rsidRPr="00A37634">
        <w:rPr>
          <w:rFonts w:ascii="Calibri" w:eastAsia="Times New Roman" w:hAnsi="Calibri" w:cs="Calibri"/>
          <w:b/>
          <w:bCs/>
          <w:color w:val="ED1B24"/>
          <w:sz w:val="50"/>
          <w:szCs w:val="28"/>
          <w:lang w:val="en-AU"/>
        </w:rPr>
        <w:t xml:space="preserve"> and Regulatory Drivers</w:t>
      </w:r>
      <w:bookmarkEnd w:id="20"/>
    </w:p>
    <w:p w14:paraId="4253E1BA"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Of the options available to governments to address the objectives of the proposal, the following are considered:</w:t>
      </w:r>
    </w:p>
    <w:p w14:paraId="2707742A" w14:textId="77777777" w:rsidR="00A37634" w:rsidRPr="00A37634" w:rsidRDefault="00A37634" w:rsidP="00A37634">
      <w:pPr>
        <w:numPr>
          <w:ilvl w:val="0"/>
          <w:numId w:val="18"/>
        </w:numPr>
        <w:spacing w:before="120" w:after="120" w:line="240" w:lineRule="auto"/>
        <w:ind w:left="714" w:hanging="357"/>
        <w:contextualSpacing/>
        <w:rPr>
          <w:rFonts w:ascii="Calibri" w:eastAsia="Calibri" w:hAnsi="Calibri" w:cs="Calibri"/>
          <w:szCs w:val="20"/>
          <w:lang w:val="en-AU"/>
        </w:rPr>
      </w:pPr>
      <w:r w:rsidRPr="00A37634">
        <w:rPr>
          <w:rFonts w:ascii="Calibri" w:eastAsia="Calibri" w:hAnsi="Calibri" w:cs="Calibri"/>
          <w:szCs w:val="20"/>
          <w:lang w:val="en-AU"/>
        </w:rPr>
        <w:t>Business as Usual (BAU) – no new regulation;</w:t>
      </w:r>
    </w:p>
    <w:p w14:paraId="64002FB2" w14:textId="77777777" w:rsidR="00A37634" w:rsidRPr="00A37634" w:rsidRDefault="00A37634" w:rsidP="00A37634">
      <w:pPr>
        <w:numPr>
          <w:ilvl w:val="0"/>
          <w:numId w:val="18"/>
        </w:numPr>
        <w:spacing w:before="120" w:after="120" w:line="240" w:lineRule="auto"/>
        <w:ind w:left="714" w:hanging="357"/>
        <w:contextualSpacing/>
        <w:rPr>
          <w:rFonts w:ascii="Calibri" w:eastAsia="Calibri" w:hAnsi="Calibri" w:cs="Calibri"/>
          <w:szCs w:val="20"/>
          <w:lang w:val="en-AU"/>
        </w:rPr>
      </w:pPr>
      <w:r w:rsidRPr="00A37634">
        <w:rPr>
          <w:rFonts w:ascii="Calibri" w:eastAsia="Calibri" w:hAnsi="Calibri" w:cs="Calibri"/>
          <w:szCs w:val="20"/>
          <w:lang w:val="en-AU"/>
        </w:rPr>
        <w:t xml:space="preserve">Encourage the voluntary adoption of demand responsive appliances; or </w:t>
      </w:r>
    </w:p>
    <w:p w14:paraId="7632A198" w14:textId="77777777" w:rsidR="00A37634" w:rsidRPr="00A37634" w:rsidRDefault="00A37634" w:rsidP="00A37634">
      <w:pPr>
        <w:numPr>
          <w:ilvl w:val="0"/>
          <w:numId w:val="18"/>
        </w:numPr>
        <w:spacing w:before="120" w:after="120" w:line="240" w:lineRule="auto"/>
        <w:ind w:left="714" w:hanging="357"/>
        <w:contextualSpacing/>
        <w:rPr>
          <w:rFonts w:ascii="Calibri" w:eastAsia="Calibri" w:hAnsi="Calibri" w:cs="Calibri"/>
          <w:szCs w:val="20"/>
          <w:lang w:val="en-AU"/>
        </w:rPr>
      </w:pPr>
      <w:r w:rsidRPr="00A37634">
        <w:rPr>
          <w:rFonts w:ascii="Calibri" w:eastAsia="Calibri" w:hAnsi="Calibri" w:cs="Calibri"/>
          <w:szCs w:val="20"/>
          <w:lang w:val="en-AU"/>
        </w:rPr>
        <w:t>Mandate the presence of DR capabilities in the products which contribute (or are likely to contribute) most to peak demand, and for the products where DR could help alleviate network and power quality problems.</w:t>
      </w:r>
    </w:p>
    <w:p w14:paraId="0F6E2D92"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32"/>
          <w:szCs w:val="24"/>
          <w:lang w:val="en-AU"/>
        </w:rPr>
      </w:pPr>
      <w:bookmarkStart w:id="21" w:name="_GoBack"/>
      <w:r w:rsidRPr="00A37634">
        <w:rPr>
          <w:rFonts w:ascii="Calibri" w:eastAsia="Times New Roman" w:hAnsi="Calibri" w:cs="Calibri"/>
          <w:b/>
          <w:color w:val="FF0000"/>
          <w:sz w:val="32"/>
          <w:szCs w:val="24"/>
          <w:lang w:val="en-AU"/>
        </w:rPr>
        <w:t xml:space="preserve">Option 1 – Business as Usual (BAU) – No New Regulations </w:t>
      </w:r>
    </w:p>
    <w:bookmarkEnd w:id="21"/>
    <w:p w14:paraId="10D6FC81"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Under this scenario, the development of DR initiative would be left to the market. Compliance with AS/NZS 4755 or any other standard would not be mandated. </w:t>
      </w:r>
      <w:r w:rsidRPr="00A37634">
        <w:rPr>
          <w:rFonts w:ascii="Calibri" w:eastAsia="Calibri" w:hAnsi="Calibri" w:cs="Calibri"/>
          <w:color w:val="000000"/>
          <w:szCs w:val="20"/>
          <w:lang w:val="en-AU"/>
        </w:rPr>
        <w:t>Any DRSP could offer incentives for consumers to purchase products with any capability.</w:t>
      </w:r>
      <w:r w:rsidRPr="00A37634">
        <w:rPr>
          <w:rFonts w:ascii="Calibri" w:eastAsia="Calibri" w:hAnsi="Calibri" w:cs="Calibri"/>
          <w:color w:val="FF0000"/>
          <w:szCs w:val="20"/>
          <w:lang w:val="en-AU"/>
        </w:rPr>
        <w:t xml:space="preserve"> </w:t>
      </w:r>
      <w:r w:rsidRPr="00A37634">
        <w:rPr>
          <w:rFonts w:ascii="Calibri" w:eastAsia="Calibri" w:hAnsi="Calibri" w:cs="Calibri"/>
          <w:szCs w:val="20"/>
          <w:lang w:val="en-AU"/>
        </w:rPr>
        <w:t>Although some DLC initiatives may continue, management of peak demand and power quality would probably rely primarily on electricity pricing and price-related DR.</w:t>
      </w:r>
    </w:p>
    <w:p w14:paraId="22A198C3"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If the voluntary adoption of demand responsive appliances were sufficient to support a DR market, this approach would be more flexible than a mandatory scheme. The inclusion of DR capability in appliances would be market led rather than determined by government, and would not impose additional mandatory requirements on manufacturers.</w:t>
      </w:r>
    </w:p>
    <w:p w14:paraId="2C6E37A6"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Phasing in cost reflective electricity pricing would create some interest in DR, but most consumers would need to respond manually because automated DR programs would be limited in number and scale. It is expected that only a minority of AC owners would respond manually to cost-reflective pricing during extreme summer peak demand events, which is when a response is most needed. Consumer awareness of the risk of increased energy costs during peak periods would most likely increase resistance to adopting cost-reflective pricing.</w:t>
      </w:r>
    </w:p>
    <w:p w14:paraId="1B59A7BC"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Some reduction in peak demand may also occur as a result of existing E3 energy efficiency measures such as more stringent Minimum Energy Performance Standards (MEPS) for the products in question.</w:t>
      </w:r>
    </w:p>
    <w:p w14:paraId="59849543" w14:textId="77777777" w:rsidR="00A37634" w:rsidRPr="00A37634" w:rsidRDefault="00A37634" w:rsidP="00A37634">
      <w:pPr>
        <w:spacing w:before="240" w:after="240" w:line="276" w:lineRule="auto"/>
        <w:rPr>
          <w:rFonts w:ascii="Calibri" w:eastAsia="Calibri" w:hAnsi="Calibri" w:cs="Calibri"/>
          <w:b/>
          <w:bCs/>
          <w:color w:val="FF0000"/>
          <w:sz w:val="28"/>
          <w:szCs w:val="20"/>
          <w:lang w:val="en-AU"/>
        </w:rPr>
      </w:pPr>
      <w:r w:rsidRPr="00A37634">
        <w:rPr>
          <w:rFonts w:ascii="Calibri" w:eastAsia="Calibri" w:hAnsi="Calibri" w:cs="Calibri"/>
          <w:b/>
          <w:bCs/>
          <w:color w:val="FF0000"/>
          <w:sz w:val="28"/>
          <w:szCs w:val="20"/>
          <w:lang w:val="en-AU"/>
        </w:rPr>
        <w:t>Trials of DR Functionality</w:t>
      </w:r>
    </w:p>
    <w:p w14:paraId="4E5F0D7F"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2013 Consultation Regulation Impact Statement (RIS) reported 9 Australian trials of air conditioner DR between 2005 and 2012, involving ETSA Utilities, Energex, Ergon, Western Power, Endeavour Energy and </w:t>
      </w:r>
      <w:proofErr w:type="spellStart"/>
      <w:r w:rsidRPr="00A37634">
        <w:rPr>
          <w:rFonts w:ascii="Calibri" w:eastAsia="Calibri" w:hAnsi="Calibri" w:cs="Calibri"/>
          <w:szCs w:val="20"/>
          <w:lang w:val="en-AU"/>
        </w:rPr>
        <w:t>ActewAGL</w:t>
      </w:r>
      <w:proofErr w:type="spellEnd"/>
      <w:r w:rsidRPr="00A37634">
        <w:rPr>
          <w:rFonts w:ascii="Calibri" w:eastAsia="Calibri" w:hAnsi="Calibri" w:cs="Calibri"/>
          <w:szCs w:val="20"/>
          <w:lang w:val="en-AU"/>
        </w:rPr>
        <w:t>.</w:t>
      </w:r>
      <w:r w:rsidRPr="00A37634">
        <w:rPr>
          <w:rFonts w:ascii="Calibri" w:eastAsia="Calibri" w:hAnsi="Calibri" w:cs="Calibri"/>
          <w:szCs w:val="20"/>
          <w:vertAlign w:val="superscript"/>
          <w:lang w:val="en-AU"/>
        </w:rPr>
        <w:footnoteReference w:id="13"/>
      </w:r>
      <w:r w:rsidRPr="00A37634">
        <w:rPr>
          <w:rFonts w:ascii="Calibri" w:eastAsia="Calibri" w:hAnsi="Calibri" w:cs="Calibri"/>
          <w:szCs w:val="20"/>
          <w:lang w:val="en-AU"/>
        </w:rPr>
        <w:t xml:space="preserve"> Only one of those trials evolved into a full scale program (Energex </w:t>
      </w:r>
      <w:proofErr w:type="spellStart"/>
      <w:r w:rsidRPr="00A37634">
        <w:rPr>
          <w:rFonts w:ascii="Calibri" w:eastAsia="Calibri" w:hAnsi="Calibri" w:cs="Calibri"/>
          <w:szCs w:val="20"/>
          <w:lang w:val="en-AU"/>
        </w:rPr>
        <w:t>PeakSmart</w:t>
      </w:r>
      <w:proofErr w:type="spellEnd"/>
      <w:r w:rsidRPr="00A37634">
        <w:rPr>
          <w:rFonts w:ascii="Calibri" w:eastAsia="Calibri" w:hAnsi="Calibri" w:cs="Calibri"/>
          <w:szCs w:val="20"/>
          <w:lang w:val="en-AU"/>
        </w:rPr>
        <w:t xml:space="preserve">, using AS/NZS 4755 compliant products). The Australian Renewable Energy Agency (ARENA) is currently supporting 8 DR trials targeting residential consumers, involving </w:t>
      </w:r>
      <w:proofErr w:type="spellStart"/>
      <w:r w:rsidRPr="00A37634">
        <w:rPr>
          <w:rFonts w:ascii="Calibri" w:eastAsia="Calibri" w:hAnsi="Calibri" w:cs="Calibri"/>
          <w:szCs w:val="20"/>
          <w:lang w:val="en-AU"/>
        </w:rPr>
        <w:t>EnergyAustralia</w:t>
      </w:r>
      <w:proofErr w:type="spellEnd"/>
      <w:r w:rsidRPr="00A37634">
        <w:rPr>
          <w:rFonts w:ascii="Calibri" w:eastAsia="Calibri" w:hAnsi="Calibri" w:cs="Calibri"/>
          <w:szCs w:val="20"/>
          <w:lang w:val="en-AU"/>
        </w:rPr>
        <w:t>, Powershop, United Energy, Zen Ecosystems and AGL.</w:t>
      </w:r>
      <w:r w:rsidRPr="00A37634">
        <w:rPr>
          <w:rFonts w:ascii="Calibri" w:eastAsia="Calibri" w:hAnsi="Calibri" w:cs="Calibri"/>
          <w:szCs w:val="20"/>
          <w:vertAlign w:val="superscript"/>
          <w:lang w:val="en-AU"/>
        </w:rPr>
        <w:footnoteReference w:id="14"/>
      </w:r>
      <w:r w:rsidRPr="00A37634">
        <w:rPr>
          <w:rFonts w:ascii="Calibri" w:eastAsia="Calibri" w:hAnsi="Calibri" w:cs="Calibri"/>
          <w:szCs w:val="20"/>
          <w:lang w:val="en-AU"/>
        </w:rPr>
        <w:t xml:space="preserve"> </w:t>
      </w:r>
      <w:proofErr w:type="spellStart"/>
      <w:r w:rsidRPr="00A37634">
        <w:rPr>
          <w:rFonts w:ascii="Calibri" w:eastAsia="Calibri" w:hAnsi="Calibri" w:cs="Calibri"/>
          <w:szCs w:val="20"/>
          <w:lang w:val="en-AU"/>
        </w:rPr>
        <w:t>Powercor</w:t>
      </w:r>
      <w:proofErr w:type="spellEnd"/>
      <w:r w:rsidRPr="00A37634">
        <w:rPr>
          <w:rFonts w:ascii="Calibri" w:eastAsia="Calibri" w:hAnsi="Calibri" w:cs="Calibri"/>
          <w:szCs w:val="20"/>
          <w:lang w:val="en-AU"/>
        </w:rPr>
        <w:t xml:space="preserve"> is running a separate “Energy Partner” program (see Appendix 2). All of these trials use different approaches and, where they depend on automated response rather than user reaction to price signals, different technologies. Some of the DLC trials could evolve into local programs, but the diversity and incompatibility of the platforms, their reliance on proprietary technology and the risk to consumers of being stranded with incompatible appliances if they change retailers will limit their reach. </w:t>
      </w:r>
    </w:p>
    <w:p w14:paraId="2F959907" w14:textId="77777777" w:rsidR="00A37634" w:rsidRPr="00A37634" w:rsidRDefault="00A37634" w:rsidP="00A37634">
      <w:pPr>
        <w:spacing w:before="240" w:after="240" w:line="276" w:lineRule="auto"/>
        <w:rPr>
          <w:rFonts w:ascii="Calibri" w:eastAsia="Calibri" w:hAnsi="Calibri" w:cs="Calibri"/>
          <w:b/>
          <w:bCs/>
          <w:color w:val="FF0000"/>
          <w:sz w:val="28"/>
          <w:szCs w:val="20"/>
          <w:lang w:val="en-AU"/>
        </w:rPr>
      </w:pPr>
      <w:r w:rsidRPr="00A37634">
        <w:rPr>
          <w:rFonts w:ascii="Calibri" w:eastAsia="Calibri" w:hAnsi="Calibri" w:cs="Calibri"/>
          <w:b/>
          <w:bCs/>
          <w:color w:val="FF0000"/>
          <w:sz w:val="28"/>
          <w:szCs w:val="20"/>
          <w:lang w:val="en-AU"/>
        </w:rPr>
        <w:t xml:space="preserve">Voluntary Compliance with AS/NZS 4755 </w:t>
      </w:r>
    </w:p>
    <w:p w14:paraId="191C7DD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As the option of voluntary compliance with AS/NZS 4755.3.1 has been available since 2008, it is possible to gauge the level of supplier response. In November 2010, only 0.2% of household size AC models had the capability built in, rising to 1.2% by August 2011. There was some increase in compliance in early 2012 by suppliers wishing to take advantage of the Energex </w:t>
      </w:r>
      <w:proofErr w:type="spellStart"/>
      <w:r w:rsidRPr="00A37634">
        <w:rPr>
          <w:rFonts w:ascii="Calibri" w:eastAsia="Calibri" w:hAnsi="Calibri" w:cs="Calibri"/>
          <w:szCs w:val="20"/>
          <w:lang w:val="en-AU"/>
        </w:rPr>
        <w:t>PeakSmart</w:t>
      </w:r>
      <w:proofErr w:type="spellEnd"/>
      <w:r w:rsidRPr="00A37634">
        <w:rPr>
          <w:rFonts w:ascii="Calibri" w:eastAsia="Calibri" w:hAnsi="Calibri" w:cs="Calibri"/>
          <w:szCs w:val="20"/>
          <w:lang w:val="en-AU"/>
        </w:rPr>
        <w:t xml:space="preserve"> rebate offer, but the share of models with the capability built in was still less than 5%. It reached 14% by mid-2014, then 33% by April 2019. </w:t>
      </w:r>
    </w:p>
    <w:p w14:paraId="75150C01"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It is likely that the original driver for introduction of AS/NZS 4755 compliant ACs was the expectation among manufacturers, following publication of the Consultation RIS in April 2013, that compliance would become mandatory and there would be a nation-wide advantage in moving early. In the end, the commercial advantage was restricted to the region where the </w:t>
      </w:r>
      <w:proofErr w:type="spellStart"/>
      <w:r w:rsidRPr="00A37634">
        <w:rPr>
          <w:rFonts w:ascii="Calibri" w:eastAsia="Calibri" w:hAnsi="Calibri" w:cs="Calibri"/>
          <w:szCs w:val="20"/>
          <w:lang w:val="en-AU"/>
        </w:rPr>
        <w:t>PeakSmart</w:t>
      </w:r>
      <w:proofErr w:type="spellEnd"/>
      <w:r w:rsidRPr="00A37634">
        <w:rPr>
          <w:rFonts w:ascii="Calibri" w:eastAsia="Calibri" w:hAnsi="Calibri" w:cs="Calibri"/>
          <w:szCs w:val="20"/>
          <w:lang w:val="en-AU"/>
        </w:rPr>
        <w:t xml:space="preserve"> program supported compliant AC sales with cash incentives. It is questionable whether </w:t>
      </w:r>
      <w:proofErr w:type="spellStart"/>
      <w:r w:rsidRPr="00A37634">
        <w:rPr>
          <w:rFonts w:ascii="Calibri" w:eastAsia="Calibri" w:hAnsi="Calibri" w:cs="Calibri"/>
          <w:szCs w:val="20"/>
          <w:lang w:val="en-AU"/>
        </w:rPr>
        <w:t>PeakSmart</w:t>
      </w:r>
      <w:proofErr w:type="spellEnd"/>
      <w:r w:rsidRPr="00A37634">
        <w:rPr>
          <w:rFonts w:ascii="Calibri" w:eastAsia="Calibri" w:hAnsi="Calibri" w:cs="Calibri"/>
          <w:szCs w:val="20"/>
          <w:lang w:val="en-AU"/>
        </w:rPr>
        <w:t xml:space="preserve"> would have been possible at all had manufacturers not anticipated a mandatory requirement. </w:t>
      </w:r>
    </w:p>
    <w:p w14:paraId="437A6D36"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market share of AS/NZS 4755-compliant ACs may be different from the model share. If the market share were lower than the model share, it would indicate that models which are not compliant with AS/NZS 4755 outsell those that are.</w:t>
      </w:r>
      <w:r w:rsidRPr="00A37634">
        <w:rPr>
          <w:rFonts w:ascii="Calibri" w:eastAsia="Calibri" w:hAnsi="Calibri" w:cs="Calibri"/>
          <w:szCs w:val="20"/>
          <w:vertAlign w:val="superscript"/>
          <w:lang w:val="en-AU"/>
        </w:rPr>
        <w:footnoteReference w:id="15"/>
      </w:r>
      <w:r w:rsidRPr="00A37634" w:rsidDel="00150D26">
        <w:rPr>
          <w:rFonts w:ascii="Calibri" w:eastAsia="Calibri" w:hAnsi="Calibri" w:cs="Calibri"/>
          <w:szCs w:val="20"/>
          <w:lang w:val="en-AU"/>
        </w:rPr>
        <w:t xml:space="preserve"> </w:t>
      </w:r>
      <w:r w:rsidRPr="00A37634">
        <w:rPr>
          <w:rFonts w:ascii="Calibri" w:eastAsia="Calibri" w:hAnsi="Calibri" w:cs="Calibri"/>
          <w:szCs w:val="20"/>
          <w:lang w:val="en-AU"/>
        </w:rPr>
        <w:t>The Department of the Environment and Energy estimated in 2018 that “about 20 per cent of air conditioners installed in homes today are capable of having their demand remotely controlled by third party operators.”</w:t>
      </w:r>
      <w:r w:rsidRPr="00A37634">
        <w:rPr>
          <w:rFonts w:ascii="Calibri" w:eastAsia="Calibri" w:hAnsi="Calibri" w:cs="Calibri"/>
          <w:szCs w:val="20"/>
          <w:vertAlign w:val="superscript"/>
          <w:lang w:val="en-AU"/>
        </w:rPr>
        <w:footnoteReference w:id="16"/>
      </w:r>
      <w:r w:rsidRPr="00A37634">
        <w:rPr>
          <w:rFonts w:ascii="Calibri" w:eastAsia="Calibri" w:hAnsi="Calibri" w:cs="Calibri"/>
          <w:szCs w:val="20"/>
          <w:lang w:val="en-AU"/>
        </w:rPr>
        <w:t xml:space="preserve"> The share participating in DR programs is lower still: outside the Queensland </w:t>
      </w:r>
      <w:proofErr w:type="spellStart"/>
      <w:r w:rsidRPr="00A37634">
        <w:rPr>
          <w:rFonts w:ascii="Calibri" w:eastAsia="Calibri" w:hAnsi="Calibri" w:cs="Calibri"/>
          <w:szCs w:val="20"/>
          <w:lang w:val="en-AU"/>
        </w:rPr>
        <w:t>PeakSmart</w:t>
      </w:r>
      <w:proofErr w:type="spellEnd"/>
      <w:r w:rsidRPr="00A37634">
        <w:rPr>
          <w:rFonts w:ascii="Calibri" w:eastAsia="Calibri" w:hAnsi="Calibri" w:cs="Calibri"/>
          <w:szCs w:val="20"/>
          <w:lang w:val="en-AU"/>
        </w:rPr>
        <w:t xml:space="preserve"> program the number is negligible.</w:t>
      </w:r>
    </w:p>
    <w:p w14:paraId="4ABC8B5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parts of AS/NZS 4755 applying to pool pump controllers and electric water heaters have been available since 2012 and 2014 respectively, but no complying products have been introduced. Therefore, it is unlikely that there will ever be a sufficient critical mass of pool pump controllers and electric water heaters with standard capabilities to make DR through DLC cost-effective for utilities or DRSPs.</w:t>
      </w:r>
    </w:p>
    <w:p w14:paraId="3E3AFAA0" w14:textId="77777777" w:rsidR="00A37634" w:rsidRPr="00A37634" w:rsidRDefault="00A37634" w:rsidP="00A37634">
      <w:pPr>
        <w:spacing w:before="240" w:after="240" w:line="276" w:lineRule="auto"/>
        <w:rPr>
          <w:rFonts w:ascii="Calibri" w:eastAsia="Calibri" w:hAnsi="Calibri" w:cs="Calibri"/>
          <w:b/>
          <w:bCs/>
          <w:color w:val="FF0000"/>
          <w:sz w:val="28"/>
          <w:szCs w:val="20"/>
          <w:lang w:val="en-AU"/>
        </w:rPr>
      </w:pPr>
      <w:r w:rsidRPr="00A37634">
        <w:rPr>
          <w:rFonts w:ascii="Calibri" w:eastAsia="Calibri" w:hAnsi="Calibri" w:cs="Calibri"/>
          <w:b/>
          <w:bCs/>
          <w:color w:val="FF0000"/>
          <w:sz w:val="28"/>
          <w:szCs w:val="20"/>
          <w:lang w:val="en-AU"/>
        </w:rPr>
        <w:t>Electricity Pricing</w:t>
      </w:r>
    </w:p>
    <w:p w14:paraId="77AD9A6C"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phasing in of cost reflective pricing could eventually have a significant impact on peak demand, but it is difficult to predict the extent or the timing. In seven Australian trials of TOU and Critical Peak Pricing (CPP), the average reductions in peak demand were between 13-40% during peak events.</w:t>
      </w:r>
      <w:r w:rsidRPr="00A37634">
        <w:rPr>
          <w:rFonts w:ascii="Calibri" w:eastAsia="Calibri" w:hAnsi="Calibri" w:cs="Calibri"/>
          <w:szCs w:val="20"/>
          <w:vertAlign w:val="superscript"/>
          <w:lang w:val="en-AU"/>
        </w:rPr>
        <w:footnoteReference w:id="17"/>
      </w:r>
      <w:r w:rsidRPr="00A37634">
        <w:rPr>
          <w:rFonts w:ascii="Calibri" w:eastAsia="Calibri" w:hAnsi="Calibri" w:cs="Calibri"/>
          <w:szCs w:val="20"/>
          <w:lang w:val="en-AU"/>
        </w:rPr>
        <w:t xml:space="preserve"> The reductions under CPP were four times as great as under conventional TOU tariffs, which were much flatter.</w:t>
      </w:r>
      <w:r w:rsidRPr="00A37634">
        <w:rPr>
          <w:rFonts w:ascii="Calibri" w:eastAsia="Calibri" w:hAnsi="Calibri" w:cs="Calibri"/>
          <w:szCs w:val="20"/>
          <w:vertAlign w:val="superscript"/>
          <w:lang w:val="en-AU"/>
        </w:rPr>
        <w:footnoteReference w:id="18"/>
      </w:r>
      <w:r w:rsidRPr="00A37634">
        <w:rPr>
          <w:rFonts w:ascii="Calibri" w:eastAsia="Calibri" w:hAnsi="Calibri" w:cs="Calibri"/>
          <w:szCs w:val="20"/>
          <w:lang w:val="en-AU"/>
        </w:rPr>
        <w:t xml:space="preserve"> </w:t>
      </w:r>
    </w:p>
    <w:p w14:paraId="5A0A1A51"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However, no government has permitted retailers to force residential consumers to accept TOU tariffs (let alone CPP) and only 12% have chosen to do so.</w:t>
      </w:r>
      <w:r w:rsidRPr="00A37634">
        <w:rPr>
          <w:rFonts w:ascii="Calibri" w:eastAsia="Calibri" w:hAnsi="Calibri" w:cs="Calibri"/>
          <w:szCs w:val="20"/>
          <w:vertAlign w:val="superscript"/>
          <w:lang w:val="en-AU"/>
        </w:rPr>
        <w:footnoteReference w:id="19"/>
      </w:r>
      <w:r w:rsidRPr="00A37634">
        <w:rPr>
          <w:rFonts w:ascii="Calibri" w:eastAsia="Calibri" w:hAnsi="Calibri" w:cs="Calibri"/>
          <w:szCs w:val="20"/>
          <w:lang w:val="en-AU"/>
        </w:rPr>
        <w:t xml:space="preserve"> One disincentive for consumers is the risk of being unable to avoid energy use at high-price periods, if they are out or have forgotten to turn off or reset appliances. Offering TOU pricing is not enough, on its own, to support an efficient consumption response. </w:t>
      </w:r>
    </w:p>
    <w:p w14:paraId="50A083A5" w14:textId="77777777" w:rsidR="00A37634" w:rsidRPr="00A37634" w:rsidRDefault="00A37634" w:rsidP="00A37634">
      <w:pPr>
        <w:spacing w:before="240" w:after="240" w:line="276" w:lineRule="auto"/>
        <w:rPr>
          <w:rFonts w:ascii="Calibri" w:eastAsia="Calibri" w:hAnsi="Calibri" w:cs="Calibri"/>
          <w:b/>
          <w:bCs/>
          <w:color w:val="FF0000"/>
          <w:sz w:val="28"/>
          <w:szCs w:val="20"/>
          <w:lang w:val="en-AU"/>
        </w:rPr>
      </w:pPr>
      <w:r w:rsidRPr="00A37634">
        <w:rPr>
          <w:rFonts w:ascii="Calibri" w:eastAsia="Calibri" w:hAnsi="Calibri" w:cs="Calibri"/>
          <w:b/>
          <w:bCs/>
          <w:color w:val="FF0000"/>
          <w:sz w:val="28"/>
          <w:szCs w:val="20"/>
          <w:lang w:val="en-AU"/>
        </w:rPr>
        <w:t>E3 Program Measures</w:t>
      </w:r>
    </w:p>
    <w:p w14:paraId="38E73233"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Equipment Energy Efficiency (E3) program has a number of policy measures in place that are aimed at improving the energy efficiency of ACs, water heaters and pool pumps. Pool pump controllers and electric vehicle (EV) chargers are not currently regulated by the E3 program.</w:t>
      </w:r>
    </w:p>
    <w:p w14:paraId="187D9F87"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AC energy efficiency requirements have been updated several times, most recently in 2019.  While this has led to an improvement in the efficiency of ACs and has contributed to reduced household energy consumption, there has been little impact on peak demand. This is due to the increase in the number of installed ACs and their typical usage patterns. Maximum demand occurs on the hottest days when most ACs are operating at maximum output, irrespective of their efficiency. Extreme hot days have become more frequent in recent years.</w:t>
      </w:r>
      <w:r w:rsidRPr="00A37634">
        <w:rPr>
          <w:rFonts w:ascii="Calibri" w:eastAsia="Calibri" w:hAnsi="Calibri" w:cs="Calibri"/>
          <w:szCs w:val="20"/>
          <w:vertAlign w:val="superscript"/>
          <w:lang w:val="en-AU"/>
        </w:rPr>
        <w:footnoteReference w:id="20"/>
      </w:r>
      <w:r w:rsidRPr="00A37634">
        <w:rPr>
          <w:rFonts w:ascii="Calibri" w:eastAsia="Calibri" w:hAnsi="Calibri" w:cs="Calibri"/>
          <w:szCs w:val="20"/>
          <w:lang w:val="en-AU"/>
        </w:rPr>
        <w:t xml:space="preserve"> </w:t>
      </w:r>
    </w:p>
    <w:p w14:paraId="265DBF15"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A Decision RIS recommending mandatory labelling and MEPS for swimming pool pumps was approved by the Council of Australian Governments (COAG) Energy Council and published in December 2018.</w:t>
      </w:r>
      <w:r w:rsidRPr="00A37634">
        <w:rPr>
          <w:rFonts w:ascii="Calibri" w:eastAsia="Calibri" w:hAnsi="Calibri" w:cs="Calibri"/>
          <w:szCs w:val="20"/>
          <w:vertAlign w:val="superscript"/>
          <w:lang w:val="en-AU"/>
        </w:rPr>
        <w:footnoteReference w:id="21"/>
      </w:r>
      <w:r w:rsidRPr="00A37634">
        <w:rPr>
          <w:rFonts w:ascii="Calibri" w:eastAsia="Calibri" w:hAnsi="Calibri" w:cs="Calibri"/>
          <w:szCs w:val="20"/>
          <w:lang w:val="en-AU"/>
        </w:rPr>
        <w:t xml:space="preserve"> These measures should help reduce peak demand, because it is estimated that around 50% of pool pumps are also operating during AC-induced peak events.</w:t>
      </w:r>
      <w:r w:rsidRPr="00A37634">
        <w:rPr>
          <w:rFonts w:ascii="Calibri" w:eastAsia="Calibri" w:hAnsi="Calibri" w:cs="Calibri"/>
          <w:szCs w:val="20"/>
          <w:vertAlign w:val="superscript"/>
          <w:lang w:val="en-AU"/>
        </w:rPr>
        <w:footnoteReference w:id="22"/>
      </w:r>
      <w:r w:rsidRPr="00A37634">
        <w:rPr>
          <w:rFonts w:ascii="Calibri" w:eastAsia="Calibri" w:hAnsi="Calibri" w:cs="Calibri"/>
          <w:szCs w:val="20"/>
          <w:lang w:val="en-AU"/>
        </w:rPr>
        <w:t xml:space="preserve"> </w:t>
      </w:r>
    </w:p>
    <w:p w14:paraId="75785594"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widespread adoption of EVs would almost certainly exacerbate electricity network constraints and peak demand problems. A Level 2 (fixed-wired) home charger will have a maximum demand of 6 to 10 kilowatts (kW), making it the highest single load in most homes. The energy-efficiency of EV chargers will probably be high, so MEPS may not be required. However, energy-efficiency will have negligible impact on easing demand if, as is likely, users initiate charging on their return from work.</w:t>
      </w:r>
      <w:r w:rsidRPr="00A37634">
        <w:rPr>
          <w:rFonts w:ascii="Calibri" w:eastAsia="Calibri" w:hAnsi="Calibri" w:cs="Calibri"/>
          <w:szCs w:val="20"/>
          <w:vertAlign w:val="superscript"/>
          <w:lang w:val="en-AU"/>
        </w:rPr>
        <w:footnoteReference w:id="23"/>
      </w:r>
      <w:r w:rsidRPr="00A37634">
        <w:rPr>
          <w:rFonts w:ascii="Calibri" w:eastAsia="Calibri" w:hAnsi="Calibri" w:cs="Calibri"/>
          <w:szCs w:val="20"/>
          <w:lang w:val="en-AU"/>
        </w:rPr>
        <w:t xml:space="preserve"> </w:t>
      </w:r>
    </w:p>
    <w:p w14:paraId="2477FD83"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szCs w:val="28"/>
          <w:lang w:val="en-AU"/>
        </w:rPr>
      </w:pPr>
      <w:r w:rsidRPr="00A37634">
        <w:rPr>
          <w:rFonts w:ascii="Calibri" w:eastAsia="Times New Roman" w:hAnsi="Calibri" w:cs="Calibri"/>
          <w:b/>
          <w:color w:val="FF0000"/>
          <w:sz w:val="28"/>
          <w:szCs w:val="28"/>
          <w:lang w:val="en-AU"/>
        </w:rPr>
        <w:t xml:space="preserve">Option 2 – </w:t>
      </w:r>
      <w:bookmarkStart w:id="23" w:name="_Hlk14770855"/>
      <w:r w:rsidRPr="00A37634">
        <w:rPr>
          <w:rFonts w:ascii="Calibri" w:eastAsia="Times New Roman" w:hAnsi="Calibri" w:cs="Calibri"/>
          <w:b/>
          <w:color w:val="FF0000"/>
          <w:sz w:val="28"/>
          <w:szCs w:val="28"/>
          <w:lang w:val="en-AU"/>
        </w:rPr>
        <w:t>Encourage Voluntary Adoption of Demand Responsive Appliances</w:t>
      </w:r>
      <w:bookmarkEnd w:id="23"/>
    </w:p>
    <w:p w14:paraId="2A45500D"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means available to government to encourage the voluntary adoption of demand responsive appliances include the funding of trials and demonstrations, mandating the disclosure of the DR capabilities of products and offering cash incentives for the purchase of DR capable products. The funding of trials and demonstrations through ARENA is already under way, so is part of the BAU option. </w:t>
      </w:r>
    </w:p>
    <w:p w14:paraId="401CC4CF" w14:textId="77777777" w:rsidR="00A37634" w:rsidRPr="00A37634" w:rsidRDefault="00A37634" w:rsidP="00A37634">
      <w:pPr>
        <w:spacing w:before="240" w:after="240" w:line="276" w:lineRule="auto"/>
        <w:rPr>
          <w:rFonts w:ascii="Calibri" w:eastAsia="Calibri" w:hAnsi="Calibri" w:cs="Calibri"/>
          <w:b/>
          <w:bCs/>
          <w:color w:val="FF0000"/>
          <w:sz w:val="28"/>
          <w:szCs w:val="20"/>
          <w:lang w:val="en-AU"/>
        </w:rPr>
      </w:pPr>
      <w:r w:rsidRPr="00A37634">
        <w:rPr>
          <w:rFonts w:ascii="Calibri" w:eastAsia="Calibri" w:hAnsi="Calibri" w:cs="Calibri"/>
          <w:b/>
          <w:bCs/>
          <w:color w:val="FF0000"/>
          <w:sz w:val="28"/>
          <w:szCs w:val="20"/>
          <w:lang w:val="en-AU"/>
        </w:rPr>
        <w:t xml:space="preserve">Labelling DR Capability </w:t>
      </w:r>
    </w:p>
    <w:p w14:paraId="2AB71AF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At present, any manufacturer is able to claim that their product is “smart” because “smart” is not a technical term but an undefined marketing term (such as “sustainable” or “eco-friendly”).</w:t>
      </w:r>
      <w:r w:rsidRPr="00A37634">
        <w:rPr>
          <w:rFonts w:ascii="Calibri" w:eastAsia="Calibri" w:hAnsi="Calibri" w:cs="Calibri"/>
          <w:szCs w:val="20"/>
          <w:vertAlign w:val="superscript"/>
          <w:lang w:val="en-AU"/>
        </w:rPr>
        <w:footnoteReference w:id="24"/>
      </w:r>
      <w:r w:rsidRPr="00A37634">
        <w:rPr>
          <w:rFonts w:ascii="Calibri" w:eastAsia="Calibri" w:hAnsi="Calibri" w:cs="Calibri"/>
          <w:szCs w:val="20"/>
          <w:lang w:val="en-AU"/>
        </w:rPr>
        <w:t xml:space="preserve"> A consumer cannot know if the purchase of one particular product will have some additional DR value to them unless they are aware that it complies with a standard or specification or has certain capabilities that enable it to participate in a DR program. Even if it does, the consumer may still need access to a third party offering a DR program compatible with those standards and capabilities.</w:t>
      </w:r>
    </w:p>
    <w:p w14:paraId="4D92EA98"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In this respect, the status of the term “smart” is similar to the status of the term “energy-efficient” in the 1980s. Several manufacturers claimed that their products were energy-efficient, using criteria of their own devising and which naturally favoured their own products. Consumers were unable to compare products from different manufacturers. This prompted the New South Wales (NSW) and Victorian governments to introduce, in 1985, mandatory energy labelling for refrigerators, freezers, air conditioners and dishwashers, based on Australian Standard tests (the origins of the existing GEMS Act and E3 program). </w:t>
      </w:r>
    </w:p>
    <w:p w14:paraId="183EBA23"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In 2010, the E3 program changed the air conditioner energy rating label to enable manufacturers to indicate whether a model complies with AS/NZS 4755.3.1. This enabled them to voluntarily introduce compliant products and to indicate this on the energy label. Recently however, the AC label design has been changed again, and no longer offers the option of indicating DR capability.</w:t>
      </w:r>
      <w:r w:rsidRPr="00A37634">
        <w:rPr>
          <w:rFonts w:ascii="Calibri" w:eastAsia="Calibri" w:hAnsi="Calibri" w:cs="Calibri"/>
          <w:szCs w:val="20"/>
          <w:vertAlign w:val="superscript"/>
          <w:lang w:val="en-AU"/>
        </w:rPr>
        <w:footnoteReference w:id="25"/>
      </w:r>
      <w:r w:rsidRPr="00A37634">
        <w:rPr>
          <w:rFonts w:ascii="Calibri" w:eastAsia="Calibri" w:hAnsi="Calibri" w:cs="Calibri"/>
          <w:szCs w:val="20"/>
          <w:lang w:val="en-AU"/>
        </w:rPr>
        <w:t xml:space="preserve"> Although the main reason for dropping the option was lack of space, using energy labels as a means of encouraging consumers to prefer appliances with “smart” or DR capabilities is problematic and has not succeeded where it has been tried, such as in the USA and Japan.</w:t>
      </w:r>
      <w:r w:rsidRPr="00A37634">
        <w:rPr>
          <w:rFonts w:ascii="Calibri" w:eastAsia="Calibri" w:hAnsi="Calibri" w:cs="Calibri"/>
          <w:szCs w:val="20"/>
          <w:vertAlign w:val="superscript"/>
          <w:lang w:val="en-AU"/>
        </w:rPr>
        <w:footnoteReference w:id="26"/>
      </w:r>
      <w:r w:rsidRPr="00A37634">
        <w:rPr>
          <w:rFonts w:ascii="Calibri" w:eastAsia="Calibri" w:hAnsi="Calibri" w:cs="Calibri"/>
          <w:szCs w:val="20"/>
          <w:lang w:val="en-AU"/>
        </w:rPr>
        <w:t xml:space="preserve"> A further barrier in Australia is the fact that there is no energy labelling for electric water heaters, pool pump controllers or EV chargers, so a new “DR capable” labelling system would need to be introduced for those products. </w:t>
      </w:r>
    </w:p>
    <w:p w14:paraId="3977A04A" w14:textId="77777777" w:rsidR="00A37634" w:rsidRPr="00A37634" w:rsidRDefault="00A37634" w:rsidP="00A37634">
      <w:pPr>
        <w:spacing w:before="240" w:after="240" w:line="276" w:lineRule="auto"/>
        <w:rPr>
          <w:rFonts w:ascii="Calibri" w:eastAsia="Calibri" w:hAnsi="Calibri" w:cs="Calibri"/>
          <w:b/>
          <w:bCs/>
          <w:color w:val="FF0000"/>
          <w:sz w:val="28"/>
          <w:szCs w:val="20"/>
          <w:lang w:val="en-AU"/>
        </w:rPr>
      </w:pPr>
      <w:r w:rsidRPr="00A37634">
        <w:rPr>
          <w:rFonts w:ascii="Calibri" w:eastAsia="Calibri" w:hAnsi="Calibri" w:cs="Calibri"/>
          <w:b/>
          <w:bCs/>
          <w:color w:val="FF0000"/>
          <w:sz w:val="28"/>
          <w:szCs w:val="20"/>
          <w:lang w:val="en-AU"/>
        </w:rPr>
        <w:t>Cash incentives</w:t>
      </w:r>
    </w:p>
    <w:p w14:paraId="3D4D0CFA"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Cash incentive payments provide another means of encouraging buyers to voluntarily purchase products with specific DR capabilities. Two Queensland utilities, Energex and Ergon, now offer cash incentives to customers in designated areas who purchase AS/NZS 4755-compliant ACs and have them activated on installation (see Appendix 1). </w:t>
      </w:r>
    </w:p>
    <w:p w14:paraId="4FF7A158"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While local incentive programs would increase the take-up of DR-capable appliances in the areas where they are offered, and for the duration of the offers, they are unlikely to create a permanent market shift towards demand-responsive appliances throughout Australia. A sustained and near-universal incentive program where governments require utilities or independent DRSPs to offer the necessary incentives may well have this outcome.</w:t>
      </w:r>
    </w:p>
    <w:p w14:paraId="69F59498"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An upfront cash incentive serves three objectives: </w:t>
      </w:r>
    </w:p>
    <w:p w14:paraId="0D526D14" w14:textId="77777777" w:rsidR="00A37634" w:rsidRPr="00A37634" w:rsidRDefault="00A37634" w:rsidP="00A37634">
      <w:pPr>
        <w:numPr>
          <w:ilvl w:val="0"/>
          <w:numId w:val="46"/>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to motivate consumers to seek out products that are capable of linking to the DRSPs communications platform; </w:t>
      </w:r>
    </w:p>
    <w:p w14:paraId="2E2F5449" w14:textId="77777777" w:rsidR="00A37634" w:rsidRPr="00A37634" w:rsidRDefault="00A37634" w:rsidP="00A37634">
      <w:pPr>
        <w:numPr>
          <w:ilvl w:val="0"/>
          <w:numId w:val="46"/>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to enable the service provider to identify consumers who have purchased those products (they will be the ones claiming the incentive); and</w:t>
      </w:r>
    </w:p>
    <w:p w14:paraId="68C13AF3" w14:textId="77777777" w:rsidR="00A37634" w:rsidRPr="00A37634" w:rsidRDefault="00A37634" w:rsidP="00A37634">
      <w:pPr>
        <w:numPr>
          <w:ilvl w:val="0"/>
          <w:numId w:val="46"/>
        </w:numPr>
        <w:spacing w:before="120" w:after="120" w:line="276" w:lineRule="auto"/>
        <w:contextualSpacing/>
        <w:rPr>
          <w:rFonts w:ascii="Calibri" w:eastAsia="Calibri" w:hAnsi="Calibri" w:cs="Calibri"/>
          <w:szCs w:val="20"/>
          <w:lang w:val="en-AU"/>
        </w:rPr>
      </w:pPr>
      <w:proofErr w:type="gramStart"/>
      <w:r w:rsidRPr="00A37634">
        <w:rPr>
          <w:rFonts w:ascii="Calibri" w:eastAsia="Calibri" w:hAnsi="Calibri" w:cs="Calibri"/>
          <w:szCs w:val="20"/>
          <w:lang w:val="en-AU"/>
        </w:rPr>
        <w:t>rewarding</w:t>
      </w:r>
      <w:proofErr w:type="gramEnd"/>
      <w:r w:rsidRPr="00A37634">
        <w:rPr>
          <w:rFonts w:ascii="Calibri" w:eastAsia="Calibri" w:hAnsi="Calibri" w:cs="Calibri"/>
          <w:szCs w:val="20"/>
          <w:lang w:val="en-AU"/>
        </w:rPr>
        <w:t xml:space="preserve"> those consumers for participating in the DR program. </w:t>
      </w:r>
    </w:p>
    <w:p w14:paraId="57FF7297"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If it is mandatory for all products sold to have a uniform, non-proprietary capability that is accessible to all DRSPs, then it is not necessary to offer incentives for objective (a) or (b), and objective (c) could be achieved in more efficient ways. </w:t>
      </w:r>
    </w:p>
    <w:p w14:paraId="7DDBDD6C"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If cash incentives were withdrawn in the absence of mandatory compliance, the sales share of AS/NZS 4755 ACs may stagnate and then start to drop. Manufacturers may see little advantage in including DR capability in new models, or may revert to a proprietary rather than an open standard, so fragmenting the market and increasing stranded investment risks for both DRSPs and consumers. Once the current group of compliant models reach the end of their model cycle (in 3-5 years), the availability of AS/NZS 4755 products could fall away. </w:t>
      </w:r>
    </w:p>
    <w:p w14:paraId="76CA7EE1"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szCs w:val="28"/>
          <w:lang w:val="en-AU"/>
        </w:rPr>
      </w:pPr>
      <w:r w:rsidRPr="00A37634">
        <w:rPr>
          <w:rFonts w:ascii="Calibri" w:eastAsia="Times New Roman" w:hAnsi="Calibri" w:cs="Calibri"/>
          <w:b/>
          <w:color w:val="FF0000"/>
          <w:sz w:val="28"/>
          <w:szCs w:val="28"/>
          <w:lang w:val="en-AU"/>
        </w:rPr>
        <w:t>Assessment of Options 1 and 2</w:t>
      </w:r>
    </w:p>
    <w:p w14:paraId="51726750"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Voluntary adoption of AS/NZS 4755 has been available to manufacturers for over a decade. There has been considerable adoption for ACs, but not for the other products, and only where cash incentives are offered. Indicating the presence of DR capabilities on energy labels has not been effective.</w:t>
      </w:r>
    </w:p>
    <w:p w14:paraId="2CF23F5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In the absence of a uniform DR capability, incentive payments need to be high enough to motivate suppliers to introduce, and for consumers to seek out, compatible DR-capable models. This increases the costs of DR programs. Given the network regulatory regime, governments are not able to force utilities or DRSPs to offer cash incentives, and have not indicated a willingness to use public funds for this purpose. </w:t>
      </w:r>
    </w:p>
    <w:p w14:paraId="647550FC"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However, some continuing DR activity is assumed under the BAU scenario:</w:t>
      </w:r>
    </w:p>
    <w:p w14:paraId="03B0C5F7" w14:textId="1E0D073C" w:rsidR="00A37634" w:rsidRPr="00A37634" w:rsidRDefault="00A37634" w:rsidP="00A37634">
      <w:pPr>
        <w:numPr>
          <w:ilvl w:val="0"/>
          <w:numId w:val="47"/>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the rates of DR activation at the time of air conditioner purchase that are currently being achieved in Queensland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_Ref12982313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Figure </w:t>
      </w:r>
      <w:r w:rsidR="00181136" w:rsidRPr="00181136">
        <w:rPr>
          <w:rFonts w:ascii="Calibri" w:eastAsia="Calibri" w:hAnsi="Calibri" w:cs="Calibri"/>
          <w:b/>
          <w:noProof/>
          <w:szCs w:val="20"/>
          <w:lang w:val="en-AU"/>
        </w:rPr>
        <w:t>10</w:t>
      </w:r>
      <w:r w:rsidRPr="00BB0627">
        <w:rPr>
          <w:rFonts w:ascii="Calibri" w:eastAsia="Calibri" w:hAnsi="Calibri" w:cs="Calibri"/>
          <w:b/>
          <w:szCs w:val="20"/>
          <w:lang w:val="en-AU"/>
        </w:rPr>
        <w:fldChar w:fldCharType="end"/>
      </w:r>
      <w:r w:rsidRPr="00A37634">
        <w:rPr>
          <w:rFonts w:ascii="Calibri" w:eastAsia="Calibri" w:hAnsi="Calibri" w:cs="Calibri"/>
          <w:szCs w:val="20"/>
          <w:lang w:val="en-AU"/>
        </w:rPr>
        <w:t xml:space="preserve">) increase slightly over time (whether through continuation of </w:t>
      </w:r>
      <w:proofErr w:type="spellStart"/>
      <w:r w:rsidRPr="00A37634">
        <w:rPr>
          <w:rFonts w:ascii="Calibri" w:eastAsia="Calibri" w:hAnsi="Calibri" w:cs="Calibri"/>
          <w:szCs w:val="20"/>
          <w:lang w:val="en-AU"/>
        </w:rPr>
        <w:t>PeakSmart</w:t>
      </w:r>
      <w:proofErr w:type="spellEnd"/>
      <w:r w:rsidRPr="00A37634">
        <w:rPr>
          <w:rFonts w:ascii="Calibri" w:eastAsia="Calibri" w:hAnsi="Calibri" w:cs="Calibri"/>
          <w:szCs w:val="20"/>
          <w:lang w:val="en-AU"/>
        </w:rPr>
        <w:t xml:space="preserve"> or other means); and</w:t>
      </w:r>
    </w:p>
    <w:p w14:paraId="2FA75638" w14:textId="77777777" w:rsidR="00A37634" w:rsidRPr="00A37634" w:rsidRDefault="00A37634" w:rsidP="00A37634">
      <w:pPr>
        <w:numPr>
          <w:ilvl w:val="0"/>
          <w:numId w:val="47"/>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there is some activation of ACs post-purchase in Queensland, (i.e. through programs introduced by new DRSPs taking advantage of the build-up of DR-capable units); </w:t>
      </w:r>
    </w:p>
    <w:p w14:paraId="41A372BE" w14:textId="77777777" w:rsidR="00A37634" w:rsidRPr="00A37634" w:rsidRDefault="00A37634" w:rsidP="00A37634">
      <w:pPr>
        <w:numPr>
          <w:ilvl w:val="0"/>
          <w:numId w:val="47"/>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in other jurisdictions, the activations of ACs due to existing DR trials resulting in limited DR programs is very low; and </w:t>
      </w:r>
    </w:p>
    <w:p w14:paraId="3675B90B" w14:textId="77777777" w:rsidR="00A37634" w:rsidRPr="00A37634" w:rsidRDefault="00A37634" w:rsidP="00A37634">
      <w:pPr>
        <w:numPr>
          <w:ilvl w:val="0"/>
          <w:numId w:val="47"/>
        </w:numPr>
        <w:spacing w:before="120" w:after="120" w:line="276" w:lineRule="auto"/>
        <w:contextualSpacing/>
        <w:rPr>
          <w:rFonts w:ascii="Calibri" w:eastAsia="Calibri" w:hAnsi="Calibri" w:cs="Calibri"/>
          <w:szCs w:val="20"/>
          <w:lang w:val="en-AU"/>
        </w:rPr>
      </w:pPr>
      <w:proofErr w:type="gramStart"/>
      <w:r w:rsidRPr="00A37634">
        <w:rPr>
          <w:rFonts w:ascii="Calibri" w:eastAsia="Calibri" w:hAnsi="Calibri" w:cs="Calibri"/>
          <w:szCs w:val="20"/>
          <w:lang w:val="en-AU"/>
        </w:rPr>
        <w:t>there</w:t>
      </w:r>
      <w:proofErr w:type="gramEnd"/>
      <w:r w:rsidRPr="00A37634">
        <w:rPr>
          <w:rFonts w:ascii="Calibri" w:eastAsia="Calibri" w:hAnsi="Calibri" w:cs="Calibri"/>
          <w:szCs w:val="20"/>
          <w:lang w:val="en-AU"/>
        </w:rPr>
        <w:t xml:space="preserve"> are no DR activations of water heaters, pool pump controllers or EV chargers in any jurisdiction (beyond continued access to traditional controlled load tariffs). </w:t>
      </w:r>
    </w:p>
    <w:p w14:paraId="5D48A28D"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costs and benefits of (a) and (b) above are quantified, and used as the baseline for calculating the additional costs and benefits of Option 3. The impact of (c) is not quantified. If at the time of a DR event the load was already modified (upward or downward) due to the operation of DR approaches not involving AS/NZS 4755 capabilities, then the additional benefits from AS/NZS product compliance and activation would be lower. The implications for cost-benefit analysis can be inferred by assuming a lower activation rate among the range modelled (say a “low” rather than a “medium” activation rate). </w:t>
      </w:r>
    </w:p>
    <w:p w14:paraId="4690E6F8"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Even so, there should be enough scope to accommodate all approaches without saturating or exhausting the potential benefit. For example, under the medium activation scenario, the impact of a DRM 2 event would be equivalent to 60% - not 100% - of the total projected growth in peak demand on the State and Territory networks to 2035 (see Summary of Costs and Benefits).</w:t>
      </w:r>
    </w:p>
    <w:p w14:paraId="3FF99993"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szCs w:val="24"/>
          <w:lang w:val="en-AU"/>
        </w:rPr>
      </w:pPr>
      <w:r w:rsidRPr="00A37634">
        <w:rPr>
          <w:rFonts w:ascii="Calibri" w:eastAsia="Times New Roman" w:hAnsi="Calibri" w:cs="Calibri"/>
          <w:b/>
          <w:color w:val="FF0000"/>
          <w:sz w:val="28"/>
          <w:szCs w:val="24"/>
          <w:lang w:val="en-AU"/>
        </w:rPr>
        <w:t xml:space="preserve">Option 3 – Mandate the Presence of Demand Response Capabilities </w:t>
      </w:r>
    </w:p>
    <w:p w14:paraId="6585824E"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Under this option, all ACs, electric storage water heaters, pool pump controllers and EV charge/discharge controllers intended for household use would have to comply with AS/NZS 4755. These appliances will therefore have to be sold with standardised DR capabilities built-in, to allow them to connect to a range of communications systems and to participate in the DR market. Compliance will require changes in product design and manufacture, the costs of which will be passed on to all purchasers. </w:t>
      </w:r>
    </w:p>
    <w:p w14:paraId="4DE4C560"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There will be additional costs for those products that are “activated” (connected to a communications platform). As activation would be at the choice of the consumer, only a proportion of products would be activated (whether at the time of installation or later) and the DR capability of the rest would remain unused.  </w:t>
      </w:r>
    </w:p>
    <w:p w14:paraId="5C74C1F3"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Mandating compliance with AS/NZS 4755 in ACs and other appliances would mean that the majority of models would need to be redesigned, or packaged and supplied with additional components, to comply with the proposed regulation. The stock of DR-capable appliances would build up at a predictable rate to the thresholds at which it becomes cost-effective for utilities and DRSPs to market commercial offerings to consumers. </w:t>
      </w:r>
    </w:p>
    <w:p w14:paraId="06416B76"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A DR capability that is reliable and of sufficient scale can provide a viable alternative to supply side investment for meeting future demands on the electricity network. It would enable DR to be targeted to the parts of the network under stress, so reducing the risk of network outages. At the same time, all consumers – not just those participating in DR programs – would benefit from lower electricity prices and greater protection from the impacts of peak load events, including the risk of blackouts.</w:t>
      </w:r>
    </w:p>
    <w:p w14:paraId="16C43BBA"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If there were evidence of significant BAU </w:t>
      </w:r>
      <w:proofErr w:type="spellStart"/>
      <w:r w:rsidRPr="00A37634">
        <w:rPr>
          <w:rFonts w:ascii="Calibri" w:eastAsia="Calibri" w:hAnsi="Calibri" w:cs="Calibri"/>
          <w:szCs w:val="20"/>
          <w:lang w:val="en-AU"/>
        </w:rPr>
        <w:t>takeup</w:t>
      </w:r>
      <w:proofErr w:type="spellEnd"/>
      <w:r w:rsidRPr="00A37634">
        <w:rPr>
          <w:rFonts w:ascii="Calibri" w:eastAsia="Calibri" w:hAnsi="Calibri" w:cs="Calibri"/>
          <w:szCs w:val="20"/>
          <w:lang w:val="en-AU"/>
        </w:rPr>
        <w:t xml:space="preserve"> of appliances with other DR capabilities (in addition to or in place of AS/NZS 4755 compliance) prior to the announcement of a decision to implement the proposed measure then this would be a reason to reconsider. This was seen as a risk in 2005, when Standards Australia started working on AS/NZS 4755, and 14 years later that standard still appears to be the most effective option. Therefore, while a (currently unforeseeable) global standard may make AS/NZS 4755 obsolete, there is an equal risk that failure to adopt it will miss the benefits of DR.  Also, compliance with AS/NZS 4755 does not preclude building in other types of “smart” capability into the same product, so it is not a binary decision. </w:t>
      </w:r>
    </w:p>
    <w:p w14:paraId="01340858"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szCs w:val="24"/>
          <w:lang w:val="en-AU"/>
        </w:rPr>
      </w:pPr>
      <w:r w:rsidRPr="00A37634">
        <w:rPr>
          <w:rFonts w:ascii="Calibri" w:eastAsia="Times New Roman" w:hAnsi="Calibri" w:cs="Calibri"/>
          <w:b/>
          <w:color w:val="FF0000"/>
          <w:sz w:val="28"/>
          <w:szCs w:val="24"/>
          <w:lang w:val="en-AU"/>
        </w:rPr>
        <w:t>Regulatory Drivers</w:t>
      </w:r>
    </w:p>
    <w:p w14:paraId="4430CD2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proposal is intended to provide a technical platform that would lower the costs and increase the take-up of DR programs throughout Australia and New Zealand, so enabling a significant increase in the supply of DR services. However demand for DR services is ultimately determined by regulatory drivers. </w:t>
      </w:r>
    </w:p>
    <w:p w14:paraId="1F3BC31D"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revenues which the Australian Energy Regulator (AER) permits to regulated network services providers depends partly on the value of their asset base and on the prudent expenditures which they claim will be necessary to maintain electricity supply at acceptable (sometimes statutory) levels of reliability and security. To counter any bias towards maximising capital investment to boost the asset base (“gold plating”), the AER applies tests of “prudence” – whether the purpose of expenditure is legitimate and whether it is possible to achieve the objective at lower cost. </w:t>
      </w:r>
    </w:p>
    <w:p w14:paraId="52B90255" w14:textId="09579514" w:rsidR="00A37634" w:rsidRPr="00A37634" w:rsidRDefault="00A37634" w:rsidP="00A37634">
      <w:pPr>
        <w:spacing w:before="120" w:after="120" w:line="276" w:lineRule="auto"/>
        <w:rPr>
          <w:rFonts w:ascii="Calibri" w:eastAsia="Calibri" w:hAnsi="Calibri" w:cs="Calibri"/>
          <w:szCs w:val="20"/>
          <w:lang w:val="en-AU"/>
        </w:rPr>
      </w:pP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_Ref13755236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1</w:t>
      </w:r>
      <w:r w:rsidRPr="00BB0627">
        <w:rPr>
          <w:rFonts w:ascii="Calibri" w:eastAsia="Calibri" w:hAnsi="Calibri" w:cs="Calibri"/>
          <w:b/>
          <w:szCs w:val="20"/>
          <w:lang w:val="en-AU"/>
        </w:rPr>
        <w:fldChar w:fldCharType="end"/>
      </w:r>
      <w:r w:rsidRPr="00BB0627">
        <w:rPr>
          <w:rFonts w:ascii="Calibri" w:eastAsia="Calibri" w:hAnsi="Calibri" w:cs="Calibri"/>
          <w:b/>
          <w:szCs w:val="20"/>
          <w:lang w:val="en-AU"/>
        </w:rPr>
        <w:t xml:space="preserve"> </w:t>
      </w:r>
      <w:r w:rsidRPr="00A37634">
        <w:rPr>
          <w:rFonts w:ascii="Calibri" w:eastAsia="Calibri" w:hAnsi="Calibri" w:cs="Calibri"/>
          <w:szCs w:val="20"/>
          <w:lang w:val="en-AU"/>
        </w:rPr>
        <w:t xml:space="preserve">summarises the classification of DR services for the Australian NEM adopted by the Australian Competition and Consumer Commission (ACCC) and the Australian Energy Market Commission (AEMC), along with their status under the current regulatory drivers. All of these drivers would enable DRSPs to realise the value for DR programs for the appliances in scope, provided the costs of such programs were low enough and yielded DR resources of sufficient a scale and reliability for DRSPs to bid into the relevant DR markets: </w:t>
      </w:r>
    </w:p>
    <w:p w14:paraId="1E9B45B5" w14:textId="77777777" w:rsidR="00A37634" w:rsidRPr="00A37634" w:rsidRDefault="00A37634" w:rsidP="00A37634">
      <w:pPr>
        <w:numPr>
          <w:ilvl w:val="0"/>
          <w:numId w:val="30"/>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Network DR: The largest Australian residential AC DR program to date (</w:t>
      </w:r>
      <w:proofErr w:type="spellStart"/>
      <w:r w:rsidRPr="00A37634">
        <w:rPr>
          <w:rFonts w:ascii="Calibri" w:eastAsia="Calibri" w:hAnsi="Calibri" w:cs="Calibri"/>
          <w:szCs w:val="20"/>
          <w:lang w:val="en-AU"/>
        </w:rPr>
        <w:t>PeakSmart</w:t>
      </w:r>
      <w:proofErr w:type="spellEnd"/>
      <w:r w:rsidRPr="00A37634">
        <w:rPr>
          <w:rFonts w:ascii="Calibri" w:eastAsia="Calibri" w:hAnsi="Calibri" w:cs="Calibri"/>
          <w:szCs w:val="20"/>
          <w:lang w:val="en-AU"/>
        </w:rPr>
        <w:t>) was implemented and continues under existing Demand Management Incentive Scheme (DMIS) and Demand Management Incentive Allowance (DMIA) rules, so there are no regulatory barriers.</w:t>
      </w:r>
      <w:r w:rsidRPr="00A37634">
        <w:rPr>
          <w:rFonts w:ascii="Calibri" w:eastAsia="Calibri" w:hAnsi="Calibri" w:cs="Calibri"/>
          <w:szCs w:val="20"/>
          <w:vertAlign w:val="superscript"/>
          <w:lang w:val="en-AU"/>
        </w:rPr>
        <w:footnoteReference w:id="27"/>
      </w:r>
      <w:r w:rsidRPr="00A37634">
        <w:rPr>
          <w:rFonts w:ascii="Calibri" w:eastAsia="Calibri" w:hAnsi="Calibri" w:cs="Calibri"/>
          <w:szCs w:val="20"/>
          <w:lang w:val="en-AU"/>
        </w:rPr>
        <w:t xml:space="preserve">  </w:t>
      </w:r>
    </w:p>
    <w:p w14:paraId="45CDE787" w14:textId="77777777" w:rsidR="00A37634" w:rsidRPr="00A37634" w:rsidRDefault="00A37634" w:rsidP="00A37634">
      <w:pPr>
        <w:numPr>
          <w:ilvl w:val="0"/>
          <w:numId w:val="30"/>
        </w:numPr>
        <w:spacing w:before="120" w:after="120" w:line="276" w:lineRule="auto"/>
        <w:contextualSpacing/>
        <w:rPr>
          <w:rFonts w:ascii="Calibri" w:eastAsia="Calibri" w:hAnsi="Calibri" w:cs="Calibri"/>
          <w:szCs w:val="20"/>
          <w:lang w:val="en-AU"/>
        </w:rPr>
      </w:pPr>
      <w:bookmarkStart w:id="24" w:name="_Hlk13772076"/>
      <w:r w:rsidRPr="00A37634">
        <w:rPr>
          <w:rFonts w:ascii="Calibri" w:eastAsia="Calibri" w:hAnsi="Calibri" w:cs="Calibri"/>
          <w:szCs w:val="20"/>
          <w:lang w:val="en-AU"/>
        </w:rPr>
        <w:t>Emergency DR:  A number of large commercial and industrial consumers already participate in the Reliability and Emergency Reserve Trader (RERT) market. In 2017, ARENA and AEMO called for proposals to trial ways of involving residential consumers in emergency DR. The barriers to doing so are technical (scale, cost and reliability) rather than regulatory</w:t>
      </w:r>
      <w:bookmarkEnd w:id="24"/>
      <w:r w:rsidRPr="00A37634">
        <w:rPr>
          <w:rFonts w:ascii="Calibri" w:eastAsia="Calibri" w:hAnsi="Calibri" w:cs="Calibri"/>
          <w:szCs w:val="20"/>
          <w:lang w:val="en-AU"/>
        </w:rPr>
        <w:t>.</w:t>
      </w:r>
      <w:r w:rsidRPr="00A37634">
        <w:rPr>
          <w:rFonts w:ascii="Calibri" w:eastAsia="Calibri" w:hAnsi="Calibri" w:cs="Calibri"/>
          <w:szCs w:val="20"/>
          <w:vertAlign w:val="superscript"/>
          <w:lang w:val="en-AU"/>
        </w:rPr>
        <w:footnoteReference w:id="28"/>
      </w:r>
      <w:r w:rsidRPr="00A37634">
        <w:rPr>
          <w:rFonts w:ascii="Calibri" w:eastAsia="Calibri" w:hAnsi="Calibri" w:cs="Calibri"/>
          <w:szCs w:val="20"/>
          <w:lang w:val="en-AU"/>
        </w:rPr>
        <w:t xml:space="preserve">  </w:t>
      </w:r>
    </w:p>
    <w:p w14:paraId="0737F76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Electricity retailers can already use DR resources to reduce price risk in the wholesale market. However, according to four applicants who have requested the AEMC to make rule changes under the National Electricity Law (NEL): </w:t>
      </w:r>
    </w:p>
    <w:p w14:paraId="091B8164" w14:textId="77777777" w:rsidR="00A37634" w:rsidRPr="00A37634" w:rsidRDefault="00A37634" w:rsidP="00A37634">
      <w:pPr>
        <w:numPr>
          <w:ilvl w:val="0"/>
          <w:numId w:val="31"/>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The requirement that third party DRSPs either be registered as a retailer or have a commercial relationship with a retailer to provide wholesale demand response is creating challenges for the integration of DR in the NEM;  </w:t>
      </w:r>
    </w:p>
    <w:p w14:paraId="7F3F91AC" w14:textId="77777777" w:rsidR="00A37634" w:rsidRPr="00A37634" w:rsidRDefault="00A37634" w:rsidP="00A37634">
      <w:pPr>
        <w:numPr>
          <w:ilvl w:val="0"/>
          <w:numId w:val="31"/>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There are commercial barriers to developing the required partnerships between retailers and DRSPs, which has contributed to a sub-optimal level of DR in the NEM in comparison to other energy markets; </w:t>
      </w:r>
    </w:p>
    <w:p w14:paraId="44C4641A" w14:textId="77777777" w:rsidR="00A37634" w:rsidRPr="00A37634" w:rsidRDefault="00A37634" w:rsidP="00A37634">
      <w:pPr>
        <w:numPr>
          <w:ilvl w:val="0"/>
          <w:numId w:val="31"/>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A key concern of DRSPs is that their investments (for example, in equipment to facilitate DR) are at risk of becoming stranded should their customers change retailers, as a subsequent retailer may decide not to continue with the previous retailer’s existing demand response arrangement; </w:t>
      </w:r>
    </w:p>
    <w:p w14:paraId="3D411396" w14:textId="77777777" w:rsidR="00A37634" w:rsidRPr="00A37634" w:rsidRDefault="00A37634" w:rsidP="00A37634">
      <w:pPr>
        <w:numPr>
          <w:ilvl w:val="0"/>
          <w:numId w:val="31"/>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If a retailer does not offer DR products, or to provide a direct signal of the wholesale price to customers, its customers have no incentive to change their energy consumption; and </w:t>
      </w:r>
    </w:p>
    <w:p w14:paraId="049928AE" w14:textId="77777777" w:rsidR="00A37634" w:rsidRPr="00A37634" w:rsidRDefault="00A37634" w:rsidP="00A37634">
      <w:pPr>
        <w:numPr>
          <w:ilvl w:val="0"/>
          <w:numId w:val="31"/>
        </w:numPr>
        <w:spacing w:before="120" w:after="120" w:line="276" w:lineRule="auto"/>
        <w:contextualSpacing/>
        <w:rPr>
          <w:rFonts w:ascii="Calibri" w:eastAsia="Calibri" w:hAnsi="Calibri" w:cs="Calibri"/>
          <w:szCs w:val="20"/>
          <w:lang w:val="en-AU"/>
        </w:rPr>
      </w:pPr>
      <w:proofErr w:type="gramStart"/>
      <w:r w:rsidRPr="00A37634">
        <w:rPr>
          <w:rFonts w:ascii="Calibri" w:eastAsia="Calibri" w:hAnsi="Calibri" w:cs="Calibri"/>
          <w:szCs w:val="20"/>
          <w:lang w:val="en-AU"/>
        </w:rPr>
        <w:t>the</w:t>
      </w:r>
      <w:proofErr w:type="gramEnd"/>
      <w:r w:rsidRPr="00A37634">
        <w:rPr>
          <w:rFonts w:ascii="Calibri" w:eastAsia="Calibri" w:hAnsi="Calibri" w:cs="Calibri"/>
          <w:szCs w:val="20"/>
          <w:lang w:val="en-AU"/>
        </w:rPr>
        <w:t xml:space="preserve"> lack of a mechanism for portfolio DR, and the fact that consumers may not have the capacity to manage their demand at all times, limits consumers’ ability to take advantage of DR offerings.</w:t>
      </w:r>
      <w:r w:rsidRPr="00A37634">
        <w:rPr>
          <w:rFonts w:ascii="Calibri" w:eastAsia="Calibri" w:hAnsi="Calibri" w:cs="Calibri"/>
          <w:szCs w:val="20"/>
          <w:vertAlign w:val="superscript"/>
          <w:lang w:val="en-AU"/>
        </w:rPr>
        <w:footnoteReference w:id="29"/>
      </w:r>
    </w:p>
    <w:p w14:paraId="02BA3DC2"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applicants have proposed the introduction of a wholesale demand response mechanism in the NEM and creation of a new category of market participant, to be called either a DRSP or demand response aggregator.</w:t>
      </w:r>
    </w:p>
    <w:p w14:paraId="3DDFE4D6"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AEMC Draft Determination and the text of the proposed rule change were published on 18 July 2019.</w:t>
      </w:r>
      <w:r w:rsidRPr="00A37634">
        <w:rPr>
          <w:rFonts w:ascii="Calibri" w:eastAsia="Calibri" w:hAnsi="Calibri" w:cs="Calibri"/>
          <w:szCs w:val="20"/>
          <w:vertAlign w:val="superscript"/>
          <w:lang w:val="en-AU"/>
        </w:rPr>
        <w:footnoteReference w:id="30"/>
      </w:r>
      <w:r w:rsidRPr="00A37634">
        <w:rPr>
          <w:rFonts w:ascii="Calibri" w:eastAsia="Calibri" w:hAnsi="Calibri" w:cs="Calibri"/>
          <w:szCs w:val="20"/>
          <w:lang w:val="en-AU"/>
        </w:rPr>
        <w:t xml:space="preserve"> The introduction states: </w:t>
      </w:r>
    </w:p>
    <w:p w14:paraId="515AC9C6" w14:textId="77777777" w:rsidR="00A37634" w:rsidRPr="00A37634" w:rsidRDefault="00A37634" w:rsidP="00A37634">
      <w:pPr>
        <w:spacing w:before="120" w:after="120" w:line="276" w:lineRule="auto"/>
        <w:ind w:left="720"/>
        <w:rPr>
          <w:rFonts w:ascii="Calibri" w:eastAsia="Calibri" w:hAnsi="Calibri" w:cs="Calibri"/>
          <w:szCs w:val="20"/>
          <w:lang w:val="en-AU"/>
        </w:rPr>
      </w:pPr>
      <w:r w:rsidRPr="00A37634">
        <w:rPr>
          <w:rFonts w:ascii="Calibri" w:eastAsia="Calibri" w:hAnsi="Calibri" w:cs="Calibri"/>
          <w:szCs w:val="20"/>
          <w:lang w:val="en-AU"/>
        </w:rPr>
        <w:t xml:space="preserve">“The draft rule implements a wholesale demand response mechanism, which allows third parties to participate directly in the wholesale market as a substitute for </w:t>
      </w:r>
      <w:r w:rsidRPr="00A37634">
        <w:rPr>
          <w:rFonts w:ascii="Calibri" w:eastAsia="Calibri" w:hAnsi="Calibri" w:cs="Calibri"/>
          <w:i/>
          <w:iCs/>
          <w:szCs w:val="20"/>
          <w:lang w:val="en-AU"/>
        </w:rPr>
        <w:t>generation,</w:t>
      </w:r>
      <w:r w:rsidRPr="00A37634">
        <w:rPr>
          <w:rFonts w:ascii="Calibri" w:eastAsia="Calibri" w:hAnsi="Calibri" w:cs="Calibri"/>
          <w:szCs w:val="20"/>
          <w:lang w:val="en-AU"/>
        </w:rPr>
        <w:t xml:space="preserve"> and be paid for providing demand response. The draft rule also makes a number of complementary changes to increase the transparency of other types of wholesale demand response.” (</w:t>
      </w:r>
      <w:proofErr w:type="gramStart"/>
      <w:r w:rsidRPr="00A37634">
        <w:rPr>
          <w:rFonts w:ascii="Calibri" w:eastAsia="Calibri" w:hAnsi="Calibri" w:cs="Calibri"/>
          <w:szCs w:val="20"/>
          <w:lang w:val="en-AU"/>
        </w:rPr>
        <w:t>p3/228</w:t>
      </w:r>
      <w:proofErr w:type="gramEnd"/>
      <w:r w:rsidRPr="00A37634">
        <w:rPr>
          <w:rFonts w:ascii="Calibri" w:eastAsia="Calibri" w:hAnsi="Calibri" w:cs="Calibri"/>
          <w:szCs w:val="20"/>
          <w:lang w:val="en-AU"/>
        </w:rPr>
        <w:t xml:space="preserve">, emphasis added). </w:t>
      </w:r>
    </w:p>
    <w:p w14:paraId="22FB8E38"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main focus of the rule is on addressing shortfalls in generation (by rewarding reductions in load or additional generation), but it would also have secondary effects on local network problems. While the rule change would incentivise a new group of DRSPs, at present these would only be able to bid the loads of industrial and commercial consumers into the wholesale market:</w:t>
      </w:r>
    </w:p>
    <w:p w14:paraId="278BB34B" w14:textId="77777777" w:rsidR="00A37634" w:rsidRPr="00A37634" w:rsidRDefault="00A37634" w:rsidP="00A37634">
      <w:pPr>
        <w:spacing w:before="120" w:after="120" w:line="276" w:lineRule="auto"/>
        <w:ind w:left="720"/>
        <w:rPr>
          <w:rFonts w:ascii="Calibri" w:eastAsia="Calibri" w:hAnsi="Calibri" w:cs="Calibri"/>
          <w:szCs w:val="20"/>
          <w:lang w:val="en-AU"/>
        </w:rPr>
      </w:pPr>
      <w:r w:rsidRPr="00A37634">
        <w:rPr>
          <w:rFonts w:ascii="Calibri" w:eastAsia="Calibri" w:hAnsi="Calibri" w:cs="Calibri"/>
          <w:szCs w:val="20"/>
          <w:lang w:val="en-AU"/>
        </w:rPr>
        <w:t xml:space="preserve"> “For the purposes of this draft rule determination, the Commission has determined to not make a draft rule in relation to the retail rules for this request. Instead, the Commission will consider, in a formal review, the application of consumer protections to new energy service providers more generally, including DRSPs. The Commission considers that this approach is preferable given that it allows consumer protections to be considered in a holistic, comprehensive manner so that these can be made fit for purpose, no matter what the future may bring.”</w:t>
      </w:r>
      <w:r w:rsidRPr="00A37634">
        <w:rPr>
          <w:rFonts w:ascii="Calibri" w:eastAsia="Calibri" w:hAnsi="Calibri" w:cs="Calibri"/>
          <w:szCs w:val="20"/>
          <w:vertAlign w:val="superscript"/>
          <w:lang w:val="en-AU"/>
        </w:rPr>
        <w:footnoteReference w:id="31"/>
      </w:r>
    </w:p>
    <w:p w14:paraId="3569F985"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rule change approved by the AEMC would commence on 1 July 2022. If a retail rule change is also approved, by then or later, DRSPs would be in a position to engage residential consumers. If not, then the wholesale market benefits attributed to the mandating of AS/NZS 4755 could only be realised by retailers.  In either case, a build-up of AS/NZS 4755 compliant appliances in the stock would provide a cost-effective, reliable and universally available DR platform to any stakeholder permitted to engage with residential consumers (and AC DR could be an element of commercial DR programs under the rule change as it stands). </w:t>
      </w:r>
    </w:p>
    <w:p w14:paraId="3D9642C7"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AS/NZS 4755 is an open standard and so investment in using it could not be stranded, because another DRSP could take over DLC of the same appliance (with the consumer’s consent) without even visiting the site – addressing issue (c) above. Its adoption would help address the retail consumer protection issues which the AEMC is now intending to investigate. </w:t>
      </w:r>
    </w:p>
    <w:p w14:paraId="488C8F81"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Adoption of AS/NZS 4755-compliant products can help address issues (d) and (e) under existing regulations, even without a retail rule change. There is nothing to prevent Distribution Network Service Providers (DNSPs) approaching customers on their network to engage them in Network Demand Response programs even if the retailer is unwilling to engage them in wholesale market demand response. In fact, the DNSP can sell the use of the same DR capability to retailers, for use at times when it will have a wholesale market value rather than a network value (provided this is consistent with the terms of the DNSP’s contract with the customer). </w:t>
      </w:r>
    </w:p>
    <w:p w14:paraId="536A1F14"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AS/NZS is designed expressly to address issue (e), by automating response for consumers who do not have the capacity to manage their demand at all times.</w:t>
      </w:r>
    </w:p>
    <w:p w14:paraId="29372C97" w14:textId="3004C539"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extent to which the AEMC rule changes could impact on the categories of DR in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_Ref13755236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1</w:t>
      </w:r>
      <w:r w:rsidRPr="00BB0627">
        <w:rPr>
          <w:rFonts w:ascii="Calibri" w:eastAsia="Calibri" w:hAnsi="Calibri" w:cs="Calibri"/>
          <w:b/>
          <w:szCs w:val="20"/>
          <w:lang w:val="en-AU"/>
        </w:rPr>
        <w:fldChar w:fldCharType="end"/>
      </w:r>
      <w:r w:rsidRPr="00A37634">
        <w:rPr>
          <w:rFonts w:ascii="Calibri" w:eastAsia="Calibri" w:hAnsi="Calibri" w:cs="Calibri"/>
          <w:szCs w:val="20"/>
          <w:lang w:val="en-AU"/>
        </w:rPr>
        <w:t>, and so reduce the benefits obtainable from the proposal to mandate AS/NZS 4755 compliance, can be reflected by:</w:t>
      </w:r>
    </w:p>
    <w:p w14:paraId="44B66D07" w14:textId="76B30893" w:rsidR="00A37634" w:rsidRPr="00BB0627" w:rsidRDefault="00A37634" w:rsidP="00A37634">
      <w:pPr>
        <w:numPr>
          <w:ilvl w:val="0"/>
          <w:numId w:val="48"/>
        </w:numPr>
        <w:spacing w:before="120" w:after="120" w:line="276" w:lineRule="auto"/>
        <w:contextualSpacing/>
        <w:rPr>
          <w:rFonts w:ascii="Calibri" w:eastAsia="Calibri" w:hAnsi="Calibri" w:cs="Calibri"/>
          <w:szCs w:val="20"/>
          <w:lang w:val="en-AU"/>
        </w:rPr>
      </w:pPr>
      <w:r w:rsidRPr="00BB0627">
        <w:rPr>
          <w:rFonts w:ascii="Calibri" w:eastAsia="Calibri" w:hAnsi="Calibri" w:cs="Calibri"/>
          <w:szCs w:val="20"/>
          <w:lang w:val="en-AU"/>
        </w:rPr>
        <w:t xml:space="preserve">Subtracting the wholesale market benefits (separately identified in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_Ref14777407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5</w:t>
      </w:r>
      <w:r w:rsidRPr="00BB0627">
        <w:rPr>
          <w:rFonts w:ascii="Calibri" w:eastAsia="Calibri" w:hAnsi="Calibri" w:cs="Calibri"/>
          <w:b/>
          <w:szCs w:val="20"/>
          <w:lang w:val="en-AU"/>
        </w:rPr>
        <w:fldChar w:fldCharType="end"/>
      </w:r>
      <w:r w:rsidRPr="00BB0627">
        <w:rPr>
          <w:rFonts w:ascii="Calibri" w:eastAsia="Calibri" w:hAnsi="Calibri" w:cs="Calibri"/>
          <w:szCs w:val="20"/>
          <w:lang w:val="en-AU"/>
        </w:rPr>
        <w:t xml:space="preserve">, and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_Ref392238878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7</w:t>
      </w:r>
      <w:r w:rsidRPr="00BB0627">
        <w:rPr>
          <w:rFonts w:ascii="Calibri" w:eastAsia="Calibri" w:hAnsi="Calibri" w:cs="Calibri"/>
          <w:b/>
          <w:szCs w:val="20"/>
          <w:lang w:val="en-AU"/>
        </w:rPr>
        <w:fldChar w:fldCharType="end"/>
      </w:r>
      <w:r w:rsidRPr="00BB0627">
        <w:rPr>
          <w:rFonts w:ascii="Calibri" w:eastAsia="Calibri" w:hAnsi="Calibri" w:cs="Calibri"/>
          <w:szCs w:val="20"/>
          <w:lang w:val="en-AU"/>
        </w:rPr>
        <w:t xml:space="preserve">) and </w:t>
      </w:r>
    </w:p>
    <w:p w14:paraId="25818D05" w14:textId="77777777" w:rsidR="00A37634" w:rsidRPr="00A37634" w:rsidRDefault="00A37634" w:rsidP="00A37634">
      <w:pPr>
        <w:numPr>
          <w:ilvl w:val="0"/>
          <w:numId w:val="48"/>
        </w:numPr>
        <w:spacing w:before="120" w:after="120" w:line="276" w:lineRule="auto"/>
        <w:contextualSpacing/>
        <w:rPr>
          <w:rFonts w:ascii="Calibri" w:eastAsia="Calibri" w:hAnsi="Calibri" w:cs="Calibri"/>
          <w:szCs w:val="20"/>
          <w:lang w:val="en-AU"/>
        </w:rPr>
      </w:pPr>
      <w:proofErr w:type="gramStart"/>
      <w:r w:rsidRPr="00A37634">
        <w:rPr>
          <w:rFonts w:ascii="Calibri" w:eastAsia="Calibri" w:hAnsi="Calibri" w:cs="Calibri"/>
          <w:szCs w:val="20"/>
          <w:lang w:val="en-AU"/>
        </w:rPr>
        <w:t>assuming</w:t>
      </w:r>
      <w:proofErr w:type="gramEnd"/>
      <w:r w:rsidRPr="00A37634">
        <w:rPr>
          <w:rFonts w:ascii="Calibri" w:eastAsia="Calibri" w:hAnsi="Calibri" w:cs="Calibri"/>
          <w:szCs w:val="20"/>
          <w:lang w:val="en-AU"/>
        </w:rPr>
        <w:t xml:space="preserve"> a lower activation rate among the range modelled (say a “low” rather than a “medium” activation rate).</w:t>
      </w:r>
    </w:p>
    <w:p w14:paraId="760BCCBC" w14:textId="0F3A8B84" w:rsidR="00A37634" w:rsidRPr="00A37634" w:rsidRDefault="00A37634" w:rsidP="000E245E">
      <w:pPr>
        <w:pageBreakBefore/>
        <w:spacing w:before="240" w:after="120" w:line="240" w:lineRule="auto"/>
        <w:jc w:val="center"/>
        <w:rPr>
          <w:rFonts w:ascii="Calibri" w:eastAsia="Cambria" w:hAnsi="Calibri" w:cs="Calibri"/>
          <w:b/>
          <w:bCs/>
          <w:sz w:val="20"/>
          <w:szCs w:val="16"/>
          <w:lang w:val="en-AU"/>
        </w:rPr>
      </w:pPr>
      <w:bookmarkStart w:id="25" w:name="_Ref13755236"/>
      <w:bookmarkStart w:id="26" w:name="_Toc16500992"/>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w:t>
      </w:r>
      <w:r w:rsidRPr="00A37634">
        <w:rPr>
          <w:rFonts w:ascii="Calibri" w:eastAsia="Cambria" w:hAnsi="Calibri" w:cs="Calibri"/>
          <w:b/>
          <w:bCs/>
          <w:noProof/>
          <w:sz w:val="20"/>
          <w:szCs w:val="16"/>
          <w:lang w:val="en-AU"/>
        </w:rPr>
        <w:fldChar w:fldCharType="end"/>
      </w:r>
      <w:bookmarkEnd w:id="25"/>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Types of Demand Response in the NEM</w:t>
      </w:r>
      <w:bookmarkEnd w:id="26"/>
    </w:p>
    <w:tbl>
      <w:tblPr>
        <w:tblStyle w:val="TableGrid"/>
        <w:tblW w:w="0" w:type="auto"/>
        <w:tblLook w:val="04A0" w:firstRow="1" w:lastRow="0" w:firstColumn="1" w:lastColumn="0" w:noHBand="0" w:noVBand="1"/>
        <w:tblCaption w:val="&quot;0&quot;"/>
      </w:tblPr>
      <w:tblGrid>
        <w:gridCol w:w="1271"/>
        <w:gridCol w:w="3402"/>
        <w:gridCol w:w="4947"/>
      </w:tblGrid>
      <w:tr w:rsidR="00A37634" w:rsidRPr="00A37634" w14:paraId="0D60D599" w14:textId="77777777" w:rsidTr="007C7289">
        <w:trPr>
          <w:tblHeader/>
        </w:trPr>
        <w:tc>
          <w:tcPr>
            <w:tcW w:w="1271" w:type="dxa"/>
          </w:tcPr>
          <w:p w14:paraId="3DBA32EC" w14:textId="77777777" w:rsidR="00A37634" w:rsidRPr="00A37634" w:rsidRDefault="00A37634" w:rsidP="00A37634">
            <w:pPr>
              <w:spacing w:after="120" w:line="276" w:lineRule="auto"/>
              <w:jc w:val="center"/>
              <w:rPr>
                <w:rFonts w:ascii="Calibri" w:eastAsia="Calibri" w:hAnsi="Calibri" w:cs="Calibri"/>
                <w:b/>
                <w:bCs/>
                <w:lang w:val="en-AU"/>
              </w:rPr>
            </w:pPr>
            <w:r w:rsidRPr="00A37634">
              <w:rPr>
                <w:rFonts w:ascii="Calibri" w:eastAsia="Calibri" w:hAnsi="Calibri" w:cs="Calibri"/>
                <w:b/>
                <w:bCs/>
                <w:lang w:val="en-AU"/>
              </w:rPr>
              <w:t>Type</w:t>
            </w:r>
          </w:p>
        </w:tc>
        <w:tc>
          <w:tcPr>
            <w:tcW w:w="3402" w:type="dxa"/>
          </w:tcPr>
          <w:p w14:paraId="2B404D7F" w14:textId="77777777" w:rsidR="00A37634" w:rsidRPr="00A37634" w:rsidRDefault="00A37634" w:rsidP="00A37634">
            <w:pPr>
              <w:spacing w:after="120" w:line="276" w:lineRule="auto"/>
              <w:jc w:val="center"/>
              <w:rPr>
                <w:rFonts w:ascii="Calibri" w:eastAsia="Calibri" w:hAnsi="Calibri" w:cs="Calibri"/>
                <w:b/>
                <w:bCs/>
                <w:lang w:val="en-AU"/>
              </w:rPr>
            </w:pPr>
            <w:r w:rsidRPr="00A37634">
              <w:rPr>
                <w:rFonts w:ascii="Calibri" w:eastAsia="Calibri" w:hAnsi="Calibri" w:cs="Calibri"/>
                <w:b/>
                <w:bCs/>
                <w:lang w:val="en-AU"/>
              </w:rPr>
              <w:t>Description</w:t>
            </w:r>
          </w:p>
        </w:tc>
        <w:tc>
          <w:tcPr>
            <w:tcW w:w="4947" w:type="dxa"/>
          </w:tcPr>
          <w:p w14:paraId="5CE9B8BB" w14:textId="77777777" w:rsidR="00A37634" w:rsidRPr="00A37634" w:rsidRDefault="00A37634" w:rsidP="00A37634">
            <w:pPr>
              <w:spacing w:after="120" w:line="276" w:lineRule="auto"/>
              <w:jc w:val="center"/>
              <w:rPr>
                <w:rFonts w:ascii="Calibri" w:eastAsia="Calibri" w:hAnsi="Calibri" w:cs="Calibri"/>
                <w:b/>
                <w:bCs/>
                <w:lang w:val="en-AU"/>
              </w:rPr>
            </w:pPr>
            <w:r w:rsidRPr="00A37634">
              <w:rPr>
                <w:rFonts w:ascii="Calibri" w:eastAsia="Calibri" w:hAnsi="Calibri" w:cs="Calibri"/>
                <w:b/>
                <w:bCs/>
                <w:lang w:val="en-AU"/>
              </w:rPr>
              <w:t>Current Status</w:t>
            </w:r>
          </w:p>
        </w:tc>
      </w:tr>
      <w:tr w:rsidR="00A37634" w:rsidRPr="00A37634" w14:paraId="2BB6980F" w14:textId="77777777" w:rsidTr="007C7289">
        <w:tc>
          <w:tcPr>
            <w:tcW w:w="1271" w:type="dxa"/>
          </w:tcPr>
          <w:p w14:paraId="56EF0521" w14:textId="77777777" w:rsidR="00A37634" w:rsidRPr="00A37634" w:rsidRDefault="00A37634" w:rsidP="00A37634">
            <w:pPr>
              <w:autoSpaceDE w:val="0"/>
              <w:autoSpaceDN w:val="0"/>
              <w:adjustRightInd w:val="0"/>
              <w:rPr>
                <w:rFonts w:ascii="Calibri" w:eastAsia="Calibri" w:hAnsi="Calibri" w:cs="Calibri"/>
                <w:b/>
                <w:bCs/>
                <w:color w:val="272626"/>
                <w:lang w:val="en-AU"/>
              </w:rPr>
            </w:pPr>
            <w:r w:rsidRPr="00A37634">
              <w:rPr>
                <w:rFonts w:ascii="Calibri" w:eastAsia="Calibri" w:hAnsi="Calibri" w:cs="Calibri"/>
                <w:b/>
                <w:bCs/>
                <w:color w:val="272626"/>
                <w:lang w:val="en-AU"/>
              </w:rPr>
              <w:t>Wholesale</w:t>
            </w:r>
          </w:p>
          <w:p w14:paraId="2AA4A5D2" w14:textId="77777777" w:rsidR="00A37634" w:rsidRPr="00A37634" w:rsidRDefault="00A37634" w:rsidP="00A37634">
            <w:pPr>
              <w:autoSpaceDE w:val="0"/>
              <w:autoSpaceDN w:val="0"/>
              <w:adjustRightInd w:val="0"/>
              <w:rPr>
                <w:rFonts w:ascii="Calibri" w:eastAsia="Calibri" w:hAnsi="Calibri" w:cs="Calibri"/>
                <w:b/>
                <w:bCs/>
                <w:color w:val="272626"/>
                <w:lang w:val="en-AU"/>
              </w:rPr>
            </w:pPr>
            <w:r w:rsidRPr="00A37634">
              <w:rPr>
                <w:rFonts w:ascii="Calibri" w:eastAsia="Calibri" w:hAnsi="Calibri" w:cs="Calibri"/>
                <w:b/>
                <w:bCs/>
                <w:color w:val="272626"/>
                <w:lang w:val="en-AU"/>
              </w:rPr>
              <w:t>demand</w:t>
            </w:r>
          </w:p>
          <w:p w14:paraId="097A332C"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b/>
                <w:bCs/>
                <w:color w:val="272626"/>
                <w:lang w:val="en-AU"/>
              </w:rPr>
              <w:t>response</w:t>
            </w:r>
          </w:p>
        </w:tc>
        <w:tc>
          <w:tcPr>
            <w:tcW w:w="3402" w:type="dxa"/>
          </w:tcPr>
          <w:p w14:paraId="3009D635" w14:textId="77777777" w:rsidR="00A37634" w:rsidRPr="00A37634" w:rsidRDefault="00A37634" w:rsidP="00A37634">
            <w:pPr>
              <w:autoSpaceDE w:val="0"/>
              <w:autoSpaceDN w:val="0"/>
              <w:adjustRightInd w:val="0"/>
              <w:spacing w:after="120"/>
              <w:rPr>
                <w:rFonts w:ascii="Calibri" w:eastAsia="Calibri" w:hAnsi="Calibri" w:cs="Calibri"/>
                <w:lang w:val="en-AU"/>
              </w:rPr>
            </w:pPr>
            <w:r w:rsidRPr="00A37634">
              <w:rPr>
                <w:rFonts w:ascii="Calibri" w:eastAsia="Calibri" w:hAnsi="Calibri" w:cs="Calibri"/>
                <w:color w:val="272626"/>
                <w:lang w:val="en-AU"/>
              </w:rPr>
              <w:t>Demand response used to change the quantity of electricity bought in the wholesale market, which could be used to manage spot price exposure, or to help market participants manage their positions.</w:t>
            </w:r>
          </w:p>
        </w:tc>
        <w:tc>
          <w:tcPr>
            <w:tcW w:w="4947" w:type="dxa"/>
          </w:tcPr>
          <w:p w14:paraId="046B8414" w14:textId="77777777" w:rsidR="00A37634" w:rsidRPr="00A37634" w:rsidRDefault="00A37634" w:rsidP="00A37634">
            <w:pPr>
              <w:autoSpaceDE w:val="0"/>
              <w:autoSpaceDN w:val="0"/>
              <w:adjustRightInd w:val="0"/>
              <w:rPr>
                <w:rFonts w:ascii="Calibri" w:eastAsia="Calibri" w:hAnsi="Calibri" w:cs="Calibri"/>
                <w:lang w:val="en-AU"/>
              </w:rPr>
            </w:pPr>
            <w:r w:rsidRPr="00A37634">
              <w:rPr>
                <w:rFonts w:ascii="Calibri" w:eastAsia="Calibri" w:hAnsi="Calibri" w:cs="Calibri"/>
                <w:color w:val="272626"/>
                <w:lang w:val="en-AU"/>
              </w:rPr>
              <w:t>Due to the lack of transparency around how much wholesale demand response is currently being utilised, it is difficult to draw firm conclusions about how much demand response is occurring in the NEM, or whether this level is efficient.</w:t>
            </w:r>
          </w:p>
        </w:tc>
      </w:tr>
      <w:tr w:rsidR="00A37634" w:rsidRPr="00A37634" w14:paraId="03575E57" w14:textId="77777777" w:rsidTr="007C7289">
        <w:tc>
          <w:tcPr>
            <w:tcW w:w="1271" w:type="dxa"/>
          </w:tcPr>
          <w:p w14:paraId="16F4320C" w14:textId="77777777" w:rsidR="00A37634" w:rsidRPr="00A37634" w:rsidRDefault="00A37634" w:rsidP="00A37634">
            <w:pPr>
              <w:autoSpaceDE w:val="0"/>
              <w:autoSpaceDN w:val="0"/>
              <w:adjustRightInd w:val="0"/>
              <w:rPr>
                <w:rFonts w:ascii="Calibri" w:eastAsia="Calibri" w:hAnsi="Calibri" w:cs="Calibri"/>
                <w:b/>
                <w:bCs/>
                <w:color w:val="272626"/>
                <w:lang w:val="en-AU"/>
              </w:rPr>
            </w:pPr>
            <w:r w:rsidRPr="00A37634">
              <w:rPr>
                <w:rFonts w:ascii="Calibri" w:eastAsia="Calibri" w:hAnsi="Calibri" w:cs="Calibri"/>
                <w:b/>
                <w:bCs/>
                <w:color w:val="272626"/>
                <w:lang w:val="en-AU"/>
              </w:rPr>
              <w:t>Ancillary</w:t>
            </w:r>
          </w:p>
          <w:p w14:paraId="3130AB7C" w14:textId="77777777" w:rsidR="00A37634" w:rsidRPr="00A37634" w:rsidRDefault="00A37634" w:rsidP="00A37634">
            <w:pPr>
              <w:autoSpaceDE w:val="0"/>
              <w:autoSpaceDN w:val="0"/>
              <w:adjustRightInd w:val="0"/>
              <w:rPr>
                <w:rFonts w:ascii="Calibri" w:eastAsia="Calibri" w:hAnsi="Calibri" w:cs="Calibri"/>
                <w:b/>
                <w:bCs/>
                <w:color w:val="272626"/>
                <w:lang w:val="en-AU"/>
              </w:rPr>
            </w:pPr>
            <w:r w:rsidRPr="00A37634">
              <w:rPr>
                <w:rFonts w:ascii="Calibri" w:eastAsia="Calibri" w:hAnsi="Calibri" w:cs="Calibri"/>
                <w:b/>
                <w:bCs/>
                <w:color w:val="272626"/>
                <w:lang w:val="en-AU"/>
              </w:rPr>
              <w:t>service</w:t>
            </w:r>
          </w:p>
          <w:p w14:paraId="332F8592" w14:textId="77777777" w:rsidR="00A37634" w:rsidRPr="00A37634" w:rsidRDefault="00A37634" w:rsidP="00A37634">
            <w:pPr>
              <w:autoSpaceDE w:val="0"/>
              <w:autoSpaceDN w:val="0"/>
              <w:adjustRightInd w:val="0"/>
              <w:rPr>
                <w:rFonts w:ascii="Calibri" w:eastAsia="Calibri" w:hAnsi="Calibri" w:cs="Calibri"/>
                <w:b/>
                <w:bCs/>
                <w:color w:val="272626"/>
                <w:lang w:val="en-AU"/>
              </w:rPr>
            </w:pPr>
            <w:r w:rsidRPr="00A37634">
              <w:rPr>
                <w:rFonts w:ascii="Calibri" w:eastAsia="Calibri" w:hAnsi="Calibri" w:cs="Calibri"/>
                <w:b/>
                <w:bCs/>
                <w:color w:val="272626"/>
                <w:lang w:val="en-AU"/>
              </w:rPr>
              <w:t>demand</w:t>
            </w:r>
          </w:p>
          <w:p w14:paraId="4123FD7E" w14:textId="77777777" w:rsidR="00A37634" w:rsidRPr="00A37634" w:rsidRDefault="00A37634" w:rsidP="00A37634">
            <w:pPr>
              <w:spacing w:after="120" w:line="276" w:lineRule="auto"/>
              <w:rPr>
                <w:rFonts w:ascii="Calibri" w:eastAsia="Calibri" w:hAnsi="Calibri" w:cs="Calibri"/>
                <w:b/>
                <w:bCs/>
                <w:color w:val="272626"/>
                <w:lang w:val="en-AU"/>
              </w:rPr>
            </w:pPr>
            <w:r w:rsidRPr="00A37634">
              <w:rPr>
                <w:rFonts w:ascii="Calibri" w:eastAsia="Calibri" w:hAnsi="Calibri" w:cs="Calibri"/>
                <w:b/>
                <w:bCs/>
                <w:color w:val="272626"/>
                <w:lang w:val="en-AU"/>
              </w:rPr>
              <w:t>response</w:t>
            </w:r>
          </w:p>
        </w:tc>
        <w:tc>
          <w:tcPr>
            <w:tcW w:w="3402" w:type="dxa"/>
          </w:tcPr>
          <w:p w14:paraId="1CC0A13E"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Demand response employed by the</w:t>
            </w:r>
          </w:p>
          <w:p w14:paraId="24F69287"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system operator during supply</w:t>
            </w:r>
          </w:p>
          <w:p w14:paraId="22601811"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emergencies, with the service</w:t>
            </w:r>
          </w:p>
          <w:p w14:paraId="5B88018A"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being centrally dispatched or</w:t>
            </w:r>
          </w:p>
          <w:p w14:paraId="0BB00246"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controlled to avoid involuntary load</w:t>
            </w:r>
          </w:p>
          <w:p w14:paraId="7A53E38F" w14:textId="77777777" w:rsidR="00A37634" w:rsidRPr="00A37634" w:rsidRDefault="00A37634" w:rsidP="00A37634">
            <w:pPr>
              <w:autoSpaceDE w:val="0"/>
              <w:autoSpaceDN w:val="0"/>
              <w:adjustRightInd w:val="0"/>
              <w:rPr>
                <w:rFonts w:ascii="Calibri" w:eastAsia="Calibri" w:hAnsi="Calibri" w:cs="Calibri"/>
                <w:color w:val="272626"/>
                <w:lang w:val="en-AU"/>
              </w:rPr>
            </w:pPr>
            <w:proofErr w:type="gramStart"/>
            <w:r w:rsidRPr="00A37634">
              <w:rPr>
                <w:rFonts w:ascii="Calibri" w:eastAsia="Calibri" w:hAnsi="Calibri" w:cs="Calibri"/>
                <w:color w:val="272626"/>
                <w:lang w:val="en-AU"/>
              </w:rPr>
              <w:t>shedding</w:t>
            </w:r>
            <w:proofErr w:type="gramEnd"/>
            <w:r w:rsidRPr="00A37634">
              <w:rPr>
                <w:rFonts w:ascii="Calibri" w:eastAsia="Calibri" w:hAnsi="Calibri" w:cs="Calibri"/>
                <w:color w:val="272626"/>
                <w:lang w:val="en-AU"/>
              </w:rPr>
              <w:t>. This is generally provided</w:t>
            </w:r>
          </w:p>
          <w:p w14:paraId="7F4DE4A0" w14:textId="77777777" w:rsidR="00A37634" w:rsidRPr="00A37634" w:rsidRDefault="00A37634" w:rsidP="00A37634">
            <w:pPr>
              <w:spacing w:after="120" w:line="276" w:lineRule="auto"/>
              <w:rPr>
                <w:rFonts w:ascii="Calibri" w:eastAsia="Calibri" w:hAnsi="Calibri" w:cs="Calibri"/>
                <w:color w:val="272626"/>
                <w:lang w:val="en-AU"/>
              </w:rPr>
            </w:pPr>
            <w:proofErr w:type="gramStart"/>
            <w:r w:rsidRPr="00A37634">
              <w:rPr>
                <w:rFonts w:ascii="Calibri" w:eastAsia="Calibri" w:hAnsi="Calibri" w:cs="Calibri"/>
                <w:color w:val="272626"/>
                <w:lang w:val="en-AU"/>
              </w:rPr>
              <w:t>by</w:t>
            </w:r>
            <w:proofErr w:type="gramEnd"/>
            <w:r w:rsidRPr="00A37634">
              <w:rPr>
                <w:rFonts w:ascii="Calibri" w:eastAsia="Calibri" w:hAnsi="Calibri" w:cs="Calibri"/>
                <w:color w:val="272626"/>
                <w:lang w:val="en-AU"/>
              </w:rPr>
              <w:t xml:space="preserve"> out-of-market reserves.</w:t>
            </w:r>
          </w:p>
        </w:tc>
        <w:tc>
          <w:tcPr>
            <w:tcW w:w="4947" w:type="dxa"/>
          </w:tcPr>
          <w:p w14:paraId="6A48BBBE"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Large energy users have used demand response to provide FCAS. Market ancillary service providers (MASPs) can offer customers’ loads into FCAS markets. Currently, there are two MASPs using demand response to provide FCAS.</w:t>
            </w:r>
          </w:p>
        </w:tc>
      </w:tr>
      <w:tr w:rsidR="00A37634" w:rsidRPr="00A37634" w14:paraId="7CADECED" w14:textId="77777777" w:rsidTr="007C7289">
        <w:tc>
          <w:tcPr>
            <w:tcW w:w="1271" w:type="dxa"/>
          </w:tcPr>
          <w:p w14:paraId="49CADBD0" w14:textId="77777777" w:rsidR="00A37634" w:rsidRPr="00A37634" w:rsidRDefault="00A37634" w:rsidP="00A37634">
            <w:pPr>
              <w:autoSpaceDE w:val="0"/>
              <w:autoSpaceDN w:val="0"/>
              <w:adjustRightInd w:val="0"/>
              <w:rPr>
                <w:rFonts w:ascii="Calibri" w:eastAsia="Calibri" w:hAnsi="Calibri" w:cs="Calibri"/>
                <w:b/>
                <w:bCs/>
                <w:color w:val="272626"/>
                <w:lang w:val="en-AU"/>
              </w:rPr>
            </w:pPr>
            <w:r w:rsidRPr="00A37634">
              <w:rPr>
                <w:rFonts w:ascii="Calibri" w:eastAsia="Calibri" w:hAnsi="Calibri" w:cs="Calibri"/>
                <w:b/>
                <w:bCs/>
                <w:color w:val="272626"/>
                <w:lang w:val="en-AU"/>
              </w:rPr>
              <w:t>Emergency</w:t>
            </w:r>
          </w:p>
          <w:p w14:paraId="065F9AD9" w14:textId="77777777" w:rsidR="00A37634" w:rsidRPr="00A37634" w:rsidRDefault="00A37634" w:rsidP="00A37634">
            <w:pPr>
              <w:autoSpaceDE w:val="0"/>
              <w:autoSpaceDN w:val="0"/>
              <w:adjustRightInd w:val="0"/>
              <w:rPr>
                <w:rFonts w:ascii="Calibri" w:eastAsia="Calibri" w:hAnsi="Calibri" w:cs="Calibri"/>
                <w:b/>
                <w:bCs/>
                <w:color w:val="272626"/>
                <w:lang w:val="en-AU"/>
              </w:rPr>
            </w:pPr>
            <w:r w:rsidRPr="00A37634">
              <w:rPr>
                <w:rFonts w:ascii="Calibri" w:eastAsia="Calibri" w:hAnsi="Calibri" w:cs="Calibri"/>
                <w:b/>
                <w:bCs/>
                <w:color w:val="272626"/>
                <w:lang w:val="en-AU"/>
              </w:rPr>
              <w:t>demand</w:t>
            </w:r>
          </w:p>
          <w:p w14:paraId="1CC439F8" w14:textId="77777777" w:rsidR="00A37634" w:rsidRPr="00A37634" w:rsidRDefault="00A37634" w:rsidP="00A37634">
            <w:pPr>
              <w:spacing w:after="120" w:line="276" w:lineRule="auto"/>
              <w:rPr>
                <w:rFonts w:ascii="Calibri" w:eastAsia="Calibri" w:hAnsi="Calibri" w:cs="Calibri"/>
                <w:b/>
                <w:bCs/>
                <w:color w:val="272626"/>
                <w:lang w:val="en-AU"/>
              </w:rPr>
            </w:pPr>
            <w:r w:rsidRPr="00A37634">
              <w:rPr>
                <w:rFonts w:ascii="Calibri" w:eastAsia="Calibri" w:hAnsi="Calibri" w:cs="Calibri"/>
                <w:b/>
                <w:bCs/>
                <w:color w:val="272626"/>
                <w:lang w:val="en-AU"/>
              </w:rPr>
              <w:t>response</w:t>
            </w:r>
          </w:p>
        </w:tc>
        <w:tc>
          <w:tcPr>
            <w:tcW w:w="3402" w:type="dxa"/>
          </w:tcPr>
          <w:p w14:paraId="2EF0AF58"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Demand response employed by the</w:t>
            </w:r>
          </w:p>
          <w:p w14:paraId="62838B0C"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system operator during supply</w:t>
            </w:r>
          </w:p>
          <w:p w14:paraId="6B7A4185"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emergencies, with the service</w:t>
            </w:r>
          </w:p>
          <w:p w14:paraId="4C307650"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being centrally dispatched or</w:t>
            </w:r>
          </w:p>
          <w:p w14:paraId="7A37C396"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controlled to avoid involuntary load</w:t>
            </w:r>
          </w:p>
          <w:p w14:paraId="48573A3E" w14:textId="77777777" w:rsidR="00A37634" w:rsidRPr="00A37634" w:rsidRDefault="00A37634" w:rsidP="00A37634">
            <w:pPr>
              <w:autoSpaceDE w:val="0"/>
              <w:autoSpaceDN w:val="0"/>
              <w:adjustRightInd w:val="0"/>
              <w:rPr>
                <w:rFonts w:ascii="Calibri" w:eastAsia="Calibri" w:hAnsi="Calibri" w:cs="Calibri"/>
                <w:color w:val="272626"/>
                <w:lang w:val="en-AU"/>
              </w:rPr>
            </w:pPr>
            <w:proofErr w:type="gramStart"/>
            <w:r w:rsidRPr="00A37634">
              <w:rPr>
                <w:rFonts w:ascii="Calibri" w:eastAsia="Calibri" w:hAnsi="Calibri" w:cs="Calibri"/>
                <w:color w:val="272626"/>
                <w:lang w:val="en-AU"/>
              </w:rPr>
              <w:t>shedding</w:t>
            </w:r>
            <w:proofErr w:type="gramEnd"/>
            <w:r w:rsidRPr="00A37634">
              <w:rPr>
                <w:rFonts w:ascii="Calibri" w:eastAsia="Calibri" w:hAnsi="Calibri" w:cs="Calibri"/>
                <w:color w:val="272626"/>
                <w:lang w:val="en-AU"/>
              </w:rPr>
              <w:t>. This is generally provided</w:t>
            </w:r>
          </w:p>
          <w:p w14:paraId="556233F7" w14:textId="77777777" w:rsidR="00A37634" w:rsidRPr="00A37634" w:rsidRDefault="00A37634" w:rsidP="00A37634">
            <w:pPr>
              <w:autoSpaceDE w:val="0"/>
              <w:autoSpaceDN w:val="0"/>
              <w:adjustRightInd w:val="0"/>
              <w:spacing w:after="120"/>
              <w:rPr>
                <w:rFonts w:ascii="Calibri" w:eastAsia="Calibri" w:hAnsi="Calibri" w:cs="Calibri"/>
                <w:lang w:val="en-AU"/>
              </w:rPr>
            </w:pPr>
            <w:proofErr w:type="gramStart"/>
            <w:r w:rsidRPr="00A37634">
              <w:rPr>
                <w:rFonts w:ascii="Calibri" w:eastAsia="Calibri" w:hAnsi="Calibri" w:cs="Calibri"/>
                <w:color w:val="272626"/>
                <w:lang w:val="en-AU"/>
              </w:rPr>
              <w:t>by</w:t>
            </w:r>
            <w:proofErr w:type="gramEnd"/>
            <w:r w:rsidRPr="00A37634">
              <w:rPr>
                <w:rFonts w:ascii="Calibri" w:eastAsia="Calibri" w:hAnsi="Calibri" w:cs="Calibri"/>
                <w:color w:val="272626"/>
                <w:lang w:val="en-AU"/>
              </w:rPr>
              <w:t xml:space="preserve"> out-of-market reserves.</w:t>
            </w:r>
          </w:p>
        </w:tc>
        <w:tc>
          <w:tcPr>
            <w:tcW w:w="4947" w:type="dxa"/>
          </w:tcPr>
          <w:p w14:paraId="33706399"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Demand response can – and currently is – participating in the Reliability and Emergency Reserve Trader (RERT). The Commission is currently considering ways to enhance the</w:t>
            </w:r>
          </w:p>
          <w:p w14:paraId="79A9A864" w14:textId="77777777" w:rsidR="00A37634" w:rsidRPr="00A37634" w:rsidRDefault="00A37634" w:rsidP="00A37634">
            <w:pPr>
              <w:autoSpaceDE w:val="0"/>
              <w:autoSpaceDN w:val="0"/>
              <w:adjustRightInd w:val="0"/>
              <w:rPr>
                <w:rFonts w:ascii="Calibri" w:eastAsia="Calibri" w:hAnsi="Calibri" w:cs="Calibri"/>
                <w:lang w:val="en-AU"/>
              </w:rPr>
            </w:pPr>
            <w:r w:rsidRPr="00A37634">
              <w:rPr>
                <w:rFonts w:ascii="Calibri" w:eastAsia="Calibri" w:hAnsi="Calibri" w:cs="Calibri"/>
                <w:color w:val="272626"/>
                <w:lang w:val="en-AU"/>
              </w:rPr>
              <w:t>RERT through its consideration of AEMO’s rule change request on enhancing the RERT</w:t>
            </w:r>
          </w:p>
        </w:tc>
      </w:tr>
      <w:tr w:rsidR="00A37634" w:rsidRPr="00A37634" w14:paraId="733E9F7A" w14:textId="77777777" w:rsidTr="007C7289">
        <w:tc>
          <w:tcPr>
            <w:tcW w:w="1271" w:type="dxa"/>
          </w:tcPr>
          <w:p w14:paraId="37672FD1" w14:textId="77777777" w:rsidR="00A37634" w:rsidRPr="00A37634" w:rsidRDefault="00A37634" w:rsidP="00A37634">
            <w:pPr>
              <w:autoSpaceDE w:val="0"/>
              <w:autoSpaceDN w:val="0"/>
              <w:adjustRightInd w:val="0"/>
              <w:rPr>
                <w:rFonts w:ascii="Calibri" w:eastAsia="Calibri" w:hAnsi="Calibri" w:cs="Calibri"/>
                <w:b/>
                <w:bCs/>
                <w:color w:val="272626"/>
                <w:lang w:val="en-AU"/>
              </w:rPr>
            </w:pPr>
            <w:r w:rsidRPr="00A37634">
              <w:rPr>
                <w:rFonts w:ascii="Calibri" w:eastAsia="Calibri" w:hAnsi="Calibri" w:cs="Calibri"/>
                <w:b/>
                <w:bCs/>
                <w:color w:val="272626"/>
                <w:lang w:val="en-AU"/>
              </w:rPr>
              <w:t>Network</w:t>
            </w:r>
          </w:p>
          <w:p w14:paraId="0CA2382D" w14:textId="77777777" w:rsidR="00A37634" w:rsidRPr="00A37634" w:rsidRDefault="00A37634" w:rsidP="00A37634">
            <w:pPr>
              <w:autoSpaceDE w:val="0"/>
              <w:autoSpaceDN w:val="0"/>
              <w:adjustRightInd w:val="0"/>
              <w:rPr>
                <w:rFonts w:ascii="Calibri" w:eastAsia="Calibri" w:hAnsi="Calibri" w:cs="Calibri"/>
                <w:lang w:val="en-AU"/>
              </w:rPr>
            </w:pPr>
            <w:r w:rsidRPr="00A37634">
              <w:rPr>
                <w:rFonts w:ascii="Calibri" w:eastAsia="Calibri" w:hAnsi="Calibri" w:cs="Calibri"/>
                <w:b/>
                <w:bCs/>
                <w:color w:val="272626"/>
                <w:lang w:val="en-AU"/>
              </w:rPr>
              <w:t>demand response</w:t>
            </w:r>
          </w:p>
        </w:tc>
        <w:tc>
          <w:tcPr>
            <w:tcW w:w="3402" w:type="dxa"/>
          </w:tcPr>
          <w:p w14:paraId="4651C241"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Demand response employed to</w:t>
            </w:r>
          </w:p>
          <w:p w14:paraId="49962263"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help a network business to provide</w:t>
            </w:r>
          </w:p>
          <w:p w14:paraId="1FB20396" w14:textId="77777777" w:rsidR="00A37634" w:rsidRPr="00A37634" w:rsidRDefault="00A37634" w:rsidP="00A37634">
            <w:pPr>
              <w:autoSpaceDE w:val="0"/>
              <w:autoSpaceDN w:val="0"/>
              <w:adjustRightInd w:val="0"/>
              <w:rPr>
                <w:rFonts w:ascii="Calibri" w:eastAsia="Calibri" w:hAnsi="Calibri" w:cs="Calibri"/>
                <w:lang w:val="en-AU"/>
              </w:rPr>
            </w:pPr>
            <w:proofErr w:type="gramStart"/>
            <w:r w:rsidRPr="00A37634">
              <w:rPr>
                <w:rFonts w:ascii="Calibri" w:eastAsia="Calibri" w:hAnsi="Calibri" w:cs="Calibri"/>
                <w:color w:val="272626"/>
                <w:lang w:val="en-AU"/>
              </w:rPr>
              <w:t>network</w:t>
            </w:r>
            <w:proofErr w:type="gramEnd"/>
            <w:r w:rsidRPr="00A37634">
              <w:rPr>
                <w:rFonts w:ascii="Calibri" w:eastAsia="Calibri" w:hAnsi="Calibri" w:cs="Calibri"/>
                <w:color w:val="272626"/>
                <w:lang w:val="en-AU"/>
              </w:rPr>
              <w:t xml:space="preserve"> services to consumers.</w:t>
            </w:r>
          </w:p>
        </w:tc>
        <w:tc>
          <w:tcPr>
            <w:tcW w:w="4947" w:type="dxa"/>
          </w:tcPr>
          <w:p w14:paraId="0B40603F"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The existing regulatory framework provides a number of incentives and obligations for non-network options</w:t>
            </w:r>
          </w:p>
          <w:p w14:paraId="3FB900B1"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w:t>
            </w:r>
            <w:proofErr w:type="gramStart"/>
            <w:r w:rsidRPr="00A37634">
              <w:rPr>
                <w:rFonts w:ascii="Calibri" w:eastAsia="Calibri" w:hAnsi="Calibri" w:cs="Calibri"/>
                <w:color w:val="272626"/>
                <w:lang w:val="en-AU"/>
              </w:rPr>
              <w:t>including</w:t>
            </w:r>
            <w:proofErr w:type="gramEnd"/>
            <w:r w:rsidRPr="00A37634">
              <w:rPr>
                <w:rFonts w:ascii="Calibri" w:eastAsia="Calibri" w:hAnsi="Calibri" w:cs="Calibri"/>
                <w:color w:val="272626"/>
                <w:lang w:val="en-AU"/>
              </w:rPr>
              <w:t xml:space="preserve"> demand response) to be adopted by a network service provider where it is efficient to do so. For example, the Demand Management Incentive Scheme</w:t>
            </w:r>
          </w:p>
          <w:p w14:paraId="375C5BCB" w14:textId="77777777" w:rsidR="00A37634" w:rsidRPr="00A37634" w:rsidRDefault="00A37634" w:rsidP="00A37634">
            <w:pPr>
              <w:autoSpaceDE w:val="0"/>
              <w:autoSpaceDN w:val="0"/>
              <w:adjustRightInd w:val="0"/>
              <w:rPr>
                <w:rFonts w:ascii="Calibri" w:eastAsia="Calibri" w:hAnsi="Calibri" w:cs="Calibri"/>
                <w:color w:val="272626"/>
                <w:lang w:val="en-AU"/>
              </w:rPr>
            </w:pPr>
            <w:r w:rsidRPr="00A37634">
              <w:rPr>
                <w:rFonts w:ascii="Calibri" w:eastAsia="Calibri" w:hAnsi="Calibri" w:cs="Calibri"/>
                <w:color w:val="272626"/>
                <w:lang w:val="en-AU"/>
              </w:rPr>
              <w:t>(DMIS) provides distribution network service providers (DNSPs) with an incentive to undertake efficient</w:t>
            </w:r>
          </w:p>
          <w:p w14:paraId="6D3A5E40" w14:textId="77777777" w:rsidR="00A37634" w:rsidRPr="00A37634" w:rsidRDefault="00A37634" w:rsidP="00A37634">
            <w:pPr>
              <w:autoSpaceDE w:val="0"/>
              <w:autoSpaceDN w:val="0"/>
              <w:adjustRightInd w:val="0"/>
              <w:spacing w:after="120"/>
              <w:rPr>
                <w:rFonts w:ascii="Calibri" w:eastAsia="Calibri" w:hAnsi="Calibri" w:cs="Calibri"/>
                <w:color w:val="272626"/>
                <w:lang w:val="en-AU"/>
              </w:rPr>
            </w:pPr>
            <w:proofErr w:type="gramStart"/>
            <w:r w:rsidRPr="00A37634">
              <w:rPr>
                <w:rFonts w:ascii="Calibri" w:eastAsia="Calibri" w:hAnsi="Calibri" w:cs="Calibri"/>
                <w:color w:val="272626"/>
                <w:lang w:val="en-AU"/>
              </w:rPr>
              <w:t>expenditure</w:t>
            </w:r>
            <w:proofErr w:type="gramEnd"/>
            <w:r w:rsidRPr="00A37634">
              <w:rPr>
                <w:rFonts w:ascii="Calibri" w:eastAsia="Calibri" w:hAnsi="Calibri" w:cs="Calibri"/>
                <w:color w:val="272626"/>
                <w:lang w:val="en-AU"/>
              </w:rPr>
              <w:t xml:space="preserve"> on relevant non-network options relating to demand management and the Demand Management Incentive Allowance (DMIA) mechanism provides an allowance to DNSPs to undertake innovative projects related to demand management. The ACCC recommended in its Retail Electricity Pricing Inquiry that both the DMIS and DMIA be extended to also apply to transmission network service providers (TNSPs).</w:t>
            </w:r>
          </w:p>
        </w:tc>
      </w:tr>
    </w:tbl>
    <w:p w14:paraId="4479109E" w14:textId="77777777" w:rsidR="00A37634" w:rsidRPr="00A37634" w:rsidRDefault="00A37634" w:rsidP="00A37634">
      <w:pPr>
        <w:autoSpaceDE w:val="0"/>
        <w:autoSpaceDN w:val="0"/>
        <w:adjustRightInd w:val="0"/>
        <w:spacing w:after="0" w:line="240" w:lineRule="auto"/>
        <w:rPr>
          <w:rFonts w:ascii="Calibri" w:eastAsia="Calibri" w:hAnsi="Calibri" w:cs="Calibri"/>
          <w:color w:val="272626"/>
          <w:sz w:val="20"/>
          <w:szCs w:val="20"/>
          <w:lang w:val="en-AU"/>
        </w:rPr>
      </w:pPr>
      <w:r w:rsidRPr="00A37634">
        <w:rPr>
          <w:rFonts w:ascii="Calibri" w:eastAsia="Calibri" w:hAnsi="Calibri" w:cs="Calibri"/>
          <w:sz w:val="20"/>
          <w:szCs w:val="20"/>
          <w:lang w:val="en-AU"/>
        </w:rPr>
        <w:t xml:space="preserve">Source: AEMC (2019), Table 2.1. </w:t>
      </w:r>
      <w:r w:rsidRPr="00A37634">
        <w:rPr>
          <w:rFonts w:ascii="Calibri" w:eastAsia="Calibri" w:hAnsi="Calibri" w:cs="Calibri"/>
          <w:color w:val="272626"/>
          <w:sz w:val="20"/>
          <w:szCs w:val="20"/>
          <w:lang w:val="en-AU"/>
        </w:rPr>
        <w:t>Wholesale and emergency demand response are the focus of the rule change determination published by the AEMC in July 2019.</w:t>
      </w:r>
    </w:p>
    <w:p w14:paraId="737F5CA1" w14:textId="77777777" w:rsidR="00A37634" w:rsidRPr="00A37634" w:rsidRDefault="00A37634" w:rsidP="00A37634">
      <w:pPr>
        <w:spacing w:before="24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To sum up, the deployment of a DR capability based on AS/NZS 4755 would interact with the DR regulatory environment in the following ways: </w:t>
      </w:r>
    </w:p>
    <w:p w14:paraId="78118784" w14:textId="77777777" w:rsidR="00A37634" w:rsidRPr="00A37634" w:rsidRDefault="00A37634" w:rsidP="00A37634">
      <w:pPr>
        <w:numPr>
          <w:ilvl w:val="0"/>
          <w:numId w:val="33"/>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Network DR: The proposal is consistent with and would have value under the existing rules, by lowering the costs of DR programs for DNSPs and their contracted DRSPs; </w:t>
      </w:r>
    </w:p>
    <w:p w14:paraId="5388DD0C" w14:textId="77777777" w:rsidR="00A37634" w:rsidRPr="00A37634" w:rsidRDefault="00A37634" w:rsidP="00656086">
      <w:pPr>
        <w:widowControl w:val="0"/>
        <w:numPr>
          <w:ilvl w:val="0"/>
          <w:numId w:val="33"/>
        </w:numPr>
        <w:spacing w:before="120" w:after="120" w:line="276" w:lineRule="auto"/>
        <w:ind w:left="714" w:hanging="357"/>
        <w:contextualSpacing/>
        <w:rPr>
          <w:rFonts w:ascii="Calibri" w:eastAsia="Calibri" w:hAnsi="Calibri" w:cs="Calibri"/>
          <w:szCs w:val="20"/>
          <w:lang w:val="en-AU"/>
        </w:rPr>
      </w:pPr>
      <w:r w:rsidRPr="00A37634">
        <w:rPr>
          <w:rFonts w:ascii="Calibri" w:eastAsia="Calibri" w:hAnsi="Calibri" w:cs="Calibri"/>
          <w:szCs w:val="20"/>
          <w:lang w:val="en-AU"/>
        </w:rPr>
        <w:t>Emergency DR: The proposal is consistent with and would have value under the existing rules, and would lower the costs of DR programs for retailers and their contracted DRSPs, so helping resolve the technical and cost barriers identified in the current ARENA trials;</w:t>
      </w:r>
    </w:p>
    <w:p w14:paraId="4494E635" w14:textId="77777777" w:rsidR="00A37634" w:rsidRPr="00A37634" w:rsidRDefault="00A37634" w:rsidP="00A37634">
      <w:pPr>
        <w:numPr>
          <w:ilvl w:val="0"/>
          <w:numId w:val="33"/>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Ancillary services DR: the proposal could help create value in this market (see Summary of Costs and Benefits); and</w:t>
      </w:r>
    </w:p>
    <w:p w14:paraId="1F5058B8" w14:textId="77777777" w:rsidR="00A37634" w:rsidRPr="00A37634" w:rsidRDefault="00A37634" w:rsidP="00A37634">
      <w:pPr>
        <w:numPr>
          <w:ilvl w:val="0"/>
          <w:numId w:val="33"/>
        </w:numPr>
        <w:spacing w:before="120"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Wholesale DR: The proposal is consistent with and would have value under the existing rules, and would lower the costs of using small-consumer DR as a wholesale market strategy by retailers. </w:t>
      </w:r>
    </w:p>
    <w:p w14:paraId="68686009"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Enactment of the wholesale price mechanism rule changes currently before the AEMC is likely to lead to the entry of a new class of DR aggregators into the wholesale market (who would most likely make use of a universal AS/NZS 4755 DR platform if it were available). While the two measures would be mutually reinforcing, realising the benefits of the present proposal does not depend on the AEMC rule changes. </w:t>
      </w:r>
    </w:p>
    <w:p w14:paraId="07392745"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Retailer Reliability Obligation (RRO), which took effect on 1 July 2019, could increase the value of the proposed measure.</w:t>
      </w:r>
      <w:r w:rsidRPr="00A37634">
        <w:rPr>
          <w:rFonts w:ascii="Calibri" w:eastAsia="Calibri" w:hAnsi="Calibri" w:cs="Calibri"/>
          <w:szCs w:val="20"/>
          <w:vertAlign w:val="superscript"/>
          <w:lang w:val="en-AU"/>
        </w:rPr>
        <w:t xml:space="preserve"> </w:t>
      </w:r>
      <w:r w:rsidRPr="00A37634">
        <w:rPr>
          <w:rFonts w:ascii="Calibri" w:eastAsia="Calibri" w:hAnsi="Calibri" w:cs="Calibri"/>
          <w:szCs w:val="20"/>
          <w:lang w:val="en-AU"/>
        </w:rPr>
        <w:t xml:space="preserve">The RRO is designed to incentivise retailers and other market customers to support the reliability of the NEM by wholesale supply contracting strategies which reduce wholesale spot price volatility, increase DR and invest in </w:t>
      </w:r>
      <w:proofErr w:type="spellStart"/>
      <w:r w:rsidRPr="00A37634">
        <w:rPr>
          <w:rFonts w:ascii="Calibri" w:eastAsia="Calibri" w:hAnsi="Calibri" w:cs="Calibri"/>
          <w:szCs w:val="20"/>
          <w:lang w:val="en-AU"/>
        </w:rPr>
        <w:t>dispatchable</w:t>
      </w:r>
      <w:proofErr w:type="spellEnd"/>
      <w:r w:rsidRPr="00A37634">
        <w:rPr>
          <w:rFonts w:ascii="Calibri" w:eastAsia="Calibri" w:hAnsi="Calibri" w:cs="Calibri"/>
          <w:szCs w:val="20"/>
          <w:lang w:val="en-AU"/>
        </w:rPr>
        <w:t xml:space="preserve"> energy.</w:t>
      </w:r>
      <w:r w:rsidRPr="00A37634">
        <w:rPr>
          <w:rFonts w:ascii="Calibri" w:eastAsia="Calibri" w:hAnsi="Calibri" w:cs="Calibri"/>
          <w:szCs w:val="20"/>
          <w:vertAlign w:val="superscript"/>
          <w:lang w:val="en-AU"/>
        </w:rPr>
        <w:footnoteReference w:id="32"/>
      </w:r>
    </w:p>
    <w:p w14:paraId="36A4280E"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Under the RRO, AEMO must undertake an annual assessment of potential reliability gaps in future years. If it assesses that there will be a material reliability gap, it may request that the AER make a reliability instrument.</w:t>
      </w:r>
    </w:p>
    <w:p w14:paraId="52A17E72"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A reliability instrument would trigger an obligation on energy retailers to make adequate contracts with generation, storage or DRSPs to meet their share of a one-in-two-year peak demand, should it occur during the forecast reliability gap period. AEMO will be empowered to act as “Procurer of Last Resort” if a gap is still evident one year out. This will create a strong new regulatory driver for DR capability which can be deployed quickly, reliably and at scale. A pool of AS/NZS-compliant appliances already present in households would provide an ideal resource to support the RRO.</w:t>
      </w:r>
      <w:bookmarkEnd w:id="10"/>
    </w:p>
    <w:p w14:paraId="187CC1B2" w14:textId="77777777" w:rsidR="00A37634" w:rsidRPr="00A37634" w:rsidRDefault="00A37634" w:rsidP="00A37634">
      <w:pPr>
        <w:pageBreakBefore/>
        <w:pBdr>
          <w:bottom w:val="single" w:sz="12" w:space="1" w:color="ED1B24"/>
        </w:pBdr>
        <w:spacing w:before="200" w:after="600" w:line="240" w:lineRule="auto"/>
        <w:outlineLvl w:val="0"/>
        <w:rPr>
          <w:rFonts w:ascii="Calibri" w:eastAsia="Times New Roman" w:hAnsi="Calibri" w:cs="Calibri"/>
          <w:b/>
          <w:bCs/>
          <w:color w:val="ED1B24"/>
          <w:sz w:val="50"/>
          <w:szCs w:val="28"/>
          <w:lang w:val="en-AU"/>
        </w:rPr>
      </w:pPr>
      <w:bookmarkStart w:id="27" w:name="_Toc16500971"/>
      <w:r w:rsidRPr="00A37634">
        <w:rPr>
          <w:rFonts w:ascii="Calibri" w:eastAsia="Times New Roman" w:hAnsi="Calibri" w:cs="Calibri"/>
          <w:b/>
          <w:bCs/>
          <w:color w:val="ED1B24"/>
          <w:sz w:val="50"/>
          <w:szCs w:val="28"/>
          <w:lang w:val="en-AU"/>
        </w:rPr>
        <w:t xml:space="preserve">Products to be </w:t>
      </w:r>
      <w:proofErr w:type="gramStart"/>
      <w:r w:rsidRPr="00A37634">
        <w:rPr>
          <w:rFonts w:ascii="Calibri" w:eastAsia="Times New Roman" w:hAnsi="Calibri" w:cs="Calibri"/>
          <w:b/>
          <w:bCs/>
          <w:color w:val="ED1B24"/>
          <w:sz w:val="50"/>
          <w:szCs w:val="28"/>
          <w:lang w:val="en-AU"/>
        </w:rPr>
        <w:t>Covered</w:t>
      </w:r>
      <w:bookmarkEnd w:id="27"/>
      <w:proofErr w:type="gramEnd"/>
    </w:p>
    <w:p w14:paraId="051F7AD2"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Suitability for DR depends on whether appliances are (or are likely to be) major contributors to peak demand, and whether their demand can be reduced. Appliances whose operation can be modified or rescheduled at minimal cost and inconvenience to consumers will also provide significant benefits for network reliability and security. </w:t>
      </w:r>
    </w:p>
    <w:p w14:paraId="23B783C3"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Shifting the operation of electric storage water heaters, swimming pool pumps and EV chargers out of peak and into low-load periods will have negligible impact on consumer utility but significant effect on demand. By contrast, consumers will not tolerate automatic curtailment of activities with high value to them and which cannot be rescheduled or substituted – for example lighting, television and cooking. </w:t>
      </w:r>
    </w:p>
    <w:p w14:paraId="52468F87"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szCs w:val="24"/>
          <w:lang w:val="en-AU"/>
        </w:rPr>
      </w:pPr>
      <w:r w:rsidRPr="00A37634">
        <w:rPr>
          <w:rFonts w:ascii="Calibri" w:eastAsia="Times New Roman" w:hAnsi="Calibri" w:cs="Calibri"/>
          <w:b/>
          <w:color w:val="FF0000"/>
          <w:sz w:val="28"/>
          <w:szCs w:val="24"/>
          <w:lang w:val="en-AU"/>
        </w:rPr>
        <w:t>Air Conditioners</w:t>
      </w:r>
    </w:p>
    <w:p w14:paraId="77FD1704"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In the case of ACs, which are the largest contributor to summer maximum demand,</w:t>
      </w:r>
      <w:r w:rsidRPr="00A37634">
        <w:rPr>
          <w:rFonts w:ascii="Calibri" w:eastAsia="Calibri" w:hAnsi="Calibri" w:cs="Calibri"/>
          <w:szCs w:val="20"/>
          <w:vertAlign w:val="superscript"/>
          <w:lang w:val="en-AU"/>
        </w:rPr>
        <w:footnoteReference w:id="33"/>
      </w:r>
      <w:r w:rsidRPr="00A37634">
        <w:rPr>
          <w:rFonts w:ascii="Calibri" w:eastAsia="Calibri" w:hAnsi="Calibri" w:cs="Calibri"/>
          <w:szCs w:val="20"/>
          <w:lang w:val="en-AU"/>
        </w:rPr>
        <w:t xml:space="preserve"> many consumers have already shown their willingness to accept a reduced level of service at times of high demand in return for financial incentives. DR programs and trials in Australia have shown that most consumers will tolerate interruptions to air conditioner operations, and that reduced levels of cooling for short periods cause little or no discomfort. Indeed, the majority of participants are not even aware when a DR event has occurred (see Appendix 1). </w:t>
      </w:r>
    </w:p>
    <w:p w14:paraId="4368E0A6"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As ACs replace gas heating, their contribution to winter maximum demand is increasing, especially in winter-peaking jurisdictions such as Tasmania and New Zealand. Interruption of the compressor (DRM 1) is less acceptable when the unit is heating than when it is cooling, but the reduced output modes (DRM 2 and 3) will still provide thermal comfort while reducing power. </w:t>
      </w:r>
    </w:p>
    <w:p w14:paraId="297F253C"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proportion of Australian households with at least one </w:t>
      </w:r>
      <w:proofErr w:type="spellStart"/>
      <w:r w:rsidRPr="00A37634">
        <w:rPr>
          <w:rFonts w:ascii="Calibri" w:eastAsia="Calibri" w:hAnsi="Calibri" w:cs="Calibri"/>
          <w:szCs w:val="20"/>
          <w:lang w:val="en-AU"/>
        </w:rPr>
        <w:t>refrigerative</w:t>
      </w:r>
      <w:proofErr w:type="spellEnd"/>
      <w:r w:rsidRPr="00A37634">
        <w:rPr>
          <w:rFonts w:ascii="Calibri" w:eastAsia="Calibri" w:hAnsi="Calibri" w:cs="Calibri"/>
          <w:szCs w:val="20"/>
          <w:lang w:val="en-AU"/>
        </w:rPr>
        <w:t xml:space="preserve"> AC was steady at around 25% through the 1990s, but reached 56% in 2010 and is projected to exceed 70% by 2020. Rising incomes and the declining cost of ACs are key causes of this trend, along with the increasing size of new homes. </w:t>
      </w:r>
    </w:p>
    <w:p w14:paraId="0DC43BFA"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ownership rate in New Zealand, where ACs are usually called “heat pumps”, is about half the Australian rate, and the products are used for heating rather than cooling.  </w:t>
      </w:r>
    </w:p>
    <w:p w14:paraId="3C3D9CBE"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Household ACs have contributed to emergency load shedding and blackouts in several Australian States since February 2004, when heavy AC use during heat waves caused blackouts in Perth and parts of Melbourne.</w:t>
      </w:r>
      <w:r w:rsidRPr="00A37634">
        <w:rPr>
          <w:rFonts w:ascii="Calibri" w:eastAsia="Calibri" w:hAnsi="Calibri" w:cs="Calibri"/>
          <w:szCs w:val="20"/>
          <w:vertAlign w:val="superscript"/>
          <w:lang w:val="en-AU"/>
        </w:rPr>
        <w:footnoteReference w:id="34"/>
      </w:r>
      <w:r w:rsidRPr="00A37634">
        <w:rPr>
          <w:rFonts w:ascii="Calibri" w:eastAsia="Calibri" w:hAnsi="Calibri" w:cs="Calibri"/>
          <w:szCs w:val="20"/>
          <w:lang w:val="en-AU"/>
        </w:rPr>
        <w:t xml:space="preserve"> There were more such events in SA and Victoria in January and February 2009, during the period of record temperatures leading up to the Victorian bushfires,</w:t>
      </w:r>
      <w:r w:rsidRPr="00A37634">
        <w:rPr>
          <w:rFonts w:ascii="Calibri" w:eastAsia="Calibri" w:hAnsi="Calibri" w:cs="Calibri"/>
          <w:szCs w:val="20"/>
          <w:vertAlign w:val="superscript"/>
          <w:lang w:val="en-AU"/>
        </w:rPr>
        <w:footnoteReference w:id="35"/>
      </w:r>
      <w:r w:rsidRPr="00A37634">
        <w:rPr>
          <w:rFonts w:ascii="Calibri" w:eastAsia="Calibri" w:hAnsi="Calibri" w:cs="Calibri"/>
          <w:szCs w:val="20"/>
          <w:lang w:val="en-AU"/>
        </w:rPr>
        <w:t xml:space="preserve"> and in Melbourne again as recently as January 2018</w:t>
      </w:r>
      <w:r w:rsidRPr="00A37634">
        <w:rPr>
          <w:rFonts w:ascii="Calibri" w:eastAsia="Calibri" w:hAnsi="Calibri" w:cs="Calibri"/>
          <w:szCs w:val="20"/>
          <w:vertAlign w:val="superscript"/>
          <w:lang w:val="en-AU"/>
        </w:rPr>
        <w:footnoteReference w:id="36"/>
      </w:r>
      <w:r w:rsidRPr="00A37634">
        <w:rPr>
          <w:rFonts w:ascii="Calibri" w:eastAsia="Calibri" w:hAnsi="Calibri" w:cs="Calibri"/>
          <w:szCs w:val="20"/>
          <w:lang w:val="en-AU"/>
        </w:rPr>
        <w:t xml:space="preserve"> and January 2019.</w:t>
      </w:r>
      <w:r w:rsidRPr="00A37634">
        <w:rPr>
          <w:rFonts w:ascii="Calibri" w:eastAsia="Calibri" w:hAnsi="Calibri" w:cs="Calibri"/>
          <w:szCs w:val="20"/>
          <w:vertAlign w:val="superscript"/>
          <w:lang w:val="en-AU"/>
        </w:rPr>
        <w:footnoteReference w:id="37"/>
      </w:r>
      <w:r w:rsidRPr="00A37634">
        <w:rPr>
          <w:rFonts w:ascii="Calibri" w:eastAsia="Calibri" w:hAnsi="Calibri" w:cs="Calibri"/>
          <w:szCs w:val="20"/>
          <w:lang w:val="en-AU"/>
        </w:rPr>
        <w:t xml:space="preserve"> Apart from these State- and city-wide events, many network constraints are local, and occur at times when there is more than enough total generation available.</w:t>
      </w:r>
      <w:r w:rsidRPr="00A37634">
        <w:rPr>
          <w:rFonts w:ascii="Calibri" w:eastAsia="Calibri" w:hAnsi="Calibri" w:cs="Calibri"/>
          <w:szCs w:val="20"/>
          <w:vertAlign w:val="superscript"/>
          <w:lang w:val="en-AU"/>
        </w:rPr>
        <w:footnoteReference w:id="38"/>
      </w:r>
      <w:r w:rsidRPr="00A37634">
        <w:rPr>
          <w:rFonts w:ascii="Calibri" w:eastAsia="Calibri" w:hAnsi="Calibri" w:cs="Calibri"/>
          <w:szCs w:val="20"/>
          <w:lang w:val="en-AU"/>
        </w:rPr>
        <w:t xml:space="preserve">    </w:t>
      </w:r>
    </w:p>
    <w:p w14:paraId="22B30456"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About 920,000 </w:t>
      </w:r>
      <w:proofErr w:type="spellStart"/>
      <w:r w:rsidRPr="00A37634">
        <w:rPr>
          <w:rFonts w:ascii="Calibri" w:eastAsia="Calibri" w:hAnsi="Calibri" w:cs="Calibri"/>
          <w:szCs w:val="20"/>
          <w:lang w:val="en-AU"/>
        </w:rPr>
        <w:t>refrigerative</w:t>
      </w:r>
      <w:proofErr w:type="spellEnd"/>
      <w:r w:rsidRPr="00A37634">
        <w:rPr>
          <w:rFonts w:ascii="Calibri" w:eastAsia="Calibri" w:hAnsi="Calibri" w:cs="Calibri"/>
          <w:szCs w:val="20"/>
          <w:lang w:val="en-AU"/>
        </w:rPr>
        <w:t xml:space="preserve"> ACs are sold each year, with Queensland accounting for about 30% of the market, NSW for 26%, Victoria for 19%, WA for 13%, SA for 7% and the Australian Capital Territory (ACT), Northern Territory (NT) and Tasmania combined for 5%.</w:t>
      </w:r>
      <w:r w:rsidRPr="00A37634">
        <w:rPr>
          <w:rFonts w:ascii="Calibri" w:eastAsia="Calibri" w:hAnsi="Calibri" w:cs="Calibri"/>
          <w:szCs w:val="20"/>
          <w:vertAlign w:val="superscript"/>
          <w:lang w:val="en-AU"/>
        </w:rPr>
        <w:footnoteReference w:id="39"/>
      </w:r>
      <w:r w:rsidRPr="00A37634">
        <w:rPr>
          <w:rFonts w:ascii="Calibri" w:eastAsia="Calibri" w:hAnsi="Calibri" w:cs="Calibri"/>
          <w:szCs w:val="20"/>
          <w:lang w:val="en-AU"/>
        </w:rPr>
        <w:t xml:space="preserve"> There are 50 registered AC suppliers in Australia and New Zealand. The majority of ACs are imported, mainly from China, Thailand, Japan, Korea and Malaysia. There are also some local assemblers, particularly of ducted split systems.</w:t>
      </w:r>
      <w:r w:rsidRPr="00A37634">
        <w:rPr>
          <w:rFonts w:ascii="Calibri" w:eastAsia="Calibri" w:hAnsi="Calibri" w:cs="Calibri"/>
          <w:szCs w:val="20"/>
          <w:vertAlign w:val="superscript"/>
          <w:lang w:val="en-AU"/>
        </w:rPr>
        <w:footnoteReference w:id="40"/>
      </w:r>
      <w:r w:rsidRPr="00A37634">
        <w:rPr>
          <w:rFonts w:ascii="Calibri" w:eastAsia="Calibri" w:hAnsi="Calibri" w:cs="Calibri"/>
          <w:szCs w:val="20"/>
          <w:lang w:val="en-AU"/>
        </w:rPr>
        <w:t xml:space="preserve"> Some imported and locally manufactured models already have AS/NZS 4755 DR capabilities.</w:t>
      </w:r>
    </w:p>
    <w:p w14:paraId="48BA0C84"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2013 Consultation RIS proposed that all ACs up to 30 kW cooling capacity should comply with AS/NZS 4755. Stakeholders submitted that the proposal captured many models which sell in low numbers (so requiring high retooling costs per unit) and mainly into the commercial market. This market differs from the residential market in that TOU energy pricing constitutes a greater incentive for reducing electricity consumption at peak times and many commercial buildings have energy management systems which give more sophisticated control than AS/NZS 4755. </w:t>
      </w:r>
    </w:p>
    <w:p w14:paraId="247F036A"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Therefore, the scope has been narrowed to ACs up to 19 kW cooling capacity in this Consultation Paper. Comment is invited on whether this limitation is still appropriate (see Questions for Stakeholders at the end of this document). Many ducted </w:t>
      </w:r>
      <w:proofErr w:type="spellStart"/>
      <w:r w:rsidRPr="00A37634">
        <w:rPr>
          <w:rFonts w:ascii="Calibri" w:eastAsia="Calibri" w:hAnsi="Calibri" w:cs="Calibri"/>
          <w:szCs w:val="20"/>
          <w:lang w:val="en-AU"/>
        </w:rPr>
        <w:t>refrigerative</w:t>
      </w:r>
      <w:proofErr w:type="spellEnd"/>
      <w:r w:rsidRPr="00A37634">
        <w:rPr>
          <w:rFonts w:ascii="Calibri" w:eastAsia="Calibri" w:hAnsi="Calibri" w:cs="Calibri"/>
          <w:szCs w:val="20"/>
          <w:lang w:val="en-AU"/>
        </w:rPr>
        <w:t xml:space="preserve"> ACs with a cooling capacity greater than 19 kW are installed in residential applications, and these could be attractive targets for DR programs.</w:t>
      </w:r>
    </w:p>
    <w:p w14:paraId="37B2BCB8"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There is no evidence that any of the AS/NZS 4755 compliant models currently on the market are priced higher than similar non-compliant models. Nevertheless, it is conservatively assumed that making all AC models compliant would increase average retail prices by $5-15 per unit. Given that the installed cost of a typical 5 kW household AC is about $2,500, this represents well under 1% of the installed cost. </w:t>
      </w:r>
    </w:p>
    <w:p w14:paraId="5EFEB60F"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szCs w:val="28"/>
          <w:lang w:val="en-AU"/>
        </w:rPr>
      </w:pPr>
      <w:r w:rsidRPr="00A37634">
        <w:rPr>
          <w:rFonts w:ascii="Calibri" w:eastAsia="Times New Roman" w:hAnsi="Calibri" w:cs="Calibri"/>
          <w:b/>
          <w:color w:val="FF0000"/>
          <w:sz w:val="28"/>
          <w:szCs w:val="28"/>
          <w:lang w:val="en-AU"/>
        </w:rPr>
        <w:t>Electric Water Heaters</w:t>
      </w:r>
    </w:p>
    <w:p w14:paraId="6C9B47C5"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There are about 5.3 million electricity-using storage water heaters in Australia: 83% are electric resistance water heaters, 13% are solar with electric boost and 4% are heat pumps. About 530,000 electric storage water heaters are sold annually in Australia, mostly of local manufacture. The New Zealand market is about 100,000 per year. NSW accounts for about 34% of the Australian market, Queensland 32%, Victoria 11%, WA 7%, SA 6%, Tasmania 5%, the ACT 3% and the NT 2%. </w:t>
      </w:r>
    </w:p>
    <w:p w14:paraId="1C1D471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A DR capability would contribute to reducing winter peak demand more than summer peak demand. </w:t>
      </w:r>
      <w:proofErr w:type="gramStart"/>
      <w:r w:rsidRPr="00A37634">
        <w:rPr>
          <w:rFonts w:ascii="Calibri" w:eastAsia="Calibri" w:hAnsi="Calibri" w:cs="Calibri"/>
          <w:szCs w:val="20"/>
          <w:lang w:val="en-AU"/>
        </w:rPr>
        <w:t>Most larger</w:t>
      </w:r>
      <w:proofErr w:type="gramEnd"/>
      <w:r w:rsidRPr="00A37634">
        <w:rPr>
          <w:rFonts w:ascii="Calibri" w:eastAsia="Calibri" w:hAnsi="Calibri" w:cs="Calibri"/>
          <w:szCs w:val="20"/>
          <w:lang w:val="en-AU"/>
        </w:rPr>
        <w:t xml:space="preserve"> units are already on controlled load off-peak (OP) tariffs and so do not heat during peak periods. However, DR is the only practical option for managing the load of the electric water heaters that are too small to be eligible for OP tariffs. Even for larger water heaters, AS/NZS 4755 provides a more flexible form of load management than the simple power on/off exercised by OP controls. </w:t>
      </w:r>
    </w:p>
    <w:p w14:paraId="2A3D9813"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Demand-responsive water heaters could be switched on at times when there is excess PV generation, to store energy as heat. A few manufacturers have introduced “solar diverters” and water heaters with these capabilities, using their own proprietary standards rather than AS/NZS 4755, and limited to installations where both the PV and the water heaters are at the same site. An open standard would enable DRSPs to match PV output to water heater energy storage across an entire suburb. The E3 </w:t>
      </w:r>
      <w:r w:rsidRPr="00A37634">
        <w:rPr>
          <w:rFonts w:ascii="Calibri" w:eastAsia="Calibri" w:hAnsi="Calibri" w:cs="Calibri"/>
          <w:i/>
          <w:iCs/>
          <w:szCs w:val="20"/>
          <w:lang w:val="en-AU"/>
        </w:rPr>
        <w:t xml:space="preserve">Policy Framework for Hot Water Systems in Australia and New Zealand, </w:t>
      </w:r>
      <w:r w:rsidRPr="00A37634">
        <w:rPr>
          <w:rFonts w:ascii="Calibri" w:eastAsia="Calibri" w:hAnsi="Calibri" w:cs="Calibri"/>
          <w:szCs w:val="20"/>
          <w:lang w:val="en-AU"/>
        </w:rPr>
        <w:t>2018, has included ‘smart’ controls and DR in its strategy.</w:t>
      </w:r>
      <w:r w:rsidRPr="00A37634">
        <w:rPr>
          <w:rFonts w:ascii="Calibri" w:eastAsia="Calibri" w:hAnsi="Calibri" w:cs="Calibri"/>
          <w:szCs w:val="20"/>
          <w:vertAlign w:val="superscript"/>
          <w:lang w:val="en-AU"/>
        </w:rPr>
        <w:footnoteReference w:id="41"/>
      </w:r>
    </w:p>
    <w:p w14:paraId="17FFCC66"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2013 Consultation RIS proposed that all electric resistance, solar-electric and heat pump water heaters should comply with AS/NZS 4755. Stakeholders submitted that the reductions in peak demand from controlling solar-electric and heat pump water heaters would be too small to be cost-effective. Therefore, the scope has been narrowed in this Consultation Paper to electric resistance water heaters with a delivery of 10 to 700 litres. Comment is invited on whether this scope is still appropriate (see Questions for Stakeholders at the end of this document).</w:t>
      </w:r>
    </w:p>
    <w:p w14:paraId="4B512112"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Given sufficient lead time, suppliers of electric storage water heaters to the Australian market could make the necessary design changes. It is estimated that the requirement would add about $70-80 to the cost of electric storage water heaters, since very few models at present have suitable electronic controls and most models would have to be re-designed.  </w:t>
      </w:r>
    </w:p>
    <w:p w14:paraId="026E9C57"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szCs w:val="24"/>
          <w:lang w:val="en-AU"/>
        </w:rPr>
      </w:pPr>
      <w:r w:rsidRPr="00A37634">
        <w:rPr>
          <w:rFonts w:ascii="Calibri" w:eastAsia="Times New Roman" w:hAnsi="Calibri" w:cs="Calibri"/>
          <w:b/>
          <w:color w:val="FF0000"/>
          <w:sz w:val="28"/>
          <w:szCs w:val="24"/>
          <w:lang w:val="en-AU"/>
        </w:rPr>
        <w:t>Swimming Pool Pump Controllers</w:t>
      </w:r>
    </w:p>
    <w:p w14:paraId="68705F30"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A DR capability for pool pump controllers would contribute to reducing network summer maximum demand, because it is estimated that around half of pumps are on during AC-induced peak events.</w:t>
      </w:r>
      <w:r w:rsidRPr="00A37634">
        <w:rPr>
          <w:rFonts w:ascii="Calibri" w:eastAsia="Calibri" w:hAnsi="Calibri" w:cs="Calibri"/>
          <w:szCs w:val="20"/>
          <w:vertAlign w:val="superscript"/>
          <w:lang w:val="en-AU"/>
        </w:rPr>
        <w:footnoteReference w:id="42"/>
      </w:r>
      <w:r w:rsidRPr="00A37634">
        <w:rPr>
          <w:rFonts w:ascii="Calibri" w:eastAsia="Calibri" w:hAnsi="Calibri" w:cs="Calibri"/>
          <w:szCs w:val="20"/>
          <w:lang w:val="en-AU"/>
        </w:rPr>
        <w:t xml:space="preserve"> Like water heaters, they could also be switched on at times when there is excess PV generation. One local manufacturer has introduced a pool pump controller with these capabilities, but using its own proprietary standard rather than AS/NZS 4755. </w:t>
      </w:r>
    </w:p>
    <w:p w14:paraId="3A00AD60"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There are about 1.2 million residential pools in Australia: 29% of these are in NSW, 33% in Queensland, 13% in Victoria, 16% in WA, 5% in SA and 4% in Tasmania, NT and ACT combined.</w:t>
      </w:r>
      <w:r w:rsidRPr="00A37634">
        <w:rPr>
          <w:rFonts w:ascii="Calibri" w:eastAsia="Calibri" w:hAnsi="Calibri" w:cs="Calibri"/>
          <w:szCs w:val="20"/>
          <w:vertAlign w:val="superscript"/>
          <w:lang w:val="en-AU"/>
        </w:rPr>
        <w:footnoteReference w:id="43"/>
      </w:r>
      <w:r w:rsidRPr="00A37634">
        <w:rPr>
          <w:rFonts w:ascii="Calibri" w:eastAsia="Calibri" w:hAnsi="Calibri" w:cs="Calibri"/>
          <w:szCs w:val="20"/>
          <w:vertAlign w:val="superscript"/>
          <w:lang w:val="en-AU"/>
        </w:rPr>
        <w:t xml:space="preserve"> </w:t>
      </w:r>
      <w:r w:rsidRPr="00A37634">
        <w:rPr>
          <w:rFonts w:ascii="Calibri" w:eastAsia="Calibri" w:hAnsi="Calibri" w:cs="Calibri"/>
          <w:szCs w:val="20"/>
          <w:lang w:val="en-AU"/>
        </w:rPr>
        <w:t>About 180,000 pool pump-units are sold each year</w:t>
      </w:r>
      <w:r w:rsidRPr="00A37634">
        <w:rPr>
          <w:rFonts w:ascii="Calibri" w:eastAsia="Calibri" w:hAnsi="Calibri" w:cs="Calibri"/>
          <w:szCs w:val="20"/>
          <w:vertAlign w:val="superscript"/>
          <w:lang w:val="en-AU"/>
        </w:rPr>
        <w:footnoteReference w:id="44"/>
      </w:r>
      <w:r w:rsidRPr="00A37634">
        <w:rPr>
          <w:rFonts w:ascii="Calibri" w:eastAsia="Calibri" w:hAnsi="Calibri" w:cs="Calibri"/>
          <w:szCs w:val="20"/>
          <w:lang w:val="en-AU"/>
        </w:rPr>
        <w:t xml:space="preserve"> but fewer controllers, as they have longer service lives.</w:t>
      </w:r>
      <w:r w:rsidRPr="00A37634">
        <w:rPr>
          <w:rFonts w:ascii="Calibri" w:eastAsia="Calibri" w:hAnsi="Calibri" w:cs="Calibri"/>
          <w:szCs w:val="20"/>
          <w:vertAlign w:val="superscript"/>
          <w:lang w:val="en-AU"/>
        </w:rPr>
        <w:t xml:space="preserve"> </w:t>
      </w:r>
      <w:r w:rsidRPr="00A37634">
        <w:rPr>
          <w:rFonts w:ascii="Calibri" w:eastAsia="Calibri" w:hAnsi="Calibri" w:cs="Calibri"/>
          <w:szCs w:val="20"/>
          <w:lang w:val="en-AU"/>
        </w:rPr>
        <w:t xml:space="preserve">Pool pump controllers sold in Australia are a mix of locally manufactured and imported products. </w:t>
      </w:r>
    </w:p>
    <w:p w14:paraId="47080CCC"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Simple controllers attached directly to pump-units themselves would be excluded from the requirement. The DR capabilities would need to be exercised by a higher level controller because of the need to switch other components that rely on water flow for their safe operation, such as chlorinators and heaters. Some pools have multiple pumps, each serving a different water circulation system (e.g. pool filtration, solar heating circuit and spa). AS/NZS 4755 only requires the controller to switch off or modify the operation of the filtration pump. </w:t>
      </w:r>
    </w:p>
    <w:p w14:paraId="1ADFCE8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It is estimated that the compliance would add about $50 to the average price of pool pump controllers. </w:t>
      </w:r>
    </w:p>
    <w:p w14:paraId="17037B92"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szCs w:val="24"/>
          <w:lang w:val="en-AU"/>
        </w:rPr>
      </w:pPr>
      <w:r w:rsidRPr="00A37634">
        <w:rPr>
          <w:rFonts w:ascii="Calibri" w:eastAsia="Times New Roman" w:hAnsi="Calibri" w:cs="Calibri"/>
          <w:b/>
          <w:color w:val="FF0000"/>
          <w:sz w:val="28"/>
          <w:szCs w:val="24"/>
          <w:lang w:val="en-AU"/>
        </w:rPr>
        <w:t>Electric Vehicle Charge/Discharge Controllers</w:t>
      </w:r>
    </w:p>
    <w:p w14:paraId="7BA8580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There is growing interest in EVs in Australia. Although the EV market is still small (2,300 units in 2017, or 0.2% of the new car market), vehicle manufacturers are importing more electric models and the market is expected to grow rapidly. </w:t>
      </w:r>
    </w:p>
    <w:p w14:paraId="04468D32"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New Zealand government has set up a contestable fund “to be invested in projects that accelerate the uptake of EVs and for innovations that would not otherwise be funded. This would include initiatives to promote a shift in consumer attitude and facilitate the utilisation of EVs…”</w:t>
      </w:r>
      <w:r w:rsidRPr="00A37634">
        <w:rPr>
          <w:rFonts w:ascii="Calibri" w:eastAsia="Calibri" w:hAnsi="Calibri" w:cs="Calibri"/>
          <w:szCs w:val="20"/>
          <w:vertAlign w:val="superscript"/>
          <w:lang w:val="en-AU"/>
        </w:rPr>
        <w:footnoteReference w:id="45"/>
      </w:r>
      <w:r w:rsidRPr="00A37634">
        <w:rPr>
          <w:rFonts w:ascii="Calibri" w:eastAsia="Calibri" w:hAnsi="Calibri" w:cs="Calibri"/>
          <w:szCs w:val="20"/>
          <w:lang w:val="en-AU"/>
        </w:rPr>
        <w:t xml:space="preserve"> </w:t>
      </w:r>
    </w:p>
    <w:p w14:paraId="21A3598F"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AEMO projects that by 2038, EVs will consume about 9% of the electricity delivered by the NEM. Nearly 80% of the energy used by privately owned EVs is expected to be delivered by home chargers, which will contribute significantly to local network peak demands if charging starts as soon as drivers return home from work.</w:t>
      </w:r>
      <w:r w:rsidRPr="00A37634">
        <w:rPr>
          <w:rFonts w:ascii="Calibri" w:eastAsia="Calibri" w:hAnsi="Calibri" w:cs="Calibri"/>
          <w:szCs w:val="20"/>
          <w:vertAlign w:val="superscript"/>
          <w:lang w:val="en-AU"/>
        </w:rPr>
        <w:footnoteReference w:id="46"/>
      </w:r>
      <w:r w:rsidRPr="00A37634">
        <w:rPr>
          <w:rFonts w:ascii="Calibri" w:eastAsia="Calibri" w:hAnsi="Calibri" w:cs="Calibri"/>
          <w:szCs w:val="20"/>
          <w:lang w:val="en-AU"/>
        </w:rPr>
        <w:t xml:space="preserve">  </w:t>
      </w:r>
    </w:p>
    <w:p w14:paraId="12AF84BD"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2018 Senate </w:t>
      </w:r>
      <w:r w:rsidRPr="00A37634">
        <w:rPr>
          <w:rFonts w:ascii="Calibri" w:eastAsia="Calibri" w:hAnsi="Calibri" w:cs="Calibri"/>
          <w:i/>
          <w:iCs/>
          <w:szCs w:val="20"/>
          <w:lang w:val="en-AU"/>
        </w:rPr>
        <w:t>Select Committee on Electric Vehicles</w:t>
      </w:r>
      <w:r w:rsidRPr="00A37634">
        <w:rPr>
          <w:rFonts w:ascii="Calibri" w:eastAsia="Calibri" w:hAnsi="Calibri" w:cs="Calibri"/>
          <w:szCs w:val="20"/>
          <w:lang w:val="en-AU"/>
        </w:rPr>
        <w:t xml:space="preserve"> concluded that: </w:t>
      </w:r>
    </w:p>
    <w:p w14:paraId="72840C91" w14:textId="77777777" w:rsidR="00A37634" w:rsidRPr="00A37634" w:rsidRDefault="00A37634" w:rsidP="00A37634">
      <w:pPr>
        <w:spacing w:before="120" w:after="120" w:line="276" w:lineRule="auto"/>
        <w:ind w:left="720"/>
        <w:rPr>
          <w:rFonts w:ascii="Calibri" w:eastAsia="Calibri" w:hAnsi="Calibri" w:cs="Calibri"/>
          <w:sz w:val="20"/>
          <w:szCs w:val="20"/>
          <w:lang w:val="en-AU"/>
        </w:rPr>
      </w:pPr>
      <w:r w:rsidRPr="00A37634">
        <w:rPr>
          <w:rFonts w:ascii="Calibri" w:eastAsia="Calibri" w:hAnsi="Calibri" w:cs="Calibri"/>
          <w:lang w:val="en-AU"/>
        </w:rPr>
        <w:t>“6.28…The Committee agrees with the evidence provided that making sure EVs do not overload the electricity network at times of peak demand will also be important for maintaining grid stability and preventing price spikes</w:t>
      </w:r>
      <w:r w:rsidRPr="00A37634">
        <w:rPr>
          <w:rFonts w:ascii="Calibri" w:eastAsia="Calibri" w:hAnsi="Calibri" w:cs="Calibri"/>
          <w:sz w:val="20"/>
          <w:szCs w:val="20"/>
          <w:lang w:val="en-AU"/>
        </w:rPr>
        <w:t>.”</w:t>
      </w:r>
      <w:r w:rsidRPr="00A37634">
        <w:rPr>
          <w:rFonts w:ascii="Calibri" w:eastAsia="Calibri" w:hAnsi="Calibri" w:cs="Calibri"/>
          <w:szCs w:val="20"/>
          <w:vertAlign w:val="superscript"/>
          <w:lang w:val="en-AU"/>
        </w:rPr>
        <w:t xml:space="preserve"> </w:t>
      </w:r>
      <w:r w:rsidRPr="00A37634">
        <w:rPr>
          <w:rFonts w:ascii="Calibri" w:eastAsia="Calibri" w:hAnsi="Calibri" w:cs="Calibri"/>
          <w:szCs w:val="20"/>
          <w:vertAlign w:val="superscript"/>
          <w:lang w:val="en-AU"/>
        </w:rPr>
        <w:footnoteReference w:id="47"/>
      </w:r>
      <w:r w:rsidRPr="00A37634">
        <w:rPr>
          <w:rFonts w:ascii="Calibri" w:eastAsia="Calibri" w:hAnsi="Calibri" w:cs="Calibri"/>
          <w:szCs w:val="20"/>
          <w:lang w:val="en-AU"/>
        </w:rPr>
        <w:t xml:space="preserve"> </w:t>
      </w:r>
      <w:r w:rsidRPr="00A37634">
        <w:rPr>
          <w:rFonts w:ascii="Calibri" w:eastAsia="Calibri" w:hAnsi="Calibri" w:cs="Calibri"/>
          <w:sz w:val="20"/>
          <w:szCs w:val="20"/>
          <w:lang w:val="en-AU"/>
        </w:rPr>
        <w:t xml:space="preserve"> </w:t>
      </w:r>
    </w:p>
    <w:p w14:paraId="4EE30292"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Indeed, many EV industry stakeholders expect that home chargers will be demand-controlled. DR-capable chargers could be managed to interrupt or constrain charging during times of network stress or high wholesale prices, and resume charging when conditions ease.</w:t>
      </w:r>
    </w:p>
    <w:p w14:paraId="75E68A74"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In July 2019, the UK Government commenced a consultation paper on the introduction of mandatory DR standards for EV chargers from 2022.</w:t>
      </w:r>
      <w:r w:rsidRPr="00A37634">
        <w:rPr>
          <w:rFonts w:ascii="Calibri" w:eastAsia="Calibri" w:hAnsi="Calibri" w:cs="Calibri"/>
          <w:szCs w:val="20"/>
          <w:vertAlign w:val="superscript"/>
          <w:lang w:val="en-AU"/>
        </w:rPr>
        <w:footnoteReference w:id="48"/>
      </w:r>
      <w:r w:rsidRPr="00A37634">
        <w:rPr>
          <w:rFonts w:ascii="Calibri" w:eastAsia="Calibri" w:hAnsi="Calibri" w:cs="Calibri"/>
          <w:szCs w:val="20"/>
          <w:lang w:val="en-AU"/>
        </w:rPr>
        <w:t xml:space="preserve"> The paper states:</w:t>
      </w:r>
    </w:p>
    <w:p w14:paraId="285A882B" w14:textId="77777777" w:rsidR="00A37634" w:rsidRPr="00A37634" w:rsidRDefault="00A37634" w:rsidP="00A37634">
      <w:pPr>
        <w:spacing w:before="120" w:after="120" w:line="276" w:lineRule="auto"/>
        <w:ind w:left="720"/>
        <w:rPr>
          <w:rFonts w:ascii="Calibri" w:eastAsia="Calibri" w:hAnsi="Calibri" w:cs="Calibri"/>
          <w:szCs w:val="20"/>
          <w:lang w:val="en-AU"/>
        </w:rPr>
      </w:pPr>
      <w:r w:rsidRPr="00A37634">
        <w:rPr>
          <w:rFonts w:ascii="Calibri" w:eastAsia="Calibri" w:hAnsi="Calibri" w:cs="Calibri"/>
          <w:szCs w:val="20"/>
          <w:lang w:val="en-AU"/>
        </w:rPr>
        <w:t xml:space="preserve">“Without government intervention, it is unlikely that smart charging will be taken up at the rate required to achieve the full benefits for consumers and the electricity system during the mass transition to EVs, and there is a risk of variable standards and inadequate protection for the grid and consumers. This is why the Government proposes to intervene now - to introduce regulations under the AEV Act </w:t>
      </w:r>
      <w:bookmarkStart w:id="29" w:name="_Hlk16191794"/>
      <w:r w:rsidRPr="00A37634">
        <w:rPr>
          <w:rFonts w:ascii="Calibri" w:eastAsia="Calibri" w:hAnsi="Calibri" w:cs="Calibri"/>
          <w:szCs w:val="20"/>
          <w:lang w:val="en-AU"/>
        </w:rPr>
        <w:t xml:space="preserve">[Automated and Electric Vehicles Act 2018] </w:t>
      </w:r>
      <w:bookmarkEnd w:id="29"/>
      <w:r w:rsidRPr="00A37634">
        <w:rPr>
          <w:rFonts w:ascii="Calibri" w:eastAsia="Calibri" w:hAnsi="Calibri" w:cs="Calibri"/>
          <w:szCs w:val="20"/>
          <w:lang w:val="en-AU"/>
        </w:rPr>
        <w:t>to increase uptake and set minimum standards.”</w:t>
      </w:r>
    </w:p>
    <w:p w14:paraId="34268F32"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While EV sales </w:t>
      </w:r>
      <w:bookmarkStart w:id="30" w:name="_Hlk16191844"/>
      <w:r w:rsidRPr="00A37634">
        <w:rPr>
          <w:rFonts w:ascii="Calibri" w:eastAsia="Calibri" w:hAnsi="Calibri" w:cs="Calibri"/>
          <w:szCs w:val="20"/>
          <w:lang w:val="en-AU"/>
        </w:rPr>
        <w:t xml:space="preserve">in Australia and New Zealand </w:t>
      </w:r>
      <w:bookmarkEnd w:id="30"/>
      <w:r w:rsidRPr="00A37634">
        <w:rPr>
          <w:rFonts w:ascii="Calibri" w:eastAsia="Calibri" w:hAnsi="Calibri" w:cs="Calibri"/>
          <w:szCs w:val="20"/>
          <w:lang w:val="en-AU"/>
        </w:rPr>
        <w:t>are currently modest, there is a risk that when the market starts to grow there will be a repeat of the peak load problems caused by the unexpected surge in AC sales in the late 1990s, which contributed to tens of billions of dollars in avoidable network costs. Building DR capabilities into EV chargers at the beginning of market growth is a relatively low-cost risk-management strategy. It is proposed to require DR capabilities in EV charge controllers designed for hard-wired residential use, with capacities up to 20 kVA. These are classified in the relevant US standard as SAE J1772 Level 2</w:t>
      </w:r>
      <w:r w:rsidRPr="00A37634">
        <w:rPr>
          <w:rFonts w:ascii="Calibri" w:eastAsia="Calibri" w:hAnsi="Calibri" w:cs="Calibri"/>
          <w:szCs w:val="20"/>
          <w:vertAlign w:val="superscript"/>
          <w:lang w:val="en-AU"/>
        </w:rPr>
        <w:footnoteReference w:id="49"/>
      </w:r>
      <w:r w:rsidRPr="00A37634">
        <w:rPr>
          <w:rFonts w:ascii="Calibri" w:eastAsia="Calibri" w:hAnsi="Calibri" w:cs="Calibri"/>
          <w:szCs w:val="20"/>
          <w:lang w:val="en-AU"/>
        </w:rPr>
        <w:t xml:space="preserve"> and in the international standard IEC 61851.1 as Mode 3.</w:t>
      </w:r>
      <w:r w:rsidRPr="00A37634">
        <w:rPr>
          <w:rFonts w:ascii="Calibri" w:eastAsia="Calibri" w:hAnsi="Calibri" w:cs="Calibri"/>
          <w:szCs w:val="20"/>
          <w:vertAlign w:val="superscript"/>
          <w:lang w:val="en-AU"/>
        </w:rPr>
        <w:footnoteReference w:id="50"/>
      </w:r>
      <w:r w:rsidRPr="00A37634">
        <w:rPr>
          <w:rFonts w:ascii="Calibri" w:eastAsia="Calibri" w:hAnsi="Calibri" w:cs="Calibri"/>
          <w:szCs w:val="20"/>
          <w:lang w:val="en-AU"/>
        </w:rPr>
        <w:t xml:space="preserve"> </w:t>
      </w:r>
    </w:p>
    <w:p w14:paraId="46504622"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EV chargers, like pool pump controllers, are electronics-intensive products and it is assumed that DR capability would impose a similar price penalty of $50 per unit.  </w:t>
      </w:r>
    </w:p>
    <w:p w14:paraId="109F5F72" w14:textId="77777777" w:rsidR="00A37634" w:rsidRPr="00A37634" w:rsidRDefault="00A37634" w:rsidP="00A37634">
      <w:pPr>
        <w:pageBreakBefore/>
        <w:pBdr>
          <w:bottom w:val="single" w:sz="12" w:space="1" w:color="ED1B24"/>
        </w:pBdr>
        <w:spacing w:before="200" w:after="600" w:line="240" w:lineRule="auto"/>
        <w:outlineLvl w:val="0"/>
        <w:rPr>
          <w:rFonts w:ascii="Calibri" w:eastAsia="Times New Roman" w:hAnsi="Calibri" w:cs="Calibri"/>
          <w:b/>
          <w:bCs/>
          <w:color w:val="ED1B24"/>
          <w:sz w:val="50"/>
          <w:szCs w:val="28"/>
          <w:lang w:val="en-AU"/>
        </w:rPr>
      </w:pPr>
      <w:bookmarkStart w:id="31" w:name="_Toc16500972"/>
      <w:r w:rsidRPr="00A37634">
        <w:rPr>
          <w:rFonts w:ascii="Calibri" w:eastAsia="Times New Roman" w:hAnsi="Calibri" w:cs="Calibri"/>
          <w:b/>
          <w:bCs/>
          <w:color w:val="ED1B24"/>
          <w:sz w:val="50"/>
          <w:szCs w:val="28"/>
          <w:lang w:val="en-AU"/>
        </w:rPr>
        <w:t>Proposed Compliance Standard</w:t>
      </w:r>
      <w:bookmarkEnd w:id="31"/>
    </w:p>
    <w:p w14:paraId="4D1D4AC4"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szCs w:val="24"/>
          <w:lang w:val="en-AU"/>
        </w:rPr>
      </w:pPr>
      <w:r w:rsidRPr="00A37634">
        <w:rPr>
          <w:rFonts w:ascii="Calibri" w:eastAsia="Times New Roman" w:hAnsi="Calibri" w:cs="Calibri"/>
          <w:b/>
          <w:color w:val="FF0000"/>
          <w:sz w:val="28"/>
          <w:szCs w:val="24"/>
          <w:lang w:val="en-AU"/>
        </w:rPr>
        <w:t>Australian and New Zealand Standard AS/NZS 4755</w:t>
      </w:r>
    </w:p>
    <w:p w14:paraId="77CA1D70" w14:textId="77777777" w:rsidR="00A37634" w:rsidRPr="00A37634" w:rsidRDefault="00A37634" w:rsidP="00A37634">
      <w:pPr>
        <w:spacing w:before="120" w:after="120" w:line="276" w:lineRule="auto"/>
        <w:rPr>
          <w:rFonts w:ascii="Calibri" w:eastAsia="Calibri" w:hAnsi="Calibri" w:cs="Calibri"/>
          <w:szCs w:val="20"/>
          <w:lang w:val="en-AU" w:eastAsia="en-GB"/>
        </w:rPr>
      </w:pPr>
      <w:r w:rsidRPr="00A37634">
        <w:rPr>
          <w:rFonts w:ascii="Calibri" w:eastAsia="Calibri" w:hAnsi="Calibri" w:cs="Calibri"/>
          <w:szCs w:val="20"/>
          <w:lang w:val="en-AU"/>
        </w:rPr>
        <w:t xml:space="preserve">The previous Consultation RIS proposed that products be required to comply with the relevant parts of AS/NZS 4755 </w:t>
      </w:r>
      <w:r w:rsidRPr="00A37634">
        <w:rPr>
          <w:rFonts w:ascii="Calibri" w:eastAsia="Calibri" w:hAnsi="Calibri" w:cs="Calibri"/>
          <w:i/>
          <w:iCs/>
          <w:szCs w:val="20"/>
          <w:lang w:val="en-AU" w:eastAsia="en-GB"/>
        </w:rPr>
        <w:t xml:space="preserve">Demand response capabilities and supporting technologies for electrical products </w:t>
      </w:r>
      <w:r w:rsidRPr="00A37634">
        <w:rPr>
          <w:rFonts w:ascii="Calibri" w:eastAsia="Calibri" w:hAnsi="Calibri" w:cs="Calibri"/>
          <w:szCs w:val="20"/>
          <w:lang w:val="en-AU" w:eastAsia="en-GB"/>
        </w:rPr>
        <w:t>as published (or expected to be published) at the time</w:t>
      </w:r>
      <w:r w:rsidRPr="00A37634">
        <w:rPr>
          <w:rFonts w:ascii="Calibri" w:eastAsia="Calibri" w:hAnsi="Calibri" w:cs="Calibri"/>
          <w:i/>
          <w:iCs/>
          <w:szCs w:val="20"/>
          <w:lang w:val="en-AU" w:eastAsia="en-GB"/>
        </w:rPr>
        <w:t>.</w:t>
      </w:r>
      <w:r w:rsidRPr="00A37634">
        <w:rPr>
          <w:rFonts w:ascii="Calibri" w:eastAsia="Calibri" w:hAnsi="Calibri" w:cs="Calibri"/>
          <w:szCs w:val="20"/>
          <w:lang w:val="en-AU" w:eastAsia="en-GB"/>
        </w:rPr>
        <w:t xml:space="preserve"> AS/NZS 4755 specifies a number of DRMs for each product type, and ways in which the DRMs can be verified through testing. </w:t>
      </w:r>
    </w:p>
    <w:p w14:paraId="1FD84288" w14:textId="77777777" w:rsidR="00A37634" w:rsidRPr="00A37634" w:rsidRDefault="00A37634" w:rsidP="00A37634">
      <w:pPr>
        <w:spacing w:before="120" w:after="120" w:line="276" w:lineRule="auto"/>
        <w:rPr>
          <w:rFonts w:ascii="Calibri" w:eastAsia="Calibri" w:hAnsi="Calibri" w:cs="Calibri"/>
          <w:szCs w:val="20"/>
          <w:lang w:val="en-AU" w:eastAsia="en-GB"/>
        </w:rPr>
      </w:pPr>
      <w:r w:rsidRPr="00A37634">
        <w:rPr>
          <w:rFonts w:ascii="Calibri" w:eastAsia="Calibri" w:hAnsi="Calibri" w:cs="Calibri"/>
          <w:szCs w:val="20"/>
          <w:lang w:val="en-AU" w:eastAsia="en-GB"/>
        </w:rPr>
        <w:t>At the time, there were no internationally accepted standards for appliance demand response capability, and this is still the case.</w:t>
      </w:r>
      <w:r w:rsidRPr="00A37634">
        <w:rPr>
          <w:rFonts w:ascii="Calibri" w:eastAsia="Calibri" w:hAnsi="Calibri" w:cs="Calibri"/>
          <w:szCs w:val="20"/>
          <w:vertAlign w:val="superscript"/>
          <w:lang w:val="en-AU" w:eastAsia="en-GB"/>
        </w:rPr>
        <w:footnoteReference w:id="51"/>
      </w:r>
      <w:r w:rsidRPr="00A37634">
        <w:rPr>
          <w:rFonts w:ascii="Calibri" w:eastAsia="Calibri" w:hAnsi="Calibri" w:cs="Calibri"/>
          <w:szCs w:val="20"/>
          <w:lang w:val="en-AU" w:eastAsia="en-GB"/>
        </w:rPr>
        <w:t xml:space="preserve"> ARENA has funded a number of trials of different DR technologies and approaches.</w:t>
      </w:r>
      <w:r w:rsidRPr="00A37634">
        <w:rPr>
          <w:rFonts w:ascii="Calibri" w:eastAsia="Calibri" w:hAnsi="Calibri" w:cs="Calibri"/>
          <w:szCs w:val="20"/>
          <w:vertAlign w:val="superscript"/>
          <w:lang w:val="en-AU" w:eastAsia="en-GB"/>
        </w:rPr>
        <w:t xml:space="preserve"> </w:t>
      </w:r>
      <w:r w:rsidRPr="00A37634">
        <w:rPr>
          <w:rFonts w:ascii="Calibri" w:eastAsia="Calibri" w:hAnsi="Calibri" w:cs="Calibri"/>
          <w:szCs w:val="20"/>
          <w:vertAlign w:val="superscript"/>
          <w:lang w:val="en-AU" w:eastAsia="en-GB"/>
        </w:rPr>
        <w:footnoteReference w:id="52"/>
      </w:r>
      <w:r w:rsidRPr="00A37634">
        <w:rPr>
          <w:rFonts w:ascii="Calibri" w:eastAsia="Calibri" w:hAnsi="Calibri" w:cs="Calibri"/>
          <w:szCs w:val="20"/>
          <w:lang w:val="en-AU" w:eastAsia="en-GB"/>
        </w:rPr>
        <w:t xml:space="preserve"> None were more successful than those using AS/NZS 4755 products.</w:t>
      </w:r>
      <w:r w:rsidRPr="00A37634">
        <w:rPr>
          <w:rFonts w:ascii="Calibri" w:eastAsia="Calibri" w:hAnsi="Calibri" w:cs="Calibri"/>
          <w:szCs w:val="20"/>
          <w:vertAlign w:val="superscript"/>
          <w:lang w:val="en-AU" w:eastAsia="en-GB"/>
        </w:rPr>
        <w:footnoteReference w:id="53"/>
      </w:r>
      <w:r w:rsidRPr="00A37634">
        <w:rPr>
          <w:rFonts w:ascii="Calibri" w:eastAsia="Calibri" w:hAnsi="Calibri" w:cs="Calibri"/>
          <w:szCs w:val="20"/>
          <w:lang w:val="en-AU" w:eastAsia="en-GB"/>
        </w:rPr>
        <w:t xml:space="preserve"> There are some open DR standards in use in Japan and the USA, but none have been adopted throughout their home countries or gained widespread international use. The nearest in scope to AS/NZS 4755 is the Japanese </w:t>
      </w:r>
      <w:proofErr w:type="spellStart"/>
      <w:r w:rsidRPr="00A37634">
        <w:rPr>
          <w:rFonts w:ascii="Calibri" w:eastAsia="Calibri" w:hAnsi="Calibri" w:cs="Calibri"/>
          <w:szCs w:val="20"/>
          <w:lang w:val="en-AU" w:eastAsia="en-GB"/>
        </w:rPr>
        <w:t>Echonet</w:t>
      </w:r>
      <w:proofErr w:type="spellEnd"/>
      <w:r w:rsidRPr="00A37634">
        <w:rPr>
          <w:rFonts w:ascii="Calibri" w:eastAsia="Calibri" w:hAnsi="Calibri" w:cs="Calibri"/>
          <w:szCs w:val="20"/>
          <w:lang w:val="en-AU" w:eastAsia="en-GB"/>
        </w:rPr>
        <w:t xml:space="preserve"> specification, which is supported by a number of Japanese appliance manufacturers.</w:t>
      </w:r>
      <w:r w:rsidRPr="00A37634">
        <w:rPr>
          <w:rFonts w:ascii="Calibri" w:eastAsia="Calibri" w:hAnsi="Calibri" w:cs="Calibri"/>
          <w:szCs w:val="20"/>
          <w:vertAlign w:val="superscript"/>
          <w:lang w:val="en-AU" w:eastAsia="en-GB"/>
        </w:rPr>
        <w:footnoteReference w:id="54"/>
      </w:r>
      <w:r w:rsidRPr="00A37634">
        <w:rPr>
          <w:rFonts w:ascii="Calibri" w:eastAsia="Calibri" w:hAnsi="Calibri" w:cs="Calibri"/>
          <w:szCs w:val="20"/>
          <w:lang w:val="en-AU" w:eastAsia="en-GB"/>
        </w:rPr>
        <w:t xml:space="preserve"> </w:t>
      </w:r>
    </w:p>
    <w:p w14:paraId="467D2429" w14:textId="77777777" w:rsidR="00A37634" w:rsidRPr="00A37634" w:rsidRDefault="00A37634" w:rsidP="00A37634">
      <w:pPr>
        <w:spacing w:before="120" w:after="120" w:line="276" w:lineRule="auto"/>
        <w:rPr>
          <w:rFonts w:ascii="Calibri" w:eastAsia="Calibri" w:hAnsi="Calibri" w:cs="Calibri"/>
          <w:szCs w:val="20"/>
          <w:lang w:val="en-AU" w:eastAsia="en-GB"/>
        </w:rPr>
      </w:pPr>
      <w:r w:rsidRPr="00A37634">
        <w:rPr>
          <w:rFonts w:ascii="Calibri" w:eastAsia="Calibri" w:hAnsi="Calibri" w:cs="Calibri"/>
          <w:szCs w:val="20"/>
          <w:lang w:val="en-AU" w:eastAsia="en-GB"/>
        </w:rPr>
        <w:t xml:space="preserve">Manufacturers have been more interested in offering consumers remote control and monitoring of their appliances through proprietary apps, some using voice-activated platforms such as Google Assistant or Amazon Alexa. However, achieving DR through these channels generally relies on consumers responding personally rather than appliances responding automatically, and so are not alternatives for an automated load control platform such as AS/NZS 4755. The most common example of </w:t>
      </w:r>
      <w:r w:rsidRPr="00A37634">
        <w:rPr>
          <w:rFonts w:ascii="Calibri" w:eastAsia="Calibri" w:hAnsi="Calibri" w:cs="Calibri"/>
          <w:i/>
          <w:iCs/>
          <w:szCs w:val="20"/>
          <w:lang w:val="en-AU" w:eastAsia="en-GB"/>
        </w:rPr>
        <w:t xml:space="preserve">automated </w:t>
      </w:r>
      <w:r w:rsidRPr="00A37634">
        <w:rPr>
          <w:rFonts w:ascii="Calibri" w:eastAsia="Calibri" w:hAnsi="Calibri" w:cs="Calibri"/>
          <w:szCs w:val="20"/>
          <w:lang w:val="en-AU" w:eastAsia="en-GB"/>
        </w:rPr>
        <w:t xml:space="preserve">response in the USA, the Programmable Communicating Thermostat (PCT), was developed for ducted ACs and is unsuitable for the split units prevalent in Australia and New Zealand (see Appendix 2). </w:t>
      </w:r>
    </w:p>
    <w:p w14:paraId="49E1210B" w14:textId="77777777" w:rsidR="00A37634" w:rsidRPr="00A37634" w:rsidRDefault="00A37634" w:rsidP="00A37634">
      <w:pPr>
        <w:spacing w:before="120" w:after="120" w:line="276" w:lineRule="auto"/>
        <w:rPr>
          <w:rFonts w:ascii="Calibri" w:eastAsia="Calibri" w:hAnsi="Calibri" w:cs="Calibri"/>
          <w:szCs w:val="20"/>
          <w:lang w:val="en-AU" w:eastAsia="en-GB"/>
        </w:rPr>
      </w:pPr>
      <w:r w:rsidRPr="00A37634">
        <w:rPr>
          <w:rFonts w:ascii="Calibri" w:eastAsia="Calibri" w:hAnsi="Calibri" w:cs="Calibri"/>
          <w:szCs w:val="20"/>
          <w:lang w:val="en-AU" w:eastAsia="en-GB"/>
        </w:rPr>
        <w:t xml:space="preserve">AS/NZS 4755 remains the most suitable DR standard for Australia and New Zealand. Several global AC manufacturers have introduced AS/NZS 4755 products into Australia; this was made easier by the fact that the capabilities (DRM 1, 2, 3 </w:t>
      </w:r>
      <w:proofErr w:type="spellStart"/>
      <w:r w:rsidRPr="00A37634">
        <w:rPr>
          <w:rFonts w:ascii="Calibri" w:eastAsia="Calibri" w:hAnsi="Calibri" w:cs="Calibri"/>
          <w:szCs w:val="20"/>
          <w:lang w:val="en-AU" w:eastAsia="en-GB"/>
        </w:rPr>
        <w:t>etc</w:t>
      </w:r>
      <w:proofErr w:type="spellEnd"/>
      <w:r w:rsidRPr="00A37634">
        <w:rPr>
          <w:rFonts w:ascii="Calibri" w:eastAsia="Calibri" w:hAnsi="Calibri" w:cs="Calibri"/>
          <w:szCs w:val="20"/>
          <w:lang w:val="en-AU" w:eastAsia="en-GB"/>
        </w:rPr>
        <w:t xml:space="preserve">) are consistent with </w:t>
      </w:r>
      <w:proofErr w:type="spellStart"/>
      <w:r w:rsidRPr="00A37634">
        <w:rPr>
          <w:rFonts w:ascii="Calibri" w:eastAsia="Calibri" w:hAnsi="Calibri" w:cs="Calibri"/>
          <w:szCs w:val="20"/>
          <w:lang w:val="en-AU" w:eastAsia="en-GB"/>
        </w:rPr>
        <w:t>Echonet</w:t>
      </w:r>
      <w:proofErr w:type="spellEnd"/>
      <w:r w:rsidRPr="00A37634">
        <w:rPr>
          <w:rFonts w:ascii="Calibri" w:eastAsia="Calibri" w:hAnsi="Calibri" w:cs="Calibri"/>
          <w:szCs w:val="20"/>
          <w:lang w:val="en-AU" w:eastAsia="en-GB"/>
        </w:rPr>
        <w:t>. A key advantage of AS/NZS 4755 is that compliance can be verified through testing products: an essential requirement for standards that are called up in legislation.</w:t>
      </w:r>
    </w:p>
    <w:p w14:paraId="5CBD8F44" w14:textId="067497A8" w:rsidR="00A37634" w:rsidRPr="00A37634" w:rsidRDefault="00A37634" w:rsidP="00A37634">
      <w:pPr>
        <w:spacing w:before="120" w:after="120" w:line="276" w:lineRule="auto"/>
        <w:rPr>
          <w:rFonts w:ascii="Calibri" w:eastAsia="Calibri" w:hAnsi="Calibri" w:cs="Calibri"/>
          <w:szCs w:val="20"/>
          <w:lang w:val="en-AU" w:eastAsia="en-GB"/>
        </w:rPr>
      </w:pPr>
      <w:r w:rsidRPr="00A37634">
        <w:rPr>
          <w:rFonts w:ascii="Calibri" w:eastAsia="Calibri" w:hAnsi="Calibri" w:cs="Calibri"/>
          <w:szCs w:val="20"/>
          <w:lang w:val="en-AU" w:eastAsia="en-GB"/>
        </w:rPr>
        <w:t>Products complying with AS/NZS 4755.3.1, 3.2 and 3.3 (collectively called ‘Part 3’) must have a physical interface designed to connect to an external Demand Response Enabling Device (DRED) (</w:t>
      </w:r>
      <w:r w:rsidRPr="00BB0627">
        <w:rPr>
          <w:rFonts w:ascii="Calibri" w:eastAsia="Calibri" w:hAnsi="Calibri" w:cs="Calibri"/>
          <w:b/>
          <w:szCs w:val="20"/>
          <w:lang w:val="en-AU" w:eastAsia="en-GB"/>
        </w:rPr>
        <w:fldChar w:fldCharType="begin"/>
      </w:r>
      <w:r w:rsidRPr="00BB0627">
        <w:rPr>
          <w:rFonts w:ascii="Calibri" w:eastAsia="Calibri" w:hAnsi="Calibri" w:cs="Calibri"/>
          <w:b/>
          <w:szCs w:val="20"/>
          <w:lang w:val="en-AU" w:eastAsia="en-GB"/>
        </w:rPr>
        <w:instrText xml:space="preserve"> REF _Ref11680106 \h  \* MERGEFORMAT </w:instrText>
      </w:r>
      <w:r w:rsidRPr="00BB0627">
        <w:rPr>
          <w:rFonts w:ascii="Calibri" w:eastAsia="Calibri" w:hAnsi="Calibri" w:cs="Calibri"/>
          <w:b/>
          <w:szCs w:val="20"/>
          <w:lang w:val="en-AU" w:eastAsia="en-GB"/>
        </w:rPr>
      </w:r>
      <w:r w:rsidRPr="00BB0627">
        <w:rPr>
          <w:rFonts w:ascii="Calibri" w:eastAsia="Calibri" w:hAnsi="Calibri" w:cs="Calibri"/>
          <w:b/>
          <w:szCs w:val="20"/>
          <w:lang w:val="en-AU" w:eastAsia="en-GB"/>
        </w:rPr>
        <w:fldChar w:fldCharType="separate"/>
      </w:r>
      <w:r w:rsidR="00181136" w:rsidRPr="00181136">
        <w:rPr>
          <w:rFonts w:ascii="Calibri" w:eastAsia="Calibri" w:hAnsi="Calibri" w:cs="Calibri"/>
          <w:b/>
          <w:szCs w:val="20"/>
          <w:lang w:val="en-AU"/>
        </w:rPr>
        <w:t xml:space="preserve">Figure </w:t>
      </w:r>
      <w:r w:rsidR="00181136" w:rsidRPr="00181136">
        <w:rPr>
          <w:rFonts w:ascii="Calibri" w:eastAsia="Calibri" w:hAnsi="Calibri" w:cs="Calibri"/>
          <w:b/>
          <w:noProof/>
          <w:szCs w:val="20"/>
          <w:lang w:val="en-AU"/>
        </w:rPr>
        <w:t>3</w:t>
      </w:r>
      <w:r w:rsidRPr="00BB0627">
        <w:rPr>
          <w:rFonts w:ascii="Calibri" w:eastAsia="Calibri" w:hAnsi="Calibri" w:cs="Calibri"/>
          <w:b/>
          <w:szCs w:val="20"/>
          <w:lang w:val="en-AU" w:eastAsia="en-GB"/>
        </w:rPr>
        <w:fldChar w:fldCharType="end"/>
      </w:r>
      <w:r w:rsidRPr="00A37634">
        <w:rPr>
          <w:rFonts w:ascii="Calibri" w:eastAsia="Calibri" w:hAnsi="Calibri" w:cs="Calibri"/>
          <w:szCs w:val="20"/>
          <w:lang w:val="en-AU" w:eastAsia="en-GB"/>
        </w:rPr>
        <w:t>). The DRED communicates with a “remote agent,” defined in the standard as a “person, organization or entity, other than the user, who is authorised to initiate demand response by transmitting operational instructions in accordance with this Standard.”</w:t>
      </w:r>
      <w:r w:rsidRPr="00A37634">
        <w:rPr>
          <w:rFonts w:ascii="Calibri" w:eastAsia="Calibri" w:hAnsi="Calibri" w:cs="Calibri"/>
          <w:szCs w:val="20"/>
          <w:vertAlign w:val="superscript"/>
          <w:lang w:val="en-AU" w:eastAsia="en-GB"/>
        </w:rPr>
        <w:footnoteReference w:id="55"/>
      </w:r>
    </w:p>
    <w:p w14:paraId="6F2E0F99" w14:textId="77777777" w:rsidR="00A37634" w:rsidRPr="00A37634" w:rsidRDefault="00A37634" w:rsidP="00A37634">
      <w:pPr>
        <w:spacing w:before="120" w:after="120" w:line="276" w:lineRule="auto"/>
        <w:rPr>
          <w:rFonts w:ascii="Calibri" w:eastAsia="Calibri" w:hAnsi="Calibri" w:cs="Calibri"/>
          <w:szCs w:val="20"/>
          <w:lang w:val="en-AU" w:eastAsia="en-GB"/>
        </w:rPr>
      </w:pPr>
      <w:r w:rsidRPr="00A37634">
        <w:rPr>
          <w:rFonts w:ascii="Calibri" w:eastAsia="Calibri" w:hAnsi="Calibri" w:cs="Calibri"/>
          <w:szCs w:val="20"/>
          <w:lang w:val="en-AU" w:eastAsia="en-GB"/>
        </w:rPr>
        <w:t xml:space="preserve">AS/NZS 4755 does not specify communications standards, or the pathways by which signals are transmitted from a remote agent to the DRED (or, in 4755.2, from the remote agent to the product). Leaving the mode of communication flexible lowers commercial risk for all stakeholders, including appliance manufacturers and DRSPs: any DRSP can connect to any appliance with the standard interface, so appliance manufacturers can realise the commercial value of compliant products irrespective of where they are sold. DRSPs would normally arrange for the supply and installation of DREDs that connect to their communications systems or platforms.  </w:t>
      </w:r>
    </w:p>
    <w:p w14:paraId="55195000" w14:textId="52F9AFA6" w:rsidR="00A37634" w:rsidRPr="00A37634" w:rsidRDefault="00A37634" w:rsidP="00A37634">
      <w:pPr>
        <w:spacing w:before="20" w:after="40" w:line="240" w:lineRule="auto"/>
        <w:jc w:val="center"/>
        <w:rPr>
          <w:rFonts w:ascii="Calibri" w:eastAsia="Cambria" w:hAnsi="Calibri" w:cs="Calibri"/>
          <w:b/>
          <w:bCs/>
          <w:sz w:val="20"/>
          <w:szCs w:val="16"/>
          <w:lang w:val="en-AU"/>
        </w:rPr>
      </w:pPr>
      <w:bookmarkStart w:id="32" w:name="_Ref11680106"/>
      <w:bookmarkStart w:id="33" w:name="_Toc16500980"/>
      <w:r w:rsidRPr="00A37634">
        <w:rPr>
          <w:rFonts w:ascii="Calibri" w:eastAsia="Cambria" w:hAnsi="Calibri" w:cs="Calibri"/>
          <w:b/>
          <w:bCs/>
          <w:sz w:val="20"/>
          <w:szCs w:val="16"/>
          <w:lang w:val="en-AU"/>
        </w:rPr>
        <w:t xml:space="preserve">Figure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Figure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3</w:t>
      </w:r>
      <w:r w:rsidRPr="00A37634">
        <w:rPr>
          <w:rFonts w:ascii="Calibri" w:eastAsia="Cambria" w:hAnsi="Calibri" w:cs="Calibri"/>
          <w:b/>
          <w:bCs/>
          <w:noProof/>
          <w:sz w:val="20"/>
          <w:szCs w:val="16"/>
          <w:lang w:val="en-AU"/>
        </w:rPr>
        <w:fldChar w:fldCharType="end"/>
      </w:r>
      <w:bookmarkEnd w:id="32"/>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Relationship of Remote Agent and DRED to Air Conditioner</w:t>
      </w:r>
      <w:bookmarkEnd w:id="33"/>
    </w:p>
    <w:p w14:paraId="471EEDBC" w14:textId="77777777" w:rsidR="00A37634" w:rsidRPr="00A37634" w:rsidRDefault="00A37634" w:rsidP="00A37634">
      <w:pPr>
        <w:spacing w:after="120" w:line="276" w:lineRule="auto"/>
        <w:jc w:val="center"/>
        <w:rPr>
          <w:rFonts w:ascii="Calibri" w:eastAsia="Calibri" w:hAnsi="Calibri" w:cs="Calibri"/>
          <w:szCs w:val="20"/>
          <w:lang w:val="en-AU"/>
        </w:rPr>
      </w:pPr>
      <w:r w:rsidRPr="00A37634">
        <w:rPr>
          <w:rFonts w:ascii="Calibri" w:eastAsia="Calibri" w:hAnsi="Calibri" w:cs="Calibri"/>
          <w:noProof/>
          <w:szCs w:val="20"/>
          <w:lang w:val="en-AU" w:eastAsia="en-AU"/>
        </w:rPr>
        <w:drawing>
          <wp:inline distT="0" distB="0" distL="0" distR="0" wp14:anchorId="7927C1C0" wp14:editId="0DE5F10F">
            <wp:extent cx="3724275" cy="1748266"/>
            <wp:effectExtent l="19050" t="19050" r="9525" b="23495"/>
            <wp:docPr id="1" name="Picture 1"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5281" cy="1762821"/>
                    </a:xfrm>
                    <a:prstGeom prst="rect">
                      <a:avLst/>
                    </a:prstGeom>
                    <a:noFill/>
                    <a:ln>
                      <a:solidFill>
                        <a:sysClr val="windowText" lastClr="000000"/>
                      </a:solidFill>
                    </a:ln>
                  </pic:spPr>
                </pic:pic>
              </a:graphicData>
            </a:graphic>
          </wp:inline>
        </w:drawing>
      </w:r>
    </w:p>
    <w:p w14:paraId="0893280E" w14:textId="77777777" w:rsidR="00A37634" w:rsidRPr="00A37634" w:rsidRDefault="00A37634" w:rsidP="00A37634">
      <w:pPr>
        <w:spacing w:after="120" w:line="276" w:lineRule="auto"/>
        <w:jc w:val="center"/>
        <w:rPr>
          <w:rFonts w:ascii="Calibri" w:eastAsia="Calibri" w:hAnsi="Calibri" w:cs="Calibri"/>
          <w:sz w:val="16"/>
          <w:szCs w:val="16"/>
          <w:lang w:val="en-AU"/>
        </w:rPr>
      </w:pPr>
      <w:r w:rsidRPr="00A37634">
        <w:rPr>
          <w:rFonts w:ascii="Calibri" w:eastAsia="Calibri" w:hAnsi="Calibri" w:cs="Calibri"/>
          <w:sz w:val="16"/>
          <w:szCs w:val="16"/>
          <w:lang w:val="en-AU"/>
        </w:rPr>
        <w:t>Source: AS/NZS 4755.3.1</w:t>
      </w:r>
    </w:p>
    <w:p w14:paraId="10746400" w14:textId="02EA737C" w:rsidR="00A37634" w:rsidRPr="00A37634" w:rsidRDefault="00A37634" w:rsidP="00A37634">
      <w:pPr>
        <w:spacing w:before="120" w:after="40" w:line="240" w:lineRule="auto"/>
        <w:jc w:val="center"/>
        <w:rPr>
          <w:rFonts w:ascii="Calibri" w:eastAsia="Cambria" w:hAnsi="Calibri" w:cs="Calibri"/>
          <w:b/>
          <w:bCs/>
          <w:sz w:val="20"/>
          <w:szCs w:val="16"/>
          <w:lang w:val="en-AU"/>
        </w:rPr>
      </w:pPr>
      <w:bookmarkStart w:id="34" w:name="_Ref11680598"/>
      <w:bookmarkStart w:id="35" w:name="_Toc16500981"/>
      <w:r w:rsidRPr="00A37634">
        <w:rPr>
          <w:rFonts w:ascii="Calibri" w:eastAsia="Cambria" w:hAnsi="Calibri" w:cs="Calibri"/>
          <w:b/>
          <w:bCs/>
          <w:sz w:val="20"/>
          <w:szCs w:val="16"/>
          <w:lang w:val="en-AU"/>
        </w:rPr>
        <w:t xml:space="preserve">Figure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Figure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4</w:t>
      </w:r>
      <w:r w:rsidRPr="00A37634">
        <w:rPr>
          <w:rFonts w:ascii="Calibri" w:eastAsia="Cambria" w:hAnsi="Calibri" w:cs="Calibri"/>
          <w:b/>
          <w:bCs/>
          <w:noProof/>
          <w:sz w:val="20"/>
          <w:szCs w:val="16"/>
          <w:lang w:val="en-AU"/>
        </w:rPr>
        <w:fldChar w:fldCharType="end"/>
      </w:r>
      <w:bookmarkEnd w:id="34"/>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New AS/NZS 4755 Framework</w:t>
      </w:r>
      <w:bookmarkEnd w:id="35"/>
    </w:p>
    <w:p w14:paraId="5C2D0F58" w14:textId="77777777" w:rsidR="00A37634" w:rsidRPr="00A37634" w:rsidRDefault="00A37634" w:rsidP="00A37634">
      <w:pPr>
        <w:spacing w:after="120" w:line="276" w:lineRule="auto"/>
        <w:rPr>
          <w:rFonts w:ascii="Calibri" w:eastAsia="Calibri" w:hAnsi="Calibri" w:cs="Calibri"/>
          <w:szCs w:val="20"/>
          <w:lang w:val="en-AU"/>
        </w:rPr>
      </w:pPr>
      <w:r w:rsidRPr="00A37634">
        <w:rPr>
          <w:rFonts w:ascii="Calibri" w:eastAsia="Calibri" w:hAnsi="Calibri" w:cs="Calibri"/>
          <w:noProof/>
          <w:szCs w:val="20"/>
          <w:lang w:val="en-AU" w:eastAsia="en-AU"/>
        </w:rPr>
        <mc:AlternateContent>
          <mc:Choice Requires="wps">
            <w:drawing>
              <wp:anchor distT="0" distB="0" distL="114300" distR="114300" simplePos="0" relativeHeight="251662336" behindDoc="0" locked="0" layoutInCell="1" allowOverlap="1" wp14:anchorId="220DE1E5" wp14:editId="028A0F62">
                <wp:simplePos x="0" y="0"/>
                <wp:positionH relativeFrom="column">
                  <wp:posOffset>3706494</wp:posOffset>
                </wp:positionH>
                <wp:positionV relativeFrom="paragraph">
                  <wp:posOffset>387350</wp:posOffset>
                </wp:positionV>
                <wp:extent cx="1438275" cy="514350"/>
                <wp:effectExtent l="38100" t="38100" r="28575" b="19050"/>
                <wp:wrapNone/>
                <wp:docPr id="15" name="Straight Arrow Connector 15" title="&quot;0&quot;"/>
                <wp:cNvGraphicFramePr/>
                <a:graphic xmlns:a="http://schemas.openxmlformats.org/drawingml/2006/main">
                  <a:graphicData uri="http://schemas.microsoft.com/office/word/2010/wordprocessingShape">
                    <wps:wsp>
                      <wps:cNvCnPr/>
                      <wps:spPr>
                        <a:xfrm flipH="1" flipV="1">
                          <a:off x="0" y="0"/>
                          <a:ext cx="1438275" cy="514350"/>
                        </a:xfrm>
                        <a:prstGeom prst="straightConnector1">
                          <a:avLst/>
                        </a:prstGeom>
                        <a:noFill/>
                        <a:ln w="1905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E31760B" id="_x0000_t32" coordsize="21600,21600" o:spt="32" o:oned="t" path="m,l21600,21600e" filled="f">
                <v:path arrowok="t" fillok="f" o:connecttype="none"/>
                <o:lock v:ext="edit" shapetype="t"/>
              </v:shapetype>
              <v:shape id="Straight Arrow Connector 15" o:spid="_x0000_s1026" type="#_x0000_t32" alt="Title: &quot;0&quot;" style="position:absolute;margin-left:291.85pt;margin-top:30.5pt;width:113.25pt;height:40.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" strokecolor="red" strokeweight="1.5pt">
                <v:stroke endarrow="block"/>
              </v:shape>
            </w:pict>
          </mc:Fallback>
        </mc:AlternateContent>
      </w:r>
      <w:r w:rsidRPr="00A37634">
        <w:rPr>
          <w:rFonts w:ascii="Calibri" w:eastAsia="Calibri" w:hAnsi="Calibri" w:cs="Calibri"/>
          <w:noProof/>
          <w:szCs w:val="20"/>
          <w:lang w:val="en-AU" w:eastAsia="en-AU"/>
        </w:rPr>
        <mc:AlternateContent>
          <mc:Choice Requires="wps">
            <w:drawing>
              <wp:anchor distT="0" distB="0" distL="114300" distR="114300" simplePos="0" relativeHeight="251663360" behindDoc="0" locked="0" layoutInCell="1" allowOverlap="1" wp14:anchorId="52AFD974" wp14:editId="7F52DAA2">
                <wp:simplePos x="0" y="0"/>
                <wp:positionH relativeFrom="column">
                  <wp:posOffset>3801745</wp:posOffset>
                </wp:positionH>
                <wp:positionV relativeFrom="paragraph">
                  <wp:posOffset>1406525</wp:posOffset>
                </wp:positionV>
                <wp:extent cx="1314450" cy="581025"/>
                <wp:effectExtent l="38100" t="0" r="19050" b="66675"/>
                <wp:wrapNone/>
                <wp:docPr id="16" name="Straight Arrow Connector 16" title="&quot;0&quot;"/>
                <wp:cNvGraphicFramePr/>
                <a:graphic xmlns:a="http://schemas.openxmlformats.org/drawingml/2006/main">
                  <a:graphicData uri="http://schemas.microsoft.com/office/word/2010/wordprocessingShape">
                    <wps:wsp>
                      <wps:cNvCnPr/>
                      <wps:spPr>
                        <a:xfrm flipH="1">
                          <a:off x="0" y="0"/>
                          <a:ext cx="1314450" cy="581025"/>
                        </a:xfrm>
                        <a:prstGeom prst="straightConnector1">
                          <a:avLst/>
                        </a:prstGeom>
                        <a:noFill/>
                        <a:ln w="1905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CF987A" id="Straight Arrow Connector 16" o:spid="_x0000_s1026" type="#_x0000_t32" alt="Title: &quot;0&quot;" style="position:absolute;margin-left:299.35pt;margin-top:110.75pt;width:103.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" strokecolor="red" strokeweight="1.5pt">
                <v:stroke endarrow="block"/>
              </v:shape>
            </w:pict>
          </mc:Fallback>
        </mc:AlternateContent>
      </w:r>
      <w:r w:rsidRPr="00A37634">
        <w:rPr>
          <w:rFonts w:ascii="Calibri" w:eastAsia="Calibri" w:hAnsi="Calibri" w:cs="Calibri"/>
          <w:noProof/>
          <w:szCs w:val="20"/>
          <w:lang w:val="en-AU" w:eastAsia="en-AU"/>
        </w:rPr>
        <mc:AlternateContent>
          <mc:Choice Requires="wps">
            <w:drawing>
              <wp:anchor distT="0" distB="0" distL="114300" distR="114300" simplePos="0" relativeHeight="251661312" behindDoc="0" locked="0" layoutInCell="1" allowOverlap="1" wp14:anchorId="19BA4D66" wp14:editId="1B380831">
                <wp:simplePos x="0" y="0"/>
                <wp:positionH relativeFrom="margin">
                  <wp:posOffset>4667250</wp:posOffset>
                </wp:positionH>
                <wp:positionV relativeFrom="paragraph">
                  <wp:posOffset>897890</wp:posOffset>
                </wp:positionV>
                <wp:extent cx="871268" cy="491705"/>
                <wp:effectExtent l="0" t="0" r="24130" b="22860"/>
                <wp:wrapNone/>
                <wp:docPr id="14" name="Text Box 14"/>
                <wp:cNvGraphicFramePr/>
                <a:graphic xmlns:a="http://schemas.openxmlformats.org/drawingml/2006/main">
                  <a:graphicData uri="http://schemas.microsoft.com/office/word/2010/wordprocessingShape">
                    <wps:wsp>
                      <wps:cNvSpPr txBox="1"/>
                      <wps:spPr>
                        <a:xfrm>
                          <a:off x="0" y="0"/>
                          <a:ext cx="871268" cy="491705"/>
                        </a:xfrm>
                        <a:prstGeom prst="rect">
                          <a:avLst/>
                        </a:prstGeom>
                        <a:solidFill>
                          <a:sysClr val="window" lastClr="FFFFFF"/>
                        </a:solidFill>
                        <a:ln w="6350">
                          <a:solidFill>
                            <a:prstClr val="black"/>
                          </a:solidFill>
                        </a:ln>
                      </wps:spPr>
                      <wps:txbx>
                        <w:txbxContent>
                          <w:p w14:paraId="264C0D93" w14:textId="77777777" w:rsidR="007C7289" w:rsidRPr="00E21942" w:rsidRDefault="007C7289" w:rsidP="00A37634">
                            <w:pPr>
                              <w:jc w:val="center"/>
                              <w:rPr>
                                <w:b/>
                                <w:bCs/>
                                <w:color w:val="FF0000"/>
                              </w:rPr>
                            </w:pPr>
                            <w:r w:rsidRPr="00E21942">
                              <w:rPr>
                                <w:b/>
                                <w:bCs/>
                                <w:color w:val="FF0000"/>
                              </w:rPr>
                              <w:t xml:space="preserve">Compliance </w:t>
                            </w:r>
                            <w:r w:rsidRPr="00E21942">
                              <w:rPr>
                                <w:b/>
                                <w:bCs/>
                                <w:color w:val="FF0000"/>
                              </w:rPr>
                              <w:br/>
                              <w:t>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BA4D66" id="_x0000_t202" coordsize="21600,21600" o:spt="202" path="m,l,21600r21600,l21600,xe">
                <v:stroke joinstyle="miter"/>
                <v:path gradientshapeok="t" o:connecttype="rect"/>
              </v:shapetype>
              <v:shape id="Text Box 14" o:spid="_x0000_s1026" type="#_x0000_t202" style="position:absolute;margin-left:367.5pt;margin-top:70.7pt;width:68.6pt;height:3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" fillcolor="window" strokeweight=".5pt">
                <v:textbox>
                  <w:txbxContent>
                    <w:p w14:paraId="264C0D93" w14:textId="77777777" w:rsidR="007C7289" w:rsidRPr="00E21942" w:rsidRDefault="007C7289" w:rsidP="00A37634">
                      <w:pPr>
                        <w:jc w:val="center"/>
                        <w:rPr>
                          <w:b/>
                          <w:bCs/>
                          <w:color w:val="FF0000"/>
                        </w:rPr>
                      </w:pPr>
                      <w:r w:rsidRPr="00E21942">
                        <w:rPr>
                          <w:b/>
                          <w:bCs/>
                          <w:color w:val="FF0000"/>
                        </w:rPr>
                        <w:t xml:space="preserve">Compliance </w:t>
                      </w:r>
                      <w:r w:rsidRPr="00E21942">
                        <w:rPr>
                          <w:b/>
                          <w:bCs/>
                          <w:color w:val="FF0000"/>
                        </w:rPr>
                        <w:br/>
                        <w:t>options</w:t>
                      </w:r>
                    </w:p>
                  </w:txbxContent>
                </v:textbox>
                <w10:wrap anchorx="margin"/>
              </v:shape>
            </w:pict>
          </mc:Fallback>
        </mc:AlternateContent>
      </w:r>
      <w:r w:rsidRPr="00A37634">
        <w:rPr>
          <w:rFonts w:ascii="Calibri" w:eastAsia="Calibri" w:hAnsi="Calibri" w:cs="Calibri"/>
          <w:noProof/>
          <w:szCs w:val="20"/>
          <w:lang w:val="en-AU" w:eastAsia="en-AU"/>
        </w:rPr>
        <mc:AlternateContent>
          <mc:Choice Requires="wps">
            <w:drawing>
              <wp:anchor distT="0" distB="0" distL="114300" distR="114300" simplePos="0" relativeHeight="251659264" behindDoc="0" locked="0" layoutInCell="1" allowOverlap="1" wp14:anchorId="4F9EF3E0" wp14:editId="289A7A97">
                <wp:simplePos x="0" y="0"/>
                <wp:positionH relativeFrom="column">
                  <wp:posOffset>1896745</wp:posOffset>
                </wp:positionH>
                <wp:positionV relativeFrom="paragraph">
                  <wp:posOffset>92076</wp:posOffset>
                </wp:positionV>
                <wp:extent cx="1790700" cy="628650"/>
                <wp:effectExtent l="19050" t="19050" r="19050" b="19050"/>
                <wp:wrapNone/>
                <wp:docPr id="2" name="Rectangle: Rounded Corners 2" title="&quot;0&quot;"/>
                <wp:cNvGraphicFramePr/>
                <a:graphic xmlns:a="http://schemas.openxmlformats.org/drawingml/2006/main">
                  <a:graphicData uri="http://schemas.microsoft.com/office/word/2010/wordprocessingShape">
                    <wps:wsp>
                      <wps:cNvSpPr/>
                      <wps:spPr>
                        <a:xfrm>
                          <a:off x="0" y="0"/>
                          <a:ext cx="1790700" cy="628650"/>
                        </a:xfrm>
                        <a:prstGeom prst="roundRect">
                          <a:avLst/>
                        </a:prstGeom>
                        <a:noFill/>
                        <a:ln w="3810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E4310" id="Rectangle: Rounded Corners 2" o:spid="_x0000_s1026" alt="Title: &quot;0&quot;" style="position:absolute;margin-left:149.35pt;margin-top:7.25pt;width:141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" filled="f" strokecolor="red" strokeweight="3pt">
                <v:stroke dashstyle="dash"/>
              </v:roundrect>
            </w:pict>
          </mc:Fallback>
        </mc:AlternateContent>
      </w:r>
      <w:r w:rsidRPr="00A37634">
        <w:rPr>
          <w:rFonts w:ascii="Calibri" w:eastAsia="Calibri" w:hAnsi="Calibri" w:cs="Calibri"/>
          <w:noProof/>
          <w:szCs w:val="20"/>
          <w:lang w:val="en-AU" w:eastAsia="en-AU"/>
        </w:rPr>
        <mc:AlternateContent>
          <mc:Choice Requires="wps">
            <w:drawing>
              <wp:anchor distT="0" distB="0" distL="114300" distR="114300" simplePos="0" relativeHeight="251660288" behindDoc="0" locked="0" layoutInCell="1" allowOverlap="1" wp14:anchorId="0A6949C0" wp14:editId="495DCD25">
                <wp:simplePos x="0" y="0"/>
                <wp:positionH relativeFrom="column">
                  <wp:posOffset>868046</wp:posOffset>
                </wp:positionH>
                <wp:positionV relativeFrom="paragraph">
                  <wp:posOffset>1625600</wp:posOffset>
                </wp:positionV>
                <wp:extent cx="2914650" cy="638175"/>
                <wp:effectExtent l="19050" t="19050" r="19050" b="28575"/>
                <wp:wrapNone/>
                <wp:docPr id="3" name="Rectangle: Rounded Corners 3" title="&quot;0&quot;"/>
                <wp:cNvGraphicFramePr/>
                <a:graphic xmlns:a="http://schemas.openxmlformats.org/drawingml/2006/main">
                  <a:graphicData uri="http://schemas.microsoft.com/office/word/2010/wordprocessingShape">
                    <wps:wsp>
                      <wps:cNvSpPr/>
                      <wps:spPr>
                        <a:xfrm>
                          <a:off x="0" y="0"/>
                          <a:ext cx="2914650" cy="638175"/>
                        </a:xfrm>
                        <a:prstGeom prst="roundRect">
                          <a:avLst/>
                        </a:prstGeom>
                        <a:noFill/>
                        <a:ln w="38100"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AA693" id="Rectangle: Rounded Corners 3" o:spid="_x0000_s1026" alt="Title: &quot;0&quot;" style="position:absolute;margin-left:68.35pt;margin-top:128pt;width:229.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" filled="f" strokecolor="red" strokeweight="3pt">
                <v:stroke dashstyle="dash"/>
              </v:roundrect>
            </w:pict>
          </mc:Fallback>
        </mc:AlternateContent>
      </w:r>
      <w:r w:rsidRPr="00A37634">
        <w:rPr>
          <w:rFonts w:ascii="Calibri" w:eastAsia="Calibri" w:hAnsi="Calibri" w:cs="Calibri"/>
          <w:noProof/>
          <w:szCs w:val="20"/>
          <w:lang w:val="en-AU" w:eastAsia="en-AU"/>
        </w:rPr>
        <w:drawing>
          <wp:inline distT="0" distB="0" distL="0" distR="0" wp14:anchorId="7E61379C" wp14:editId="2E93D990">
            <wp:extent cx="4105275" cy="2711983"/>
            <wp:effectExtent l="0" t="0" r="0" b="0"/>
            <wp:docPr id="5" name="Picture 5"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8209" cy="2766770"/>
                    </a:xfrm>
                    <a:prstGeom prst="rect">
                      <a:avLst/>
                    </a:prstGeom>
                    <a:noFill/>
                  </pic:spPr>
                </pic:pic>
              </a:graphicData>
            </a:graphic>
          </wp:inline>
        </w:drawing>
      </w:r>
    </w:p>
    <w:p w14:paraId="47B2776A" w14:textId="77777777" w:rsidR="00A37634" w:rsidRPr="00A37634" w:rsidRDefault="00A37634" w:rsidP="00A37634">
      <w:pPr>
        <w:spacing w:after="120" w:line="276" w:lineRule="auto"/>
        <w:jc w:val="center"/>
        <w:rPr>
          <w:rFonts w:ascii="Calibri" w:eastAsia="Calibri" w:hAnsi="Calibri" w:cs="Calibri"/>
          <w:sz w:val="16"/>
          <w:szCs w:val="16"/>
          <w:lang w:val="en-AU"/>
        </w:rPr>
      </w:pPr>
      <w:r w:rsidRPr="00A37634">
        <w:rPr>
          <w:rFonts w:ascii="Calibri" w:eastAsia="Calibri" w:hAnsi="Calibri" w:cs="Calibri"/>
          <w:sz w:val="16"/>
          <w:szCs w:val="16"/>
          <w:lang w:val="en-AU"/>
        </w:rPr>
        <w:t>Source: (DR) AS 4755.2</w:t>
      </w:r>
    </w:p>
    <w:p w14:paraId="249BEC2F" w14:textId="399B2F48"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eastAsia="en-GB"/>
        </w:rPr>
        <w:t xml:space="preserve">Several parts of AS/NZS 4755 have since been updated, and new parts published (see Appendix 2). </w:t>
      </w:r>
      <w:r w:rsidRPr="00A37634">
        <w:rPr>
          <w:rFonts w:ascii="Calibri" w:eastAsia="Calibri" w:hAnsi="Calibri" w:cs="Calibri"/>
          <w:szCs w:val="20"/>
          <w:lang w:val="en-AU"/>
        </w:rPr>
        <w:t xml:space="preserve">The Joint Standards Australia/Standards New Zealand Committee EL-054, </w:t>
      </w:r>
      <w:r w:rsidRPr="00A37634">
        <w:rPr>
          <w:rFonts w:ascii="Calibri" w:eastAsia="Calibri" w:hAnsi="Calibri" w:cs="Calibri"/>
          <w:i/>
          <w:iCs/>
          <w:szCs w:val="20"/>
          <w:lang w:val="en-AU"/>
        </w:rPr>
        <w:t>Remote Demand Management of Electrical</w:t>
      </w:r>
      <w:r w:rsidRPr="00A37634">
        <w:rPr>
          <w:rFonts w:ascii="Calibri" w:eastAsia="Calibri" w:hAnsi="Calibri" w:cs="Calibri"/>
          <w:szCs w:val="20"/>
          <w:lang w:val="en-AU"/>
        </w:rPr>
        <w:t xml:space="preserve"> has recently drafted a new part (DR) AS 4755.2 </w:t>
      </w:r>
      <w:r w:rsidRPr="00A37634">
        <w:rPr>
          <w:rFonts w:ascii="Calibri" w:eastAsia="Calibri" w:hAnsi="Calibri" w:cs="Calibri"/>
          <w:i/>
          <w:iCs/>
          <w:szCs w:val="20"/>
          <w:lang w:val="en-AU"/>
        </w:rPr>
        <w:t>Demand response framework and requirements for Communications between Remote Agents and Electrical Products</w:t>
      </w:r>
      <w:r w:rsidRPr="00A37634">
        <w:rPr>
          <w:rFonts w:ascii="Calibri" w:eastAsia="Calibri" w:hAnsi="Calibri" w:cs="Calibri"/>
          <w:szCs w:val="20"/>
          <w:lang w:val="en-AU"/>
        </w:rPr>
        <w:t>.</w:t>
      </w:r>
      <w:r w:rsidRPr="00A37634">
        <w:rPr>
          <w:rFonts w:ascii="Calibri" w:eastAsia="Calibri" w:hAnsi="Calibri" w:cs="Calibri"/>
          <w:szCs w:val="20"/>
          <w:vertAlign w:val="superscript"/>
          <w:lang w:val="en-AU"/>
        </w:rPr>
        <w:footnoteReference w:id="56"/>
      </w:r>
      <w:r w:rsidRPr="00A37634">
        <w:rPr>
          <w:rFonts w:ascii="Calibri" w:eastAsia="Calibri" w:hAnsi="Calibri" w:cs="Calibri"/>
          <w:szCs w:val="20"/>
          <w:lang w:val="en-AU"/>
        </w:rPr>
        <w:t xml:space="preserve"> AS 4755.2 electrical products would be able to interact with a remote agent without the presence of a DRED or a physical interface, as is required for products conforming to Part 3. Once (DR) AS 4755.2 is published, there will be two classes of electrical products within the AS/NZS 4755 framework — those conforming to AS/NZS 4755.3 and those conforming to AS 4755.2 (</w:t>
      </w:r>
      <w:r w:rsidRPr="000516A3">
        <w:rPr>
          <w:rFonts w:ascii="Calibri" w:eastAsia="Calibri" w:hAnsi="Calibri" w:cs="Calibri"/>
          <w:b/>
          <w:szCs w:val="20"/>
          <w:lang w:val="en-AU"/>
        </w:rPr>
        <w:fldChar w:fldCharType="begin"/>
      </w:r>
      <w:r w:rsidRPr="000516A3">
        <w:rPr>
          <w:rFonts w:ascii="Calibri" w:eastAsia="Calibri" w:hAnsi="Calibri" w:cs="Calibri"/>
          <w:b/>
          <w:szCs w:val="20"/>
          <w:lang w:val="en-AU"/>
        </w:rPr>
        <w:instrText xml:space="preserve"> REF _Ref11680598 \h  \* MERGEFORMAT </w:instrText>
      </w:r>
      <w:r w:rsidRPr="000516A3">
        <w:rPr>
          <w:rFonts w:ascii="Calibri" w:eastAsia="Calibri" w:hAnsi="Calibri" w:cs="Calibri"/>
          <w:b/>
          <w:szCs w:val="20"/>
          <w:lang w:val="en-AU"/>
        </w:rPr>
      </w:r>
      <w:r w:rsidRPr="000516A3">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Figure </w:t>
      </w:r>
      <w:r w:rsidR="00181136" w:rsidRPr="00181136">
        <w:rPr>
          <w:rFonts w:ascii="Calibri" w:eastAsia="Calibri" w:hAnsi="Calibri" w:cs="Calibri"/>
          <w:b/>
          <w:noProof/>
          <w:szCs w:val="20"/>
          <w:lang w:val="en-AU"/>
        </w:rPr>
        <w:t>4</w:t>
      </w:r>
      <w:r w:rsidRPr="000516A3">
        <w:rPr>
          <w:rFonts w:ascii="Calibri" w:eastAsia="Calibri" w:hAnsi="Calibri" w:cs="Calibri"/>
          <w:b/>
          <w:szCs w:val="20"/>
          <w:lang w:val="en-AU"/>
        </w:rPr>
        <w:fldChar w:fldCharType="end"/>
      </w:r>
      <w:r w:rsidRPr="00A37634">
        <w:rPr>
          <w:rFonts w:ascii="Calibri" w:eastAsia="Calibri" w:hAnsi="Calibri" w:cs="Calibri"/>
          <w:szCs w:val="20"/>
          <w:lang w:val="en-AU"/>
        </w:rPr>
        <w:t xml:space="preserve"> – the 4755.1 framework corresponds to </w:t>
      </w:r>
      <w:r w:rsidRPr="000516A3">
        <w:rPr>
          <w:rFonts w:ascii="Calibri" w:eastAsia="Calibri" w:hAnsi="Calibri" w:cs="Calibri"/>
          <w:b/>
          <w:szCs w:val="20"/>
          <w:lang w:val="en-AU"/>
        </w:rPr>
        <w:fldChar w:fldCharType="begin"/>
      </w:r>
      <w:r w:rsidRPr="000516A3">
        <w:rPr>
          <w:rFonts w:ascii="Calibri" w:eastAsia="Calibri" w:hAnsi="Calibri" w:cs="Calibri"/>
          <w:b/>
          <w:szCs w:val="20"/>
          <w:lang w:val="en-AU"/>
        </w:rPr>
        <w:instrText xml:space="preserve"> REF _Ref11680106 \h  \* MERGEFORMAT </w:instrText>
      </w:r>
      <w:r w:rsidRPr="000516A3">
        <w:rPr>
          <w:rFonts w:ascii="Calibri" w:eastAsia="Calibri" w:hAnsi="Calibri" w:cs="Calibri"/>
          <w:b/>
          <w:szCs w:val="20"/>
          <w:lang w:val="en-AU"/>
        </w:rPr>
      </w:r>
      <w:r w:rsidRPr="000516A3">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Figure </w:t>
      </w:r>
      <w:r w:rsidR="00181136" w:rsidRPr="00181136">
        <w:rPr>
          <w:rFonts w:ascii="Calibri" w:eastAsia="Calibri" w:hAnsi="Calibri" w:cs="Calibri"/>
          <w:b/>
          <w:noProof/>
          <w:szCs w:val="20"/>
          <w:lang w:val="en-AU"/>
        </w:rPr>
        <w:t>3</w:t>
      </w:r>
      <w:r w:rsidRPr="000516A3">
        <w:rPr>
          <w:rFonts w:ascii="Calibri" w:eastAsia="Calibri" w:hAnsi="Calibri" w:cs="Calibri"/>
          <w:b/>
          <w:szCs w:val="20"/>
          <w:lang w:val="en-AU"/>
        </w:rPr>
        <w:fldChar w:fldCharType="end"/>
      </w:r>
      <w:r w:rsidRPr="00A37634">
        <w:rPr>
          <w:rFonts w:ascii="Calibri" w:eastAsia="Calibri" w:hAnsi="Calibri" w:cs="Calibri"/>
          <w:szCs w:val="20"/>
          <w:lang w:val="en-AU"/>
        </w:rPr>
        <w:t>). An electrical product could also comply with both, provided it is capable of managing potential conflicts.</w:t>
      </w:r>
    </w:p>
    <w:p w14:paraId="0CC09647"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It is proposed that the mandatory requirement for DR capabilities could be met either by compliance with AS/NZS 4755.3 or with AS 4755.2. The current draft of AS 4755.2 provides only for communications over HTTP (PULL Server or PUSH Server). However, it is intended to add other options in future, so providing a path to integration with any emerging international standards (See Appendix 2).</w:t>
      </w:r>
    </w:p>
    <w:p w14:paraId="5351D50B"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szCs w:val="28"/>
          <w:lang w:val="en-AU"/>
        </w:rPr>
      </w:pPr>
      <w:r w:rsidRPr="00A37634">
        <w:rPr>
          <w:rFonts w:ascii="Calibri" w:eastAsia="Times New Roman" w:hAnsi="Calibri" w:cs="Calibri"/>
          <w:b/>
          <w:color w:val="FF0000"/>
          <w:sz w:val="28"/>
          <w:szCs w:val="28"/>
          <w:lang w:val="en-AU"/>
        </w:rPr>
        <w:t>Demand Response Modes</w:t>
      </w:r>
    </w:p>
    <w:p w14:paraId="0566EA21"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minimum capability required to comply with AS/NZS 4755 is DRM 1, which is to turn the appliance off or to change it to minimum load settings on receipt of a load control signal. For example, a compliant AC must cease compressor operation during a DRM 1 event. </w:t>
      </w:r>
    </w:p>
    <w:p w14:paraId="5830B360" w14:textId="62DDC981"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present proposals are broader than those in the 2013 Consultation RIS in that they would require compliance with the full range of DRMs covered in AS/NZS 4755 (see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_Ref317353103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2</w:t>
      </w:r>
      <w:r w:rsidRPr="00BB0627">
        <w:rPr>
          <w:rFonts w:ascii="Calibri" w:eastAsia="Calibri" w:hAnsi="Calibri" w:cs="Calibri"/>
          <w:b/>
          <w:szCs w:val="20"/>
          <w:lang w:val="en-AU"/>
        </w:rPr>
        <w:fldChar w:fldCharType="end"/>
      </w:r>
      <w:r w:rsidRPr="00A37634">
        <w:rPr>
          <w:rFonts w:ascii="Calibri" w:eastAsia="Calibri" w:hAnsi="Calibri" w:cs="Calibri"/>
          <w:szCs w:val="20"/>
          <w:lang w:val="en-AU"/>
        </w:rPr>
        <w:t xml:space="preserve">). The potential to limit power to 50% (DRM 2) or to 75% (DRM 3) makes participation in DR more acceptable to consumers, since they can be assured of some cooling or heating during DR events. The Energex and Ergon </w:t>
      </w:r>
      <w:proofErr w:type="spellStart"/>
      <w:r w:rsidRPr="00A37634">
        <w:rPr>
          <w:rFonts w:ascii="Calibri" w:eastAsia="Calibri" w:hAnsi="Calibri" w:cs="Calibri"/>
          <w:szCs w:val="20"/>
          <w:lang w:val="en-AU"/>
        </w:rPr>
        <w:t>PeakSmart</w:t>
      </w:r>
      <w:proofErr w:type="spellEnd"/>
      <w:r w:rsidRPr="00A37634">
        <w:rPr>
          <w:rFonts w:ascii="Calibri" w:eastAsia="Calibri" w:hAnsi="Calibri" w:cs="Calibri"/>
          <w:szCs w:val="20"/>
          <w:lang w:val="en-AU"/>
        </w:rPr>
        <w:t xml:space="preserve"> program, for example, only incentivises models with all three DRMs.      </w:t>
      </w:r>
    </w:p>
    <w:p w14:paraId="5F5E5D57" w14:textId="15A8BC83"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36" w:name="_Ref317353103"/>
      <w:bookmarkStart w:id="37" w:name="_Toc333183006"/>
      <w:bookmarkStart w:id="38" w:name="_Toc369633217"/>
      <w:bookmarkStart w:id="39" w:name="_Toc11360591"/>
      <w:bookmarkStart w:id="40" w:name="_Toc16500993"/>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2</w:t>
      </w:r>
      <w:r w:rsidRPr="00A37634">
        <w:rPr>
          <w:rFonts w:ascii="Calibri" w:eastAsia="Cambria" w:hAnsi="Calibri" w:cs="Calibri"/>
          <w:b/>
          <w:bCs/>
          <w:noProof/>
          <w:sz w:val="20"/>
          <w:szCs w:val="16"/>
          <w:lang w:val="en-AU"/>
        </w:rPr>
        <w:fldChar w:fldCharType="end"/>
      </w:r>
      <w:bookmarkEnd w:id="36"/>
      <w:r w:rsidRPr="00A37634">
        <w:rPr>
          <w:rFonts w:ascii="Calibri" w:eastAsia="Cambria" w:hAnsi="Calibri" w:cs="Calibri"/>
          <w:b/>
          <w:bCs/>
          <w:sz w:val="20"/>
          <w:szCs w:val="16"/>
          <w:lang w:val="en-AU"/>
        </w:rPr>
        <w:t>. Proposed mandatory Demand Response Modes in AS/NZS 4755</w:t>
      </w:r>
      <w:bookmarkEnd w:id="37"/>
      <w:bookmarkEnd w:id="38"/>
      <w:bookmarkEnd w:id="39"/>
      <w:bookmarkEnd w:id="40"/>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5"/>
        <w:gridCol w:w="993"/>
        <w:gridCol w:w="949"/>
        <w:gridCol w:w="1072"/>
        <w:gridCol w:w="1073"/>
        <w:gridCol w:w="1072"/>
        <w:gridCol w:w="1073"/>
      </w:tblGrid>
      <w:tr w:rsidR="00A37634" w:rsidRPr="00A37634" w14:paraId="23B3AB86" w14:textId="77777777" w:rsidTr="007C7289">
        <w:trPr>
          <w:cantSplit/>
          <w:tblHeader/>
          <w:jc w:val="center"/>
        </w:trPr>
        <w:tc>
          <w:tcPr>
            <w:tcW w:w="2122" w:type="dxa"/>
            <w:vMerge w:val="restart"/>
          </w:tcPr>
          <w:p w14:paraId="422FA8EC" w14:textId="77777777" w:rsidR="00A37634" w:rsidRPr="00A37634" w:rsidRDefault="00A37634" w:rsidP="00A37634">
            <w:pPr>
              <w:spacing w:before="60" w:after="60" w:line="240" w:lineRule="auto"/>
              <w:rPr>
                <w:rFonts w:ascii="Calibri" w:eastAsia="Times New Roman" w:hAnsi="Calibri" w:cs="Calibri"/>
                <w:b/>
                <w:sz w:val="18"/>
                <w:szCs w:val="18"/>
                <w:lang w:val="en-AU"/>
              </w:rPr>
            </w:pPr>
            <w:r w:rsidRPr="00A37634">
              <w:rPr>
                <w:rFonts w:ascii="Calibri" w:eastAsia="Times New Roman" w:hAnsi="Calibri" w:cs="Calibri"/>
                <w:b/>
                <w:sz w:val="18"/>
                <w:szCs w:val="18"/>
                <w:lang w:val="en-AU"/>
              </w:rPr>
              <w:t>Product</w:t>
            </w:r>
          </w:p>
        </w:tc>
        <w:tc>
          <w:tcPr>
            <w:tcW w:w="7507" w:type="dxa"/>
            <w:gridSpan w:val="7"/>
          </w:tcPr>
          <w:p w14:paraId="3970492A"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Demand Response Modes (DRMs)</w:t>
            </w:r>
          </w:p>
        </w:tc>
      </w:tr>
      <w:tr w:rsidR="00A37634" w:rsidRPr="00A37634" w14:paraId="5A7E962A" w14:textId="77777777" w:rsidTr="007C7289">
        <w:trPr>
          <w:cantSplit/>
          <w:jc w:val="center"/>
        </w:trPr>
        <w:tc>
          <w:tcPr>
            <w:tcW w:w="2122" w:type="dxa"/>
            <w:vMerge/>
          </w:tcPr>
          <w:p w14:paraId="3EC7F04C" w14:textId="77777777" w:rsidR="00A37634" w:rsidRPr="00A37634" w:rsidRDefault="00A37634" w:rsidP="00A37634">
            <w:pPr>
              <w:spacing w:before="60" w:after="60" w:line="240" w:lineRule="auto"/>
              <w:rPr>
                <w:rFonts w:ascii="Calibri" w:eastAsia="Times New Roman" w:hAnsi="Calibri" w:cs="Calibri"/>
                <w:b/>
                <w:sz w:val="18"/>
                <w:szCs w:val="18"/>
                <w:lang w:val="en-AU"/>
              </w:rPr>
            </w:pPr>
          </w:p>
        </w:tc>
        <w:tc>
          <w:tcPr>
            <w:tcW w:w="1275" w:type="dxa"/>
          </w:tcPr>
          <w:p w14:paraId="175A6B6E"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AS/NZS</w:t>
            </w:r>
            <w:r w:rsidRPr="00A37634">
              <w:rPr>
                <w:rFonts w:ascii="Calibri" w:eastAsia="Times New Roman" w:hAnsi="Calibri" w:cs="Calibri"/>
                <w:b/>
                <w:sz w:val="18"/>
                <w:szCs w:val="18"/>
                <w:lang w:val="en-AU"/>
              </w:rPr>
              <w:br/>
              <w:t>4755 part</w:t>
            </w:r>
            <w:r w:rsidRPr="00A37634">
              <w:rPr>
                <w:rFonts w:ascii="Calibri" w:eastAsia="Times New Roman" w:hAnsi="Calibri" w:cs="Calibri"/>
                <w:b/>
                <w:sz w:val="18"/>
                <w:szCs w:val="18"/>
                <w:lang w:val="en-AU"/>
              </w:rPr>
              <w:br/>
              <w:t>(alternatives)</w:t>
            </w:r>
          </w:p>
        </w:tc>
        <w:tc>
          <w:tcPr>
            <w:tcW w:w="993" w:type="dxa"/>
          </w:tcPr>
          <w:p w14:paraId="02D809F2"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 xml:space="preserve">Safety </w:t>
            </w:r>
            <w:r w:rsidRPr="00A37634">
              <w:rPr>
                <w:rFonts w:ascii="Calibri" w:eastAsia="Times New Roman" w:hAnsi="Calibri" w:cs="Calibri"/>
                <w:b/>
                <w:sz w:val="18"/>
                <w:szCs w:val="18"/>
                <w:lang w:val="en-AU"/>
              </w:rPr>
              <w:br/>
              <w:t>Disc-connect</w:t>
            </w:r>
          </w:p>
        </w:tc>
        <w:tc>
          <w:tcPr>
            <w:tcW w:w="949" w:type="dxa"/>
          </w:tcPr>
          <w:p w14:paraId="3502381F"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Minimum load/off</w:t>
            </w:r>
          </w:p>
        </w:tc>
        <w:tc>
          <w:tcPr>
            <w:tcW w:w="1072" w:type="dxa"/>
          </w:tcPr>
          <w:p w14:paraId="312FC160"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Reduce load</w:t>
            </w:r>
          </w:p>
        </w:tc>
        <w:tc>
          <w:tcPr>
            <w:tcW w:w="1073" w:type="dxa"/>
          </w:tcPr>
          <w:p w14:paraId="101A4EA1"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Switch on</w:t>
            </w:r>
            <w:r w:rsidRPr="00A37634" w:rsidDel="004D390F">
              <w:rPr>
                <w:rFonts w:ascii="Calibri" w:eastAsia="Times New Roman" w:hAnsi="Calibri" w:cs="Calibri"/>
                <w:b/>
                <w:sz w:val="18"/>
                <w:szCs w:val="18"/>
                <w:lang w:val="en-AU"/>
              </w:rPr>
              <w:t xml:space="preserve"> </w:t>
            </w:r>
            <w:r w:rsidRPr="00A37634">
              <w:rPr>
                <w:rFonts w:ascii="Calibri" w:eastAsia="Times New Roman" w:hAnsi="Calibri" w:cs="Calibri"/>
                <w:b/>
                <w:sz w:val="18"/>
                <w:szCs w:val="18"/>
                <w:lang w:val="en-AU"/>
              </w:rPr>
              <w:t>/</w:t>
            </w:r>
            <w:r w:rsidRPr="00A37634">
              <w:rPr>
                <w:rFonts w:ascii="Calibri" w:eastAsia="Times New Roman" w:hAnsi="Calibri" w:cs="Calibri"/>
                <w:b/>
                <w:sz w:val="18"/>
                <w:szCs w:val="18"/>
                <w:lang w:val="en-AU"/>
              </w:rPr>
              <w:br/>
              <w:t>store energy</w:t>
            </w:r>
          </w:p>
        </w:tc>
        <w:tc>
          <w:tcPr>
            <w:tcW w:w="1072" w:type="dxa"/>
          </w:tcPr>
          <w:p w14:paraId="5C47264B"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Discharge energy if capable</w:t>
            </w:r>
          </w:p>
        </w:tc>
        <w:tc>
          <w:tcPr>
            <w:tcW w:w="1073" w:type="dxa"/>
          </w:tcPr>
          <w:p w14:paraId="3094E0BE"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Do not discharge energy</w:t>
            </w:r>
          </w:p>
        </w:tc>
      </w:tr>
      <w:tr w:rsidR="00A37634" w:rsidRPr="00A37634" w14:paraId="7C96F880" w14:textId="77777777" w:rsidTr="007C7289">
        <w:trPr>
          <w:jc w:val="center"/>
        </w:trPr>
        <w:tc>
          <w:tcPr>
            <w:tcW w:w="2122" w:type="dxa"/>
          </w:tcPr>
          <w:p w14:paraId="4553AB7D"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Air conditioners</w:t>
            </w:r>
          </w:p>
        </w:tc>
        <w:tc>
          <w:tcPr>
            <w:tcW w:w="1275" w:type="dxa"/>
          </w:tcPr>
          <w:p w14:paraId="35E6B945"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3.1 (a); 2(b)</w:t>
            </w:r>
          </w:p>
        </w:tc>
        <w:tc>
          <w:tcPr>
            <w:tcW w:w="993" w:type="dxa"/>
          </w:tcPr>
          <w:p w14:paraId="6F5E644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949" w:type="dxa"/>
          </w:tcPr>
          <w:p w14:paraId="133909CD"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1</w:t>
            </w:r>
          </w:p>
        </w:tc>
        <w:tc>
          <w:tcPr>
            <w:tcW w:w="1072" w:type="dxa"/>
          </w:tcPr>
          <w:p w14:paraId="0E39BE7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2,3</w:t>
            </w:r>
          </w:p>
        </w:tc>
        <w:tc>
          <w:tcPr>
            <w:tcW w:w="1073" w:type="dxa"/>
          </w:tcPr>
          <w:p w14:paraId="584B94AB"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1072" w:type="dxa"/>
          </w:tcPr>
          <w:p w14:paraId="669356F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1073" w:type="dxa"/>
          </w:tcPr>
          <w:p w14:paraId="3D7CECD8"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r>
      <w:tr w:rsidR="00A37634" w:rsidRPr="00A37634" w14:paraId="6EA8C34A" w14:textId="77777777" w:rsidTr="007C7289">
        <w:trPr>
          <w:jc w:val="center"/>
        </w:trPr>
        <w:tc>
          <w:tcPr>
            <w:tcW w:w="2122" w:type="dxa"/>
          </w:tcPr>
          <w:p w14:paraId="46C84521"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Pool pump controllers</w:t>
            </w:r>
          </w:p>
        </w:tc>
        <w:tc>
          <w:tcPr>
            <w:tcW w:w="1275" w:type="dxa"/>
          </w:tcPr>
          <w:p w14:paraId="0C10DBE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3.2 (a); 2(b)</w:t>
            </w:r>
          </w:p>
        </w:tc>
        <w:tc>
          <w:tcPr>
            <w:tcW w:w="993" w:type="dxa"/>
          </w:tcPr>
          <w:p w14:paraId="7DD2043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949" w:type="dxa"/>
          </w:tcPr>
          <w:p w14:paraId="7CF97CA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1</w:t>
            </w:r>
          </w:p>
        </w:tc>
        <w:tc>
          <w:tcPr>
            <w:tcW w:w="1072" w:type="dxa"/>
          </w:tcPr>
          <w:p w14:paraId="0A2F696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2</w:t>
            </w:r>
          </w:p>
        </w:tc>
        <w:tc>
          <w:tcPr>
            <w:tcW w:w="1073" w:type="dxa"/>
          </w:tcPr>
          <w:p w14:paraId="57EAAB4B"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4</w:t>
            </w:r>
          </w:p>
        </w:tc>
        <w:tc>
          <w:tcPr>
            <w:tcW w:w="1072" w:type="dxa"/>
          </w:tcPr>
          <w:p w14:paraId="60BA3C2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1073" w:type="dxa"/>
          </w:tcPr>
          <w:p w14:paraId="63A2913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r>
      <w:tr w:rsidR="00A37634" w:rsidRPr="00A37634" w14:paraId="3F6AB5B9" w14:textId="77777777" w:rsidTr="007C7289">
        <w:trPr>
          <w:jc w:val="center"/>
        </w:trPr>
        <w:tc>
          <w:tcPr>
            <w:tcW w:w="2122" w:type="dxa"/>
          </w:tcPr>
          <w:p w14:paraId="5B58DA74"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Electric water heaters</w:t>
            </w:r>
          </w:p>
        </w:tc>
        <w:tc>
          <w:tcPr>
            <w:tcW w:w="1275" w:type="dxa"/>
          </w:tcPr>
          <w:p w14:paraId="7AC1759E"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3.3 (a); 2(b)</w:t>
            </w:r>
          </w:p>
        </w:tc>
        <w:tc>
          <w:tcPr>
            <w:tcW w:w="993" w:type="dxa"/>
          </w:tcPr>
          <w:p w14:paraId="6ACA3AA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949" w:type="dxa"/>
          </w:tcPr>
          <w:p w14:paraId="6B3966CB"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1</w:t>
            </w:r>
          </w:p>
        </w:tc>
        <w:tc>
          <w:tcPr>
            <w:tcW w:w="1072" w:type="dxa"/>
          </w:tcPr>
          <w:p w14:paraId="14296E4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2,3</w:t>
            </w:r>
          </w:p>
        </w:tc>
        <w:tc>
          <w:tcPr>
            <w:tcW w:w="1073" w:type="dxa"/>
          </w:tcPr>
          <w:p w14:paraId="1477C534"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4</w:t>
            </w:r>
          </w:p>
        </w:tc>
        <w:tc>
          <w:tcPr>
            <w:tcW w:w="1072" w:type="dxa"/>
          </w:tcPr>
          <w:p w14:paraId="51D50C98"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1073" w:type="dxa"/>
          </w:tcPr>
          <w:p w14:paraId="7550FF9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r>
      <w:tr w:rsidR="00A37634" w:rsidRPr="00A37634" w14:paraId="0D35543F" w14:textId="77777777" w:rsidTr="007C7289">
        <w:trPr>
          <w:jc w:val="center"/>
        </w:trPr>
        <w:tc>
          <w:tcPr>
            <w:tcW w:w="2122" w:type="dxa"/>
          </w:tcPr>
          <w:p w14:paraId="7BCA60EE"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 xml:space="preserve">Electric vehicle chargers </w:t>
            </w:r>
          </w:p>
        </w:tc>
        <w:tc>
          <w:tcPr>
            <w:tcW w:w="1275" w:type="dxa"/>
          </w:tcPr>
          <w:p w14:paraId="1DF58BC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3.4 (c)</w:t>
            </w:r>
          </w:p>
        </w:tc>
        <w:tc>
          <w:tcPr>
            <w:tcW w:w="993" w:type="dxa"/>
          </w:tcPr>
          <w:p w14:paraId="70008BA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DRM0 (e)</w:t>
            </w:r>
          </w:p>
        </w:tc>
        <w:tc>
          <w:tcPr>
            <w:tcW w:w="949" w:type="dxa"/>
          </w:tcPr>
          <w:p w14:paraId="5FF9E27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1</w:t>
            </w:r>
          </w:p>
        </w:tc>
        <w:tc>
          <w:tcPr>
            <w:tcW w:w="1072" w:type="dxa"/>
          </w:tcPr>
          <w:p w14:paraId="107147E5"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2,3</w:t>
            </w:r>
          </w:p>
        </w:tc>
        <w:tc>
          <w:tcPr>
            <w:tcW w:w="1073" w:type="dxa"/>
          </w:tcPr>
          <w:p w14:paraId="64DFE82B"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4</w:t>
            </w:r>
          </w:p>
        </w:tc>
        <w:tc>
          <w:tcPr>
            <w:tcW w:w="1072" w:type="dxa"/>
          </w:tcPr>
          <w:p w14:paraId="7CDA9A8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8 (d)</w:t>
            </w:r>
          </w:p>
        </w:tc>
        <w:tc>
          <w:tcPr>
            <w:tcW w:w="1073" w:type="dxa"/>
          </w:tcPr>
          <w:p w14:paraId="69661B6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DRM 5 (e)</w:t>
            </w:r>
          </w:p>
        </w:tc>
      </w:tr>
    </w:tbl>
    <w:p w14:paraId="51EDBFF7" w14:textId="77777777" w:rsidR="00A37634" w:rsidRPr="00A37634" w:rsidRDefault="00A37634" w:rsidP="00A37634">
      <w:pPr>
        <w:spacing w:after="0" w:line="278" w:lineRule="auto"/>
        <w:jc w:val="center"/>
        <w:rPr>
          <w:rFonts w:ascii="Calibri" w:eastAsia="Cambria" w:hAnsi="Calibri" w:cs="Calibri"/>
          <w:sz w:val="16"/>
          <w:szCs w:val="24"/>
          <w:lang w:val="en-AU"/>
        </w:rPr>
      </w:pPr>
      <w:r w:rsidRPr="00A37634">
        <w:rPr>
          <w:rFonts w:ascii="Calibri" w:eastAsia="Cambria" w:hAnsi="Calibri" w:cs="Calibri"/>
          <w:sz w:val="16"/>
          <w:szCs w:val="24"/>
          <w:lang w:val="en-AU"/>
        </w:rPr>
        <w:t>(a) Published part. (b) Draft of AS4755.2 is at public comment stage, so DRM numbers indicative only. (c) Unpublished draft – would need to be brought to publication or the contents incorporated in a GEMS determination or similar. (d) AS/NZS 4755 framework includes DRMs 6 and 7 to constrain the rate of discharge, but these would not be mandatory. (e) Mandatory safety modes for products capable of discharge to grid.</w:t>
      </w:r>
    </w:p>
    <w:p w14:paraId="28EA40B9"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Of the 3,942 AC models registered on www.energyrating.gov.au in April 2019, 54% claim compliance with AS/NZS 4755.3.1, and of those about 95% claim DRM 2 and DRM 3 as well as DRM 1 (the actual compliance rate is likely to be around 33%, based on </w:t>
      </w:r>
      <w:proofErr w:type="spellStart"/>
      <w:r w:rsidRPr="00A37634">
        <w:rPr>
          <w:rFonts w:ascii="Calibri" w:eastAsia="Calibri" w:hAnsi="Calibri" w:cs="Calibri"/>
          <w:szCs w:val="20"/>
          <w:lang w:val="en-AU"/>
        </w:rPr>
        <w:t>PeakSmart</w:t>
      </w:r>
      <w:proofErr w:type="spellEnd"/>
      <w:r w:rsidRPr="00A37634">
        <w:rPr>
          <w:rFonts w:ascii="Calibri" w:eastAsia="Calibri" w:hAnsi="Calibri" w:cs="Calibri"/>
          <w:szCs w:val="20"/>
          <w:lang w:val="en-AU"/>
        </w:rPr>
        <w:t xml:space="preserve"> approved models). Manufacturers have indicated that providing the full range of DRMs is no more costly than providing DRM 1 alone.</w:t>
      </w:r>
    </w:p>
    <w:p w14:paraId="3DC1B274"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It is also proposed to mandate DRM 4 (turn on) for pool pump controllers, electric water heaters and EV chargers, in order to build up a capability to shift load into excess supply periods. AS/NZS 4755 does not include a DRM 4 for ACs, because it would bring a significant risk of wasting energy on cooling or heating empty houses.</w:t>
      </w:r>
    </w:p>
    <w:p w14:paraId="4AE7DD4A"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Products complying with AS/NZS 4755 have particular advantages for regulators and DRSPs. The demand reductions required under each DRM are quantified in relation to either a fixed reference point (for ACs, the kW when operating at the output capacity used to determine MEPS) or a dynamic reference point (for pool pump controllers, the average kW over the five minutes immediately preceding the DR event). There must be a measurable step change in demand within a specified time after a DR event commences, and this has been verified in field monitoring (Appendix 1). </w:t>
      </w:r>
    </w:p>
    <w:p w14:paraId="3C212EDC"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This simplifies the calculation of “baselines” – notional consumption patterns against which notional demand changes are estimated. Incorrect baselines can distort DR markets by either over- or under-rewarding consumer actions. The review of the first year of operation of the ARENA DR trials reported that: </w:t>
      </w:r>
    </w:p>
    <w:p w14:paraId="600F72A1" w14:textId="77777777" w:rsidR="00A37634" w:rsidRPr="00A37634" w:rsidRDefault="00A37634" w:rsidP="00A37634">
      <w:pPr>
        <w:spacing w:before="120" w:after="120" w:line="276" w:lineRule="auto"/>
        <w:ind w:left="720"/>
        <w:rPr>
          <w:rFonts w:ascii="Calibri" w:eastAsia="Calibri" w:hAnsi="Calibri" w:cs="Calibri"/>
          <w:szCs w:val="20"/>
          <w:lang w:val="en-AU"/>
        </w:rPr>
      </w:pPr>
      <w:r w:rsidRPr="00A37634">
        <w:rPr>
          <w:rFonts w:ascii="Calibri" w:eastAsia="Calibri" w:hAnsi="Calibri" w:cs="Calibri"/>
          <w:szCs w:val="20"/>
          <w:lang w:val="en-AU"/>
        </w:rPr>
        <w:t>“Several proponents noted that particularly for residential and smaller commercial customers, consumption against the baseline can vary significantly across the customers within a portfolio in regard to any particular DR event, and for any particular customer across DR events.”</w:t>
      </w:r>
      <w:r w:rsidRPr="00A37634">
        <w:rPr>
          <w:rFonts w:ascii="Calibri" w:eastAsia="Calibri" w:hAnsi="Calibri" w:cs="Calibri"/>
          <w:szCs w:val="20"/>
          <w:vertAlign w:val="superscript"/>
          <w:lang w:val="en-AU"/>
        </w:rPr>
        <w:footnoteReference w:id="57"/>
      </w:r>
    </w:p>
    <w:p w14:paraId="4BAD79F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w:t>
      </w:r>
      <w:proofErr w:type="spellStart"/>
      <w:r w:rsidRPr="00A37634">
        <w:rPr>
          <w:rFonts w:ascii="Calibri" w:eastAsia="Calibri" w:hAnsi="Calibri" w:cs="Calibri"/>
          <w:szCs w:val="20"/>
          <w:lang w:val="en-AU"/>
        </w:rPr>
        <w:t>PeakSmart</w:t>
      </w:r>
      <w:proofErr w:type="spellEnd"/>
      <w:r w:rsidRPr="00A37634">
        <w:rPr>
          <w:rFonts w:ascii="Calibri" w:eastAsia="Calibri" w:hAnsi="Calibri" w:cs="Calibri"/>
          <w:szCs w:val="20"/>
          <w:lang w:val="en-AU"/>
        </w:rPr>
        <w:t xml:space="preserve"> program offers customers what is in effect a capacity payment (based on kW made available) rather than an energy payment (notional kWh avoided per event). For a DRSP to bid this into the capacity and/or energy markets will take some estimation of the effect, but it is statistically simpler to estimate a AS/NZS 4755-style response (which will show as a step change in demand at the substation) rather than to compile and aggregate individual baselines for every consumer with an AC operating when the event starts (which is a condition of payment under some current trial schemes – so creating a perverse incentive for absent consumers to switch on their AC via their app).</w:t>
      </w:r>
    </w:p>
    <w:p w14:paraId="592D76D0" w14:textId="77777777" w:rsidR="00A37634" w:rsidRPr="00A37634" w:rsidRDefault="00A37634" w:rsidP="00A37634">
      <w:pPr>
        <w:pageBreakBefore/>
        <w:pBdr>
          <w:bottom w:val="single" w:sz="12" w:space="1" w:color="ED1B24"/>
        </w:pBdr>
        <w:spacing w:before="200" w:after="600" w:line="240" w:lineRule="auto"/>
        <w:outlineLvl w:val="0"/>
        <w:rPr>
          <w:rFonts w:ascii="Calibri" w:eastAsia="Times New Roman" w:hAnsi="Calibri" w:cs="Calibri"/>
          <w:b/>
          <w:bCs/>
          <w:color w:val="ED1B24"/>
          <w:sz w:val="50"/>
          <w:szCs w:val="28"/>
          <w:lang w:val="en-AU"/>
        </w:rPr>
      </w:pPr>
      <w:bookmarkStart w:id="41" w:name="_Toc16500973"/>
      <w:r w:rsidRPr="00A37634">
        <w:rPr>
          <w:rFonts w:ascii="Calibri" w:eastAsia="Times New Roman" w:hAnsi="Calibri" w:cs="Calibri"/>
          <w:b/>
          <w:bCs/>
          <w:color w:val="ED1B24"/>
          <w:sz w:val="50"/>
          <w:szCs w:val="28"/>
          <w:lang w:val="en-AU"/>
        </w:rPr>
        <w:t>Summary of Costs and Benefits</w:t>
      </w:r>
      <w:bookmarkEnd w:id="41"/>
    </w:p>
    <w:p w14:paraId="4033E13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ACCC Retail Electricity Pricing Inquiry identified four main services that demand response can provide: </w:t>
      </w:r>
    </w:p>
    <w:p w14:paraId="21545BD8" w14:textId="77777777" w:rsidR="00A37634" w:rsidRPr="00A37634" w:rsidRDefault="00A37634" w:rsidP="00A37634">
      <w:pPr>
        <w:numPr>
          <w:ilvl w:val="0"/>
          <w:numId w:val="15"/>
        </w:numPr>
        <w:spacing w:before="120" w:after="120" w:line="278"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“network demand response—employed to manage peak demand within a particular transmission or distribution network, or localised part of a network </w:t>
      </w:r>
    </w:p>
    <w:p w14:paraId="3C5424EB" w14:textId="77777777" w:rsidR="00A37634" w:rsidRPr="00A37634" w:rsidRDefault="00A37634" w:rsidP="00A37634">
      <w:pPr>
        <w:numPr>
          <w:ilvl w:val="0"/>
          <w:numId w:val="15"/>
        </w:numPr>
        <w:spacing w:before="120" w:after="120" w:line="278"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wholesale demand response—used to reduce the quantity of electricity bought in the wholesale market, either to reduce prices, to help market participants manage their contract market positions, or defer investment in new generation capacity </w:t>
      </w:r>
    </w:p>
    <w:p w14:paraId="03190EBC" w14:textId="77777777" w:rsidR="00A37634" w:rsidRPr="00A37634" w:rsidRDefault="00A37634" w:rsidP="00A37634">
      <w:pPr>
        <w:numPr>
          <w:ilvl w:val="0"/>
          <w:numId w:val="15"/>
        </w:numPr>
        <w:spacing w:before="120" w:after="120" w:line="278"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ancillary services demand response—sourced by the system operator to maintain grid frequency within its technical operating range </w:t>
      </w:r>
    </w:p>
    <w:p w14:paraId="73570115" w14:textId="77777777" w:rsidR="00A37634" w:rsidRPr="00A37634" w:rsidRDefault="00A37634" w:rsidP="00A37634">
      <w:pPr>
        <w:numPr>
          <w:ilvl w:val="0"/>
          <w:numId w:val="15"/>
        </w:numPr>
        <w:spacing w:before="120" w:after="120" w:line="278" w:lineRule="auto"/>
        <w:contextualSpacing/>
        <w:rPr>
          <w:rFonts w:ascii="Calibri" w:eastAsia="Calibri" w:hAnsi="Calibri" w:cs="Calibri"/>
          <w:szCs w:val="20"/>
          <w:lang w:val="en-AU"/>
        </w:rPr>
      </w:pPr>
      <w:proofErr w:type="gramStart"/>
      <w:r w:rsidRPr="00A37634">
        <w:rPr>
          <w:rFonts w:ascii="Calibri" w:eastAsia="Calibri" w:hAnsi="Calibri" w:cs="Calibri"/>
          <w:szCs w:val="20"/>
          <w:lang w:val="en-AU"/>
        </w:rPr>
        <w:t>emergency</w:t>
      </w:r>
      <w:proofErr w:type="gramEnd"/>
      <w:r w:rsidRPr="00A37634">
        <w:rPr>
          <w:rFonts w:ascii="Calibri" w:eastAsia="Calibri" w:hAnsi="Calibri" w:cs="Calibri"/>
          <w:szCs w:val="20"/>
          <w:lang w:val="en-AU"/>
        </w:rPr>
        <w:t xml:space="preserve"> demand response—sourced by the system operator when there are predicted supply shortfalls to avoid involuntary load shedding.”</w:t>
      </w:r>
      <w:r w:rsidRPr="00A37634">
        <w:rPr>
          <w:rFonts w:ascii="Calibri" w:eastAsia="Calibri" w:hAnsi="Calibri" w:cs="Calibri"/>
          <w:szCs w:val="20"/>
          <w:vertAlign w:val="superscript"/>
          <w:lang w:val="en-AU"/>
        </w:rPr>
        <w:footnoteReference w:id="58"/>
      </w:r>
      <w:r w:rsidRPr="00A37634">
        <w:rPr>
          <w:rFonts w:ascii="Calibri" w:eastAsia="Calibri" w:hAnsi="Calibri" w:cs="Calibri"/>
          <w:szCs w:val="20"/>
          <w:lang w:val="en-AU"/>
        </w:rPr>
        <w:t xml:space="preserve"> </w:t>
      </w:r>
    </w:p>
    <w:p w14:paraId="6BD18B13"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benefits of managing peak load are captured by estimating the net present value (NPV) of the reductions in projected network capital investment from substituting a MW of reliable demand reduction for a MW of additional peak demand. This benefit was quantified in the 2013 Consultation RIS. The net present value (NPV) per future MW avoided on the distribution and transmission systems has been updated, based on the latest distribution pricing submissions to the AER (see Appendix 1).  </w:t>
      </w:r>
    </w:p>
    <w:p w14:paraId="60D13FD4"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benefits of wholesale price reductions are captured by assuming that retailers or other DR aggregators can withdraw sufficient load from the market to make it unnecessary for the next-highest cost </w:t>
      </w:r>
      <w:proofErr w:type="spellStart"/>
      <w:r w:rsidRPr="00A37634">
        <w:rPr>
          <w:rFonts w:ascii="Calibri" w:eastAsia="Calibri" w:hAnsi="Calibri" w:cs="Calibri"/>
          <w:szCs w:val="20"/>
          <w:lang w:val="en-AU"/>
        </w:rPr>
        <w:t>dispatchable</w:t>
      </w:r>
      <w:proofErr w:type="spellEnd"/>
      <w:r w:rsidRPr="00A37634">
        <w:rPr>
          <w:rFonts w:ascii="Calibri" w:eastAsia="Calibri" w:hAnsi="Calibri" w:cs="Calibri"/>
          <w:szCs w:val="20"/>
          <w:lang w:val="en-AU"/>
        </w:rPr>
        <w:t xml:space="preserve"> generator (usually gas) to bid into the pool. It is assumed that this would reduce the wholesale price by $100/MWh for about 20 hours each year, to benefit both the DR participants who contribute to the load reduction and all other consumers using electricity over the same time period. The wholesale demand response mechanism rule changes currently being considered by the AEMC</w:t>
      </w:r>
      <w:r w:rsidRPr="00A37634">
        <w:rPr>
          <w:rFonts w:ascii="Calibri" w:eastAsia="Calibri" w:hAnsi="Calibri" w:cs="Calibri"/>
          <w:szCs w:val="20"/>
          <w:vertAlign w:val="superscript"/>
          <w:lang w:val="en-AU"/>
        </w:rPr>
        <w:footnoteReference w:id="59"/>
      </w:r>
      <w:r w:rsidRPr="00A37634">
        <w:rPr>
          <w:rFonts w:ascii="Calibri" w:eastAsia="Calibri" w:hAnsi="Calibri" w:cs="Calibri"/>
          <w:szCs w:val="20"/>
          <w:lang w:val="en-AU"/>
        </w:rPr>
        <w:t xml:space="preserve"> would widen the range of actors able to participate in the market in this way. </w:t>
      </w:r>
    </w:p>
    <w:p w14:paraId="568A7F75"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As the share of non-</w:t>
      </w:r>
      <w:proofErr w:type="spellStart"/>
      <w:r w:rsidRPr="00A37634">
        <w:rPr>
          <w:rFonts w:ascii="Calibri" w:eastAsia="Calibri" w:hAnsi="Calibri" w:cs="Calibri"/>
          <w:szCs w:val="20"/>
          <w:lang w:val="en-AU"/>
        </w:rPr>
        <w:t>dispatchable</w:t>
      </w:r>
      <w:proofErr w:type="spellEnd"/>
      <w:r w:rsidRPr="00A37634">
        <w:rPr>
          <w:rFonts w:ascii="Calibri" w:eastAsia="Calibri" w:hAnsi="Calibri" w:cs="Calibri"/>
          <w:szCs w:val="20"/>
          <w:lang w:val="en-AU"/>
        </w:rPr>
        <w:t xml:space="preserve"> renewable wind and solar generation grows, the time when available supply exceeds demand is increasing. If the grid operator (AEMO) does not take action under these circumstances, or PV inverters do not automatically disconnect, grid voltage and frequency levels will move outside the statutory operating ranges, so risking damage to supply infrastructure and to consumers’ equipment. During “negative price events” (NPE), generators supplying the pool receive no payment and must pay the pool to continue to supply. If there is still insufficient load, they have to reduce output or, in the extreme, disconnect. Generators effectively pay for load to come on during NPEs. The DR value is reflected by estimating the total energy demand that can be presented to the grid by products activated through DRM 4, and assigning a value to that energy (see Appendix 1).   </w:t>
      </w:r>
    </w:p>
    <w:p w14:paraId="1A48845F"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Emergency response occurs under the opposite conditions – when expected load exceeds the availability of generation capacity. To address this, AEMO has set up a Reliability and Emergency Reserve Trader (RERT) facility.</w:t>
      </w:r>
      <w:r w:rsidRPr="00A37634">
        <w:rPr>
          <w:rFonts w:ascii="Calibri" w:eastAsia="Calibri" w:hAnsi="Calibri" w:cs="Calibri"/>
          <w:szCs w:val="20"/>
          <w:vertAlign w:val="superscript"/>
          <w:lang w:val="en-AU"/>
        </w:rPr>
        <w:footnoteReference w:id="60"/>
      </w:r>
      <w:r w:rsidRPr="00A37634">
        <w:rPr>
          <w:rFonts w:ascii="Calibri" w:eastAsia="Calibri" w:hAnsi="Calibri" w:cs="Calibri"/>
          <w:szCs w:val="20"/>
          <w:lang w:val="en-AU"/>
        </w:rPr>
        <w:t xml:space="preserve"> Parties can contract to supply energy (if they have a standby generator) or reduce load during RERT events, which are typically notified a day ahead. RERT prices are high: for example, RERT events in January 2019 paid $9,800 per MWh to contractors in Victoria and SA over 13.5 hours.</w:t>
      </w:r>
      <w:r w:rsidRPr="00A37634">
        <w:rPr>
          <w:rFonts w:ascii="Calibri" w:eastAsia="Calibri" w:hAnsi="Calibri" w:cs="Calibri"/>
          <w:szCs w:val="20"/>
          <w:vertAlign w:val="superscript"/>
          <w:lang w:val="en-AU"/>
        </w:rPr>
        <w:footnoteReference w:id="61"/>
      </w:r>
      <w:r w:rsidRPr="00A37634">
        <w:rPr>
          <w:rFonts w:ascii="Calibri" w:eastAsia="Calibri" w:hAnsi="Calibri" w:cs="Calibri"/>
          <w:szCs w:val="20"/>
          <w:lang w:val="en-AU"/>
        </w:rPr>
        <w:t xml:space="preserve"> It is assumed that DR aggregators in those states could bid into the RERT market.</w:t>
      </w:r>
    </w:p>
    <w:p w14:paraId="6B0AF452"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DR could also supply ancillary services to the NEM.</w:t>
      </w:r>
      <w:r w:rsidRPr="00A37634">
        <w:rPr>
          <w:rFonts w:ascii="Calibri" w:eastAsia="Calibri" w:hAnsi="Calibri" w:cs="Calibri"/>
          <w:szCs w:val="20"/>
          <w:vertAlign w:val="superscript"/>
          <w:lang w:val="en-AU"/>
        </w:rPr>
        <w:footnoteReference w:id="62"/>
      </w:r>
      <w:r w:rsidRPr="00A37634">
        <w:rPr>
          <w:rFonts w:ascii="Calibri" w:eastAsia="Calibri" w:hAnsi="Calibri" w:cs="Calibri"/>
          <w:szCs w:val="20"/>
          <w:lang w:val="en-AU"/>
        </w:rPr>
        <w:t xml:space="preserve"> The services which best match the capabilities of AS/NZS 4755-compliant products are those frequency and voltage control which require responses within five minutes. The value of such services has not been quantified.  </w:t>
      </w:r>
    </w:p>
    <w:p w14:paraId="1E4BD664" w14:textId="6892926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Adding DR capability to products will impose additional design and manufacturing costs, which will be passed on in every product purchase. </w:t>
      </w:r>
      <w:r w:rsidRPr="000516A3">
        <w:rPr>
          <w:rFonts w:ascii="Calibri" w:eastAsia="Calibri" w:hAnsi="Calibri" w:cs="Calibri"/>
          <w:b/>
          <w:szCs w:val="20"/>
          <w:lang w:val="en-AU"/>
        </w:rPr>
        <w:fldChar w:fldCharType="begin"/>
      </w:r>
      <w:r w:rsidRPr="000516A3">
        <w:rPr>
          <w:rFonts w:ascii="Calibri" w:eastAsia="Calibri" w:hAnsi="Calibri" w:cs="Calibri"/>
          <w:b/>
          <w:szCs w:val="20"/>
          <w:lang w:val="en-AU"/>
        </w:rPr>
        <w:instrText xml:space="preserve"> REF _Ref13169159 \h  \* MERGEFORMAT </w:instrText>
      </w:r>
      <w:r w:rsidRPr="000516A3">
        <w:rPr>
          <w:rFonts w:ascii="Calibri" w:eastAsia="Calibri" w:hAnsi="Calibri" w:cs="Calibri"/>
          <w:b/>
          <w:szCs w:val="20"/>
          <w:lang w:val="en-AU"/>
        </w:rPr>
      </w:r>
      <w:r w:rsidRPr="000516A3">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Figure </w:t>
      </w:r>
      <w:r w:rsidR="00181136" w:rsidRPr="00181136">
        <w:rPr>
          <w:rFonts w:ascii="Calibri" w:eastAsia="Calibri" w:hAnsi="Calibri" w:cs="Calibri"/>
          <w:b/>
          <w:noProof/>
          <w:szCs w:val="20"/>
          <w:lang w:val="en-AU"/>
        </w:rPr>
        <w:t>5</w:t>
      </w:r>
      <w:r w:rsidRPr="000516A3">
        <w:rPr>
          <w:rFonts w:ascii="Calibri" w:eastAsia="Calibri" w:hAnsi="Calibri" w:cs="Calibri"/>
          <w:b/>
          <w:szCs w:val="20"/>
          <w:lang w:val="en-AU"/>
        </w:rPr>
        <w:fldChar w:fldCharType="end"/>
      </w:r>
      <w:r w:rsidRPr="00A37634">
        <w:rPr>
          <w:rFonts w:ascii="Calibri" w:eastAsia="Calibri" w:hAnsi="Calibri" w:cs="Calibri"/>
          <w:szCs w:val="20"/>
          <w:lang w:val="en-AU"/>
        </w:rPr>
        <w:t xml:space="preserve"> shows estimated increase in appliance purchase prices, ranging from $80 for large water heaters to $5 for split unit ACs. The weighted average price increase is $30 per compliant product sold, falling over time as production volumes increase. </w:t>
      </w:r>
    </w:p>
    <w:p w14:paraId="5E6C83AE" w14:textId="0A2F7E86"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42" w:name="_Ref13169159"/>
      <w:bookmarkStart w:id="43" w:name="_Toc16500982"/>
      <w:r w:rsidRPr="00A37634">
        <w:rPr>
          <w:rFonts w:ascii="Calibri" w:eastAsia="Cambria" w:hAnsi="Calibri" w:cs="Calibri"/>
          <w:b/>
          <w:bCs/>
          <w:sz w:val="20"/>
          <w:szCs w:val="16"/>
          <w:lang w:val="en-AU"/>
        </w:rPr>
        <w:t xml:space="preserve">Figure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Figure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5</w:t>
      </w:r>
      <w:r w:rsidRPr="00A37634">
        <w:rPr>
          <w:rFonts w:ascii="Calibri" w:eastAsia="Cambria" w:hAnsi="Calibri" w:cs="Calibri"/>
          <w:b/>
          <w:bCs/>
          <w:noProof/>
          <w:sz w:val="20"/>
          <w:szCs w:val="16"/>
          <w:lang w:val="en-AU"/>
        </w:rPr>
        <w:fldChar w:fldCharType="end"/>
      </w:r>
      <w:bookmarkEnd w:id="42"/>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Projected increase in appliance costs</w:t>
      </w:r>
      <w:bookmarkEnd w:id="43"/>
    </w:p>
    <w:p w14:paraId="0404A3C0" w14:textId="77777777" w:rsidR="00A37634" w:rsidRPr="00A37634" w:rsidRDefault="00A37634" w:rsidP="00A37634">
      <w:pPr>
        <w:spacing w:after="120" w:line="276" w:lineRule="auto"/>
        <w:jc w:val="center"/>
        <w:rPr>
          <w:rFonts w:ascii="Calibri" w:eastAsia="Calibri" w:hAnsi="Calibri" w:cs="Calibri"/>
          <w:szCs w:val="20"/>
          <w:lang w:val="en-AU"/>
        </w:rPr>
      </w:pPr>
      <w:r w:rsidRPr="00A37634">
        <w:rPr>
          <w:rFonts w:ascii="Calibri" w:eastAsia="Calibri" w:hAnsi="Calibri" w:cs="Calibri"/>
          <w:noProof/>
          <w:szCs w:val="20"/>
          <w:lang w:val="en-AU" w:eastAsia="en-AU"/>
        </w:rPr>
        <w:drawing>
          <wp:inline distT="0" distB="0" distL="0" distR="0" wp14:anchorId="688B7B90" wp14:editId="790E29F9">
            <wp:extent cx="4181475" cy="3038318"/>
            <wp:effectExtent l="19050" t="19050" r="9525" b="10160"/>
            <wp:docPr id="6" name="Picture 6"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11748" cy="3060314"/>
                    </a:xfrm>
                    <a:prstGeom prst="rect">
                      <a:avLst/>
                    </a:prstGeom>
                    <a:noFill/>
                    <a:ln>
                      <a:solidFill>
                        <a:sysClr val="windowText" lastClr="000000"/>
                      </a:solidFill>
                    </a:ln>
                  </pic:spPr>
                </pic:pic>
              </a:graphicData>
            </a:graphic>
          </wp:inline>
        </w:drawing>
      </w:r>
    </w:p>
    <w:p w14:paraId="4FE9CBD5" w14:textId="719008E0"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load of a DR-capable appliance does not become actually controllable until it is “activated” and the customer consents to participate in a DLC program.</w:t>
      </w:r>
      <w:r w:rsidRPr="00A37634">
        <w:rPr>
          <w:rFonts w:ascii="Calibri" w:eastAsia="Calibri" w:hAnsi="Calibri" w:cs="Calibri"/>
          <w:szCs w:val="20"/>
          <w:vertAlign w:val="superscript"/>
          <w:lang w:val="en-AU"/>
        </w:rPr>
        <w:footnoteReference w:id="63"/>
      </w:r>
      <w:r w:rsidRPr="00A37634">
        <w:rPr>
          <w:rFonts w:ascii="Calibri" w:eastAsia="Calibri" w:hAnsi="Calibri" w:cs="Calibri"/>
          <w:szCs w:val="20"/>
          <w:lang w:val="en-AU"/>
        </w:rPr>
        <w:t xml:space="preserve"> For products complying with AS/NZS 4755 Part 3, activation requires the installation of a DRED. (DR) AS 4755.2-compliant products could connect to the internet using pathways already present in most home, such as </w:t>
      </w:r>
      <w:proofErr w:type="spellStart"/>
      <w:r w:rsidRPr="00A37634">
        <w:rPr>
          <w:rFonts w:ascii="Calibri" w:eastAsia="Calibri" w:hAnsi="Calibri" w:cs="Calibri"/>
          <w:szCs w:val="20"/>
          <w:lang w:val="en-AU"/>
        </w:rPr>
        <w:t>WiFi</w:t>
      </w:r>
      <w:proofErr w:type="spellEnd"/>
      <w:r w:rsidRPr="00A37634">
        <w:rPr>
          <w:rFonts w:ascii="Calibri" w:eastAsia="Calibri" w:hAnsi="Calibri" w:cs="Calibri"/>
          <w:szCs w:val="20"/>
          <w:lang w:val="en-AU"/>
        </w:rPr>
        <w:t xml:space="preserve"> routers or via the mobile phone network (3G/4G/5G standards). Some methods of activation would require a service call, others not. An initial average activation cost of between $120 and $140 has been assumed, declining over time (</w:t>
      </w:r>
      <w:r w:rsidRPr="000516A3">
        <w:rPr>
          <w:rFonts w:ascii="Calibri" w:eastAsia="Calibri" w:hAnsi="Calibri" w:cs="Calibri"/>
          <w:b/>
          <w:szCs w:val="20"/>
          <w:lang w:val="en-AU"/>
        </w:rPr>
        <w:fldChar w:fldCharType="begin"/>
      </w:r>
      <w:r w:rsidRPr="000516A3">
        <w:rPr>
          <w:rFonts w:ascii="Calibri" w:eastAsia="Calibri" w:hAnsi="Calibri" w:cs="Calibri"/>
          <w:b/>
          <w:szCs w:val="20"/>
          <w:lang w:val="en-AU"/>
        </w:rPr>
        <w:instrText xml:space="preserve"> REF _Ref11698684 \h  \* MERGEFORMAT </w:instrText>
      </w:r>
      <w:r w:rsidRPr="000516A3">
        <w:rPr>
          <w:rFonts w:ascii="Calibri" w:eastAsia="Calibri" w:hAnsi="Calibri" w:cs="Calibri"/>
          <w:b/>
          <w:szCs w:val="20"/>
          <w:lang w:val="en-AU"/>
        </w:rPr>
      </w:r>
      <w:r w:rsidRPr="000516A3">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Figure</w:t>
      </w:r>
      <w:r w:rsidR="00181136" w:rsidRPr="00A37634">
        <w:rPr>
          <w:rFonts w:ascii="Calibri" w:eastAsia="Cambria" w:hAnsi="Calibri" w:cs="Calibri"/>
          <w:b/>
          <w:bCs/>
          <w:sz w:val="20"/>
          <w:szCs w:val="16"/>
          <w:lang w:val="en-AU"/>
        </w:rPr>
        <w:t xml:space="preserve"> </w:t>
      </w:r>
      <w:r w:rsidR="00181136">
        <w:rPr>
          <w:rFonts w:ascii="Calibri" w:eastAsia="Cambria" w:hAnsi="Calibri" w:cs="Calibri"/>
          <w:b/>
          <w:bCs/>
          <w:noProof/>
          <w:sz w:val="20"/>
          <w:szCs w:val="16"/>
          <w:lang w:val="en-AU"/>
        </w:rPr>
        <w:t>6</w:t>
      </w:r>
      <w:r w:rsidRPr="000516A3">
        <w:rPr>
          <w:rFonts w:ascii="Calibri" w:eastAsia="Calibri" w:hAnsi="Calibri" w:cs="Calibri"/>
          <w:b/>
          <w:szCs w:val="20"/>
          <w:lang w:val="en-AU"/>
        </w:rPr>
        <w:fldChar w:fldCharType="end"/>
      </w:r>
      <w:r w:rsidRPr="00A37634">
        <w:rPr>
          <w:rFonts w:ascii="Calibri" w:eastAsia="Calibri" w:hAnsi="Calibri" w:cs="Calibri"/>
          <w:szCs w:val="20"/>
          <w:lang w:val="en-AU"/>
        </w:rPr>
        <w:t>). Some modes of activation will support several DR-capable appliances at the one site, so as time passes and households activate multiple DR-capable products the cost per new activation should fall.</w:t>
      </w:r>
    </w:p>
    <w:p w14:paraId="15524E78" w14:textId="1B96A3E0" w:rsidR="00A37634" w:rsidRPr="00A37634" w:rsidRDefault="00A37634" w:rsidP="00063CCE">
      <w:pPr>
        <w:pageBreakBefore/>
        <w:spacing w:before="240" w:after="120" w:line="240" w:lineRule="auto"/>
        <w:jc w:val="center"/>
        <w:rPr>
          <w:rFonts w:ascii="Calibri" w:eastAsia="Cambria" w:hAnsi="Calibri" w:cs="Calibri"/>
          <w:b/>
          <w:bCs/>
          <w:sz w:val="20"/>
          <w:szCs w:val="16"/>
          <w:lang w:val="en-AU"/>
        </w:rPr>
      </w:pPr>
      <w:bookmarkStart w:id="44" w:name="_Ref11698684"/>
      <w:bookmarkStart w:id="45" w:name="_Toc16500983"/>
      <w:bookmarkStart w:id="46" w:name="_Hlk12974934"/>
      <w:r w:rsidRPr="00A37634">
        <w:rPr>
          <w:rFonts w:ascii="Calibri" w:eastAsia="Cambria" w:hAnsi="Calibri" w:cs="Calibri"/>
          <w:b/>
          <w:bCs/>
          <w:sz w:val="20"/>
          <w:szCs w:val="16"/>
          <w:lang w:val="en-AU"/>
        </w:rPr>
        <w:t xml:space="preserve">Figure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Figure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6</w:t>
      </w:r>
      <w:r w:rsidRPr="00A37634">
        <w:rPr>
          <w:rFonts w:ascii="Calibri" w:eastAsia="Cambria" w:hAnsi="Calibri" w:cs="Calibri"/>
          <w:b/>
          <w:bCs/>
          <w:noProof/>
          <w:sz w:val="20"/>
          <w:szCs w:val="16"/>
          <w:lang w:val="en-AU"/>
        </w:rPr>
        <w:fldChar w:fldCharType="end"/>
      </w:r>
      <w:bookmarkEnd w:id="44"/>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Projected activation costs</w:t>
      </w:r>
      <w:bookmarkEnd w:id="45"/>
    </w:p>
    <w:bookmarkEnd w:id="46"/>
    <w:p w14:paraId="1198FEEE" w14:textId="77777777" w:rsidR="00A37634" w:rsidRPr="00A37634" w:rsidRDefault="00A37634" w:rsidP="00A37634">
      <w:pPr>
        <w:spacing w:after="120" w:line="276" w:lineRule="auto"/>
        <w:jc w:val="center"/>
        <w:rPr>
          <w:rFonts w:ascii="Calibri" w:eastAsia="Calibri" w:hAnsi="Calibri" w:cs="Calibri"/>
          <w:szCs w:val="20"/>
          <w:lang w:val="en-AU"/>
        </w:rPr>
      </w:pPr>
      <w:r w:rsidRPr="00A37634">
        <w:rPr>
          <w:rFonts w:ascii="Calibri" w:eastAsia="Calibri" w:hAnsi="Calibri" w:cs="Calibri"/>
          <w:noProof/>
          <w:szCs w:val="20"/>
          <w:lang w:val="en-AU" w:eastAsia="en-AU"/>
        </w:rPr>
        <w:drawing>
          <wp:inline distT="0" distB="0" distL="0" distR="0" wp14:anchorId="6A6B8E1C" wp14:editId="0A491663">
            <wp:extent cx="4058923" cy="2952750"/>
            <wp:effectExtent l="19050" t="19050" r="17780" b="19050"/>
            <wp:docPr id="7" name="Picture 7" descr="&quot;0&quot;"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65748" cy="3030462"/>
                    </a:xfrm>
                    <a:prstGeom prst="rect">
                      <a:avLst/>
                    </a:prstGeom>
                    <a:noFill/>
                    <a:ln>
                      <a:solidFill>
                        <a:sysClr val="windowText" lastClr="000000"/>
                      </a:solidFill>
                    </a:ln>
                  </pic:spPr>
                </pic:pic>
              </a:graphicData>
            </a:graphic>
          </wp:inline>
        </w:drawing>
      </w:r>
    </w:p>
    <w:p w14:paraId="35789FD1" w14:textId="73D2C8D7" w:rsidR="00A37634" w:rsidRPr="00063CCE" w:rsidRDefault="00A37634" w:rsidP="00A37634">
      <w:pPr>
        <w:spacing w:before="120" w:after="120" w:line="276" w:lineRule="auto"/>
        <w:rPr>
          <w:rFonts w:ascii="Calibri" w:eastAsia="Cambria" w:hAnsi="Calibri" w:cs="Calibri"/>
          <w:b/>
          <w:bCs/>
          <w:sz w:val="20"/>
          <w:szCs w:val="16"/>
          <w:lang w:val="en-AU"/>
        </w:rPr>
      </w:pPr>
      <w:r w:rsidRPr="00A37634">
        <w:rPr>
          <w:rFonts w:ascii="Calibri" w:eastAsia="Calibri" w:hAnsi="Calibri" w:cs="Calibri"/>
          <w:szCs w:val="20"/>
          <w:lang w:val="en-AU"/>
        </w:rPr>
        <w:t xml:space="preserve">The rate, timing and location of activations will depend on the DR programs offered by electricity suppliers or DR aggregators, and will vary from place to place according to local load profiles and network conditions. As the concentration of smart appliances rises and consumer familiarity grows, the costs of acquiring new activations should fall, and the rate of DR program offerings and take-ups would be expected to increase. Estimating the number of customers participating at any given time is a key factor in projecting the total benefit. Under the three levels of activation modelled – Low, Medium and High – the share of all installed </w:t>
      </w:r>
      <w:r w:rsidRPr="000B2AF8">
        <w:rPr>
          <w:rFonts w:ascii="Calibri" w:eastAsia="Calibri" w:hAnsi="Calibri" w:cs="Calibri"/>
          <w:spacing w:val="6"/>
          <w:szCs w:val="20"/>
          <w:lang w:val="en-AU"/>
        </w:rPr>
        <w:t>AS/NZS 4755-compliant products activated would reach about 26%, 38% and 49% respectively by 2035 (</w:t>
      </w:r>
      <w:r w:rsidR="00E401CD" w:rsidRPr="00E401CD">
        <w:rPr>
          <w:rFonts w:ascii="Calibri" w:eastAsia="Calibri" w:hAnsi="Calibri" w:cs="Calibri"/>
          <w:b/>
          <w:spacing w:val="6"/>
          <w:szCs w:val="20"/>
          <w:lang w:val="en-AU"/>
        </w:rPr>
        <w:t>Figure 7</w:t>
      </w:r>
      <w:r w:rsidRPr="00A37634">
        <w:rPr>
          <w:rFonts w:ascii="Calibri" w:eastAsia="Calibri" w:hAnsi="Calibri" w:cs="Calibri"/>
          <w:szCs w:val="20"/>
          <w:lang w:val="en-AU"/>
        </w:rPr>
        <w:t>).</w:t>
      </w:r>
    </w:p>
    <w:p w14:paraId="6F97E6F8" w14:textId="03B1F77E" w:rsidR="00A37634" w:rsidRPr="00063CCE" w:rsidRDefault="00A37634" w:rsidP="00063CCE">
      <w:pPr>
        <w:widowControl w:val="0"/>
        <w:spacing w:before="120" w:after="120" w:line="276" w:lineRule="auto"/>
        <w:rPr>
          <w:rFonts w:ascii="Calibri" w:eastAsia="Cambria" w:hAnsi="Calibri" w:cs="Calibri"/>
          <w:b/>
          <w:bCs/>
          <w:sz w:val="20"/>
          <w:szCs w:val="16"/>
          <w:lang w:val="en-AU"/>
        </w:rPr>
      </w:pPr>
      <w:r w:rsidRPr="00A37634">
        <w:rPr>
          <w:rFonts w:ascii="Calibri" w:eastAsia="Calibri" w:hAnsi="Calibri" w:cs="Calibri"/>
          <w:szCs w:val="20"/>
          <w:lang w:val="en-AU"/>
        </w:rPr>
        <w:t>The minimum activation rates to achieve a benefit/cost ratio of exactly 1.0 (at a 7% discount rate) are also shown on</w:t>
      </w:r>
      <w:r w:rsidR="00E401CD">
        <w:rPr>
          <w:rFonts w:ascii="Calibri" w:eastAsia="Calibri" w:hAnsi="Calibri" w:cs="Calibri"/>
          <w:szCs w:val="20"/>
          <w:lang w:val="en-AU"/>
        </w:rPr>
        <w:t xml:space="preserve"> </w:t>
      </w:r>
      <w:r w:rsidR="00E401CD" w:rsidRPr="00E401CD">
        <w:rPr>
          <w:rFonts w:ascii="Calibri" w:eastAsia="Calibri" w:hAnsi="Calibri" w:cs="Calibri"/>
          <w:b/>
          <w:szCs w:val="20"/>
          <w:lang w:val="en-AU"/>
        </w:rPr>
        <w:t>Figure 7</w:t>
      </w:r>
      <w:r w:rsidRPr="00A37634">
        <w:rPr>
          <w:rFonts w:ascii="Calibri" w:eastAsia="Calibri" w:hAnsi="Calibri" w:cs="Calibri"/>
          <w:szCs w:val="20"/>
          <w:lang w:val="en-AU"/>
        </w:rPr>
        <w:t xml:space="preserve">. To achieve cost-effectiveness in Australia, at least 2% of the total AC stock needs to be activated by 2035, 6% of the pool pump controller stock, 11% of the water heater stock and 3% of the EV charge controller stock. For New Zealand, the minimum cost-effective activation rates are higher. </w:t>
      </w:r>
    </w:p>
    <w:p w14:paraId="3184B453"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There will also be on-going administrative and business costs to service providers associated with maintaining records of activated appliances and communicating with participants, estimated at $20 per activated appliance per year. It is assumed that this will also cover business profits for DRSPs. Payments to participants – whether as targeted incentives or general tariff reductions – do not constitute a separate cost to DR programs. They represent one financial channel for returning economic benefit to consumers. Other channels include tariff adjustments, annual bonuses and payments per DR event.  </w:t>
      </w:r>
    </w:p>
    <w:p w14:paraId="5F5292C8" w14:textId="77777777" w:rsidR="00A37634" w:rsidRPr="00A37634" w:rsidRDefault="00A37634" w:rsidP="00A37634">
      <w:pPr>
        <w:spacing w:before="20" w:after="40" w:line="240" w:lineRule="auto"/>
        <w:jc w:val="center"/>
        <w:rPr>
          <w:rFonts w:ascii="Calibri" w:eastAsia="Cambria" w:hAnsi="Calibri" w:cs="Calibri"/>
          <w:b/>
          <w:bCs/>
          <w:sz w:val="20"/>
          <w:szCs w:val="16"/>
          <w:lang w:val="en-AU"/>
        </w:rPr>
      </w:pPr>
      <w:bookmarkStart w:id="47" w:name="_Ref11699783"/>
      <w:bookmarkStart w:id="48" w:name="_Hlk12976838"/>
    </w:p>
    <w:p w14:paraId="7DD5E82E" w14:textId="77777777" w:rsidR="00A37634" w:rsidRPr="00A37634" w:rsidRDefault="00A37634" w:rsidP="00A37634">
      <w:pPr>
        <w:spacing w:before="20" w:after="40" w:line="240" w:lineRule="auto"/>
        <w:jc w:val="center"/>
        <w:rPr>
          <w:rFonts w:ascii="Calibri" w:eastAsia="Cambria" w:hAnsi="Calibri" w:cs="Calibri"/>
          <w:b/>
          <w:bCs/>
          <w:sz w:val="20"/>
          <w:szCs w:val="16"/>
          <w:lang w:val="en-AU"/>
        </w:rPr>
      </w:pPr>
    </w:p>
    <w:p w14:paraId="09A6CC5D" w14:textId="77777777" w:rsidR="007C7289" w:rsidRDefault="007C7289">
      <w:pPr>
        <w:rPr>
          <w:rFonts w:ascii="Calibri" w:eastAsia="Cambria" w:hAnsi="Calibri" w:cs="Calibri"/>
          <w:b/>
          <w:bCs/>
          <w:sz w:val="20"/>
          <w:szCs w:val="16"/>
          <w:lang w:val="en-AU"/>
        </w:rPr>
      </w:pPr>
      <w:bookmarkStart w:id="49" w:name="_Toc16500984"/>
      <w:r>
        <w:rPr>
          <w:rFonts w:ascii="Calibri" w:eastAsia="Cambria" w:hAnsi="Calibri" w:cs="Calibri"/>
          <w:b/>
          <w:bCs/>
          <w:sz w:val="20"/>
          <w:szCs w:val="16"/>
          <w:lang w:val="en-AU"/>
        </w:rPr>
        <w:br w:type="page"/>
      </w:r>
    </w:p>
    <w:p w14:paraId="123931A3" w14:textId="170CB3DF" w:rsidR="00A37634" w:rsidRPr="00A37634" w:rsidRDefault="00A37634" w:rsidP="00A37634">
      <w:pPr>
        <w:spacing w:before="240" w:after="120" w:line="240" w:lineRule="auto"/>
        <w:jc w:val="center"/>
        <w:rPr>
          <w:rFonts w:ascii="Calibri" w:eastAsia="Cambria" w:hAnsi="Calibri" w:cs="Calibri"/>
          <w:b/>
          <w:bCs/>
          <w:sz w:val="20"/>
          <w:szCs w:val="16"/>
          <w:lang w:val="en-AU"/>
        </w:rPr>
      </w:pPr>
      <w:r w:rsidRPr="00A37634">
        <w:rPr>
          <w:rFonts w:ascii="Calibri" w:eastAsia="Cambria" w:hAnsi="Calibri" w:cs="Calibri"/>
          <w:b/>
          <w:bCs/>
          <w:sz w:val="20"/>
          <w:szCs w:val="16"/>
          <w:lang w:val="en-AU"/>
        </w:rPr>
        <w:t xml:space="preserve">Figure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Figure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7</w:t>
      </w:r>
      <w:r w:rsidRPr="00A37634">
        <w:rPr>
          <w:rFonts w:ascii="Calibri" w:eastAsia="Cambria" w:hAnsi="Calibri" w:cs="Calibri"/>
          <w:b/>
          <w:bCs/>
          <w:noProof/>
          <w:sz w:val="20"/>
          <w:szCs w:val="16"/>
          <w:lang w:val="en-AU"/>
        </w:rPr>
        <w:fldChar w:fldCharType="end"/>
      </w:r>
      <w:bookmarkEnd w:id="47"/>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Projected activation rates (High, Medium, Low and Minimum)</w:t>
      </w:r>
      <w:bookmarkEnd w:id="49"/>
    </w:p>
    <w:bookmarkEnd w:id="48"/>
    <w:p w14:paraId="3731F6AF" w14:textId="77777777" w:rsidR="00A37634" w:rsidRPr="00A37634" w:rsidRDefault="00A37634" w:rsidP="00A37634">
      <w:pPr>
        <w:spacing w:after="120" w:line="276" w:lineRule="auto"/>
        <w:jc w:val="center"/>
        <w:rPr>
          <w:rFonts w:ascii="Calibri" w:eastAsia="Calibri" w:hAnsi="Calibri" w:cs="Calibri"/>
          <w:szCs w:val="20"/>
          <w:lang w:val="en-AU"/>
        </w:rPr>
      </w:pPr>
      <w:r w:rsidRPr="00A37634">
        <w:rPr>
          <w:rFonts w:ascii="Calibri" w:eastAsia="Calibri" w:hAnsi="Calibri" w:cs="Calibri"/>
          <w:noProof/>
          <w:szCs w:val="20"/>
          <w:lang w:val="en-AU" w:eastAsia="en-AU"/>
        </w:rPr>
        <w:drawing>
          <wp:inline distT="0" distB="0" distL="0" distR="0" wp14:anchorId="63123EF2" wp14:editId="0603900A">
            <wp:extent cx="4025927" cy="2924175"/>
            <wp:effectExtent l="19050" t="19050" r="12700" b="9525"/>
            <wp:docPr id="20" name="Picture 20"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40563" cy="2934806"/>
                    </a:xfrm>
                    <a:prstGeom prst="rect">
                      <a:avLst/>
                    </a:prstGeom>
                    <a:noFill/>
                    <a:ln>
                      <a:solidFill>
                        <a:sysClr val="windowText" lastClr="000000"/>
                      </a:solidFill>
                    </a:ln>
                  </pic:spPr>
                </pic:pic>
              </a:graphicData>
            </a:graphic>
          </wp:inline>
        </w:drawing>
      </w:r>
    </w:p>
    <w:p w14:paraId="12D16175" w14:textId="487B079D"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50" w:name="_Ref13034848"/>
      <w:bookmarkStart w:id="51" w:name="_Toc16500985"/>
      <w:r w:rsidRPr="00A37634">
        <w:rPr>
          <w:rFonts w:ascii="Calibri" w:eastAsia="Cambria" w:hAnsi="Calibri" w:cs="Calibri"/>
          <w:b/>
          <w:bCs/>
          <w:sz w:val="20"/>
          <w:szCs w:val="16"/>
          <w:lang w:val="en-AU"/>
        </w:rPr>
        <w:t xml:space="preserve">Figure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Figure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8</w:t>
      </w:r>
      <w:r w:rsidRPr="00A37634">
        <w:rPr>
          <w:rFonts w:ascii="Calibri" w:eastAsia="Cambria" w:hAnsi="Calibri" w:cs="Calibri"/>
          <w:b/>
          <w:bCs/>
          <w:noProof/>
          <w:sz w:val="20"/>
          <w:szCs w:val="16"/>
          <w:lang w:val="en-AU"/>
        </w:rPr>
        <w:fldChar w:fldCharType="end"/>
      </w:r>
      <w:bookmarkEnd w:id="50"/>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Projected peak demand and impact on peak demand (Medium activation) rates</w:t>
      </w:r>
      <w:bookmarkEnd w:id="51"/>
    </w:p>
    <w:p w14:paraId="05947CBB" w14:textId="77777777" w:rsidR="00A37634" w:rsidRPr="00A37634" w:rsidRDefault="00A37634" w:rsidP="00A37634">
      <w:pPr>
        <w:spacing w:after="120" w:line="276" w:lineRule="auto"/>
        <w:jc w:val="center"/>
        <w:rPr>
          <w:rFonts w:ascii="Calibri" w:eastAsia="Calibri" w:hAnsi="Calibri" w:cs="Calibri"/>
          <w:szCs w:val="20"/>
          <w:lang w:val="en-AU"/>
        </w:rPr>
      </w:pPr>
      <w:r w:rsidRPr="00A37634">
        <w:rPr>
          <w:rFonts w:ascii="Calibri" w:eastAsia="Calibri" w:hAnsi="Calibri" w:cs="Calibri"/>
          <w:noProof/>
          <w:szCs w:val="20"/>
          <w:lang w:val="en-AU" w:eastAsia="en-AU"/>
        </w:rPr>
        <w:drawing>
          <wp:inline distT="0" distB="0" distL="0" distR="0" wp14:anchorId="4CA3CF8A" wp14:editId="51B991A5">
            <wp:extent cx="4019550" cy="2924110"/>
            <wp:effectExtent l="19050" t="19050" r="19050" b="10160"/>
            <wp:docPr id="12" name="Picture 12"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85319" cy="2971955"/>
                    </a:xfrm>
                    <a:prstGeom prst="rect">
                      <a:avLst/>
                    </a:prstGeom>
                    <a:noFill/>
                    <a:ln>
                      <a:solidFill>
                        <a:sysClr val="windowText" lastClr="000000"/>
                      </a:solidFill>
                    </a:ln>
                  </pic:spPr>
                </pic:pic>
              </a:graphicData>
            </a:graphic>
          </wp:inline>
        </w:drawing>
      </w:r>
    </w:p>
    <w:p w14:paraId="2C81C064" w14:textId="77777777" w:rsidR="00A37634" w:rsidRPr="00A37634" w:rsidRDefault="00A37634" w:rsidP="00A37634">
      <w:pPr>
        <w:spacing w:before="24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All compliant products would be capable of DRM 1 (which enables cycling off and on by the remote agent) as well as part-load operation (DRMs 2 and 3). The strategy which DRSPs follow when exercising DLC will depend on the granularity of their control systems, i.e. whether they broadcast the same DLC signals throughout their network or call different groups of appliances and different DRMs in different areas. The presence of DRM 2 and DRM 3 increases the flexibility of response available, and increases participation rates because consumers are more inclined to enter a DLC contract if there is assurance of partial service during peak events. DRM 4 is necessary for events where increased load is required.  </w:t>
      </w:r>
    </w:p>
    <w:p w14:paraId="08BE877C" w14:textId="375D80F8" w:rsidR="00A37634" w:rsidRPr="00063CCE" w:rsidRDefault="00A37634" w:rsidP="00A37634">
      <w:pPr>
        <w:spacing w:before="120" w:after="120" w:line="276" w:lineRule="auto"/>
        <w:rPr>
          <w:rFonts w:ascii="Calibri" w:eastAsia="Cambria" w:hAnsi="Calibri" w:cs="Calibri"/>
          <w:b/>
          <w:bCs/>
          <w:sz w:val="20"/>
          <w:szCs w:val="16"/>
          <w:lang w:val="en-AU"/>
        </w:rPr>
      </w:pPr>
      <w:r w:rsidRPr="00A37634">
        <w:rPr>
          <w:rFonts w:ascii="Calibri" w:eastAsia="Calibri" w:hAnsi="Calibri" w:cs="Calibri"/>
          <w:szCs w:val="20"/>
          <w:lang w:val="en-AU"/>
        </w:rPr>
        <w:t>The total MW of appliance load available for curtailment during non-emergency (or ‘routine’) peak load events in Australia, with ACs reduced to 50% load and pool pump, water heater and EV charging loads switched off completely, ranges from about 2,</w:t>
      </w:r>
      <w:r w:rsidRPr="00BB0627">
        <w:rPr>
          <w:rFonts w:ascii="Calibri" w:eastAsia="Calibri" w:hAnsi="Calibri" w:cs="Calibri"/>
          <w:szCs w:val="20"/>
          <w:lang w:val="en-AU"/>
        </w:rPr>
        <w:t>800 MW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_Ref14777407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5</w:t>
      </w:r>
      <w:r w:rsidRPr="00BB0627">
        <w:rPr>
          <w:rFonts w:ascii="Calibri" w:eastAsia="Calibri" w:hAnsi="Calibri" w:cs="Calibri"/>
          <w:b/>
          <w:szCs w:val="20"/>
          <w:lang w:val="en-AU"/>
        </w:rPr>
        <w:fldChar w:fldCharType="end"/>
      </w:r>
      <w:r w:rsidRPr="00BB0627">
        <w:rPr>
          <w:rFonts w:ascii="Calibri" w:eastAsia="Calibri" w:hAnsi="Calibri" w:cs="Calibri"/>
          <w:szCs w:val="20"/>
          <w:lang w:val="en-AU"/>
        </w:rPr>
        <w:t>) to 5,190 MW</w:t>
      </w:r>
      <w:r w:rsidRPr="00A37634">
        <w:rPr>
          <w:rFonts w:ascii="Calibri" w:eastAsia="Calibri" w:hAnsi="Calibri" w:cs="Calibri"/>
          <w:szCs w:val="20"/>
          <w:lang w:val="en-AU"/>
        </w:rPr>
        <w:t xml:space="preserve">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_Ref392238878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7</w:t>
      </w:r>
      <w:r w:rsidRPr="00BB0627">
        <w:rPr>
          <w:rFonts w:ascii="Calibri" w:eastAsia="Calibri" w:hAnsi="Calibri" w:cs="Calibri"/>
          <w:b/>
          <w:szCs w:val="20"/>
          <w:lang w:val="en-AU"/>
        </w:rPr>
        <w:fldChar w:fldCharType="end"/>
      </w:r>
      <w:r w:rsidRPr="00A37634">
        <w:rPr>
          <w:rFonts w:ascii="Calibri" w:eastAsia="Calibri" w:hAnsi="Calibri" w:cs="Calibri"/>
          <w:szCs w:val="20"/>
          <w:lang w:val="en-AU"/>
        </w:rPr>
        <w:t xml:space="preserve">), with the likely value around 3,620 </w:t>
      </w:r>
      <w:r w:rsidRPr="00E401CD">
        <w:rPr>
          <w:rFonts w:ascii="Calibri" w:eastAsia="Calibri" w:hAnsi="Calibri" w:cs="Calibri"/>
          <w:szCs w:val="20"/>
          <w:lang w:val="en-AU"/>
        </w:rPr>
        <w:t>MW</w:t>
      </w:r>
      <w:r w:rsidR="00E401CD" w:rsidRPr="00E401CD">
        <w:rPr>
          <w:rFonts w:ascii="Calibri" w:eastAsia="Calibri" w:hAnsi="Calibri" w:cs="Calibri"/>
          <w:szCs w:val="20"/>
          <w:lang w:val="en-AU"/>
        </w:rPr>
        <w:t xml:space="preserve"> (</w:t>
      </w:r>
      <w:r w:rsidR="00E401CD" w:rsidRPr="00BB0627">
        <w:rPr>
          <w:rFonts w:ascii="Calibri" w:eastAsia="Calibri" w:hAnsi="Calibri" w:cs="Calibri"/>
          <w:b/>
          <w:szCs w:val="20"/>
          <w:lang w:val="en-AU"/>
        </w:rPr>
        <w:t>Table 6</w:t>
      </w:r>
      <w:r w:rsidRPr="00E401CD">
        <w:rPr>
          <w:rFonts w:ascii="Calibri" w:eastAsia="Calibri" w:hAnsi="Calibri" w:cs="Calibri"/>
          <w:szCs w:val="20"/>
          <w:lang w:val="en-AU"/>
        </w:rPr>
        <w:t>). This is equ</w:t>
      </w:r>
      <w:r w:rsidRPr="00A37634">
        <w:rPr>
          <w:rFonts w:ascii="Calibri" w:eastAsia="Calibri" w:hAnsi="Calibri" w:cs="Calibri"/>
          <w:szCs w:val="20"/>
          <w:lang w:val="en-AU"/>
        </w:rPr>
        <w:t>ivalent to 60% of the total projected growth in peak demand on the State and Territory networks to 2035. In other words, if properly factored into network planning, use of the projected DR capability could more than halve network investment requirements over the next 15 years. The most likely load available for routine curtailment in New Zealand is 380 MW.</w:t>
      </w:r>
    </w:p>
    <w:p w14:paraId="10605AA5" w14:textId="6779B0F5" w:rsidR="00A37634" w:rsidRPr="00E401CD" w:rsidRDefault="00A37634" w:rsidP="00A37634">
      <w:pPr>
        <w:spacing w:before="120" w:after="120" w:line="276" w:lineRule="auto"/>
        <w:rPr>
          <w:rFonts w:ascii="Calibri" w:eastAsia="Calibri" w:hAnsi="Calibri" w:cs="Calibri"/>
          <w:szCs w:val="20"/>
          <w:lang w:val="en-AU"/>
        </w:rPr>
      </w:pPr>
      <w:r w:rsidRPr="000516A3">
        <w:rPr>
          <w:rFonts w:ascii="Calibri" w:eastAsia="Calibri" w:hAnsi="Calibri" w:cs="Calibri"/>
          <w:b/>
          <w:szCs w:val="20"/>
          <w:lang w:val="en-AU"/>
        </w:rPr>
        <w:fldChar w:fldCharType="begin"/>
      </w:r>
      <w:r w:rsidRPr="000516A3">
        <w:rPr>
          <w:rFonts w:ascii="Calibri" w:eastAsia="Calibri" w:hAnsi="Calibri" w:cs="Calibri"/>
          <w:b/>
          <w:szCs w:val="20"/>
          <w:lang w:val="en-AU"/>
        </w:rPr>
        <w:instrText xml:space="preserve"> REF _Ref11701882 \h  \* MERGEFORMAT </w:instrText>
      </w:r>
      <w:r w:rsidRPr="000516A3">
        <w:rPr>
          <w:rFonts w:ascii="Calibri" w:eastAsia="Calibri" w:hAnsi="Calibri" w:cs="Calibri"/>
          <w:b/>
          <w:szCs w:val="20"/>
          <w:lang w:val="en-AU"/>
        </w:rPr>
      </w:r>
      <w:r w:rsidRPr="000516A3">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Figure </w:t>
      </w:r>
      <w:r w:rsidR="00181136" w:rsidRPr="00181136">
        <w:rPr>
          <w:rFonts w:ascii="Calibri" w:eastAsia="Calibri" w:hAnsi="Calibri" w:cs="Calibri"/>
          <w:b/>
          <w:noProof/>
          <w:szCs w:val="20"/>
          <w:lang w:val="en-AU"/>
        </w:rPr>
        <w:t>9</w:t>
      </w:r>
      <w:r w:rsidRPr="000516A3">
        <w:rPr>
          <w:rFonts w:ascii="Calibri" w:eastAsia="Calibri" w:hAnsi="Calibri" w:cs="Calibri"/>
          <w:b/>
          <w:szCs w:val="20"/>
          <w:lang w:val="en-AU"/>
        </w:rPr>
        <w:fldChar w:fldCharType="end"/>
      </w:r>
      <w:r w:rsidRPr="000516A3">
        <w:rPr>
          <w:rFonts w:ascii="Calibri" w:eastAsia="Calibri" w:hAnsi="Calibri" w:cs="Calibri"/>
          <w:b/>
          <w:szCs w:val="20"/>
          <w:lang w:val="en-AU"/>
        </w:rPr>
        <w:t xml:space="preserve"> </w:t>
      </w:r>
      <w:r w:rsidRPr="00A37634">
        <w:rPr>
          <w:rFonts w:ascii="Calibri" w:eastAsia="Calibri" w:hAnsi="Calibri" w:cs="Calibri"/>
          <w:szCs w:val="20"/>
          <w:lang w:val="en-AU"/>
        </w:rPr>
        <w:t xml:space="preserve">illustrates the NPV of cost and benefits for Australia (at 7% discount rate) under the Low, Medium and High activation scenarios.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_Ref14014073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3</w:t>
      </w:r>
      <w:r w:rsidRPr="00BB0627">
        <w:rPr>
          <w:rFonts w:ascii="Calibri" w:eastAsia="Calibri" w:hAnsi="Calibri" w:cs="Calibri"/>
          <w:b/>
          <w:szCs w:val="20"/>
          <w:lang w:val="en-AU"/>
        </w:rPr>
        <w:fldChar w:fldCharType="end"/>
      </w:r>
      <w:r w:rsidRPr="00A37634">
        <w:rPr>
          <w:rFonts w:ascii="Calibri" w:eastAsia="Calibri" w:hAnsi="Calibri" w:cs="Calibri"/>
          <w:szCs w:val="20"/>
          <w:lang w:val="en-AU"/>
        </w:rPr>
        <w:t xml:space="preserve"> and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_Ref13050589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4</w:t>
      </w:r>
      <w:r w:rsidRPr="00BB0627">
        <w:rPr>
          <w:rFonts w:ascii="Calibri" w:eastAsia="Calibri" w:hAnsi="Calibri" w:cs="Calibri"/>
          <w:b/>
          <w:szCs w:val="20"/>
          <w:lang w:val="en-AU"/>
        </w:rPr>
        <w:fldChar w:fldCharType="end"/>
      </w:r>
      <w:r w:rsidRPr="00A37634">
        <w:rPr>
          <w:rFonts w:ascii="Calibri" w:eastAsia="Calibri" w:hAnsi="Calibri" w:cs="Calibri"/>
          <w:szCs w:val="20"/>
          <w:lang w:val="en-AU"/>
        </w:rPr>
        <w:t xml:space="preserve"> summarise the Benefit/Cost (B/C) ratios for each appliance type for Australia and New Zealand respectively. </w:t>
      </w:r>
      <w:bookmarkStart w:id="52" w:name="_Hlk11339429"/>
      <w:r w:rsidRPr="00A37634">
        <w:rPr>
          <w:rFonts w:ascii="Calibri" w:eastAsia="Calibri" w:hAnsi="Calibri" w:cs="Calibri"/>
          <w:szCs w:val="20"/>
          <w:lang w:val="en-AU"/>
        </w:rPr>
        <w:t xml:space="preserve">Changing the discount rates has negligible effect on the B/C ratios due to the fact that both costs and benefits are dominated by capital costs incurred or avoided in specific years, and not by streams of energy expenditures or savings, as would be the case with energy efficiency measures. The proposal is cost-effective in all jurisdictions apart from the </w:t>
      </w:r>
      <w:r w:rsidRPr="00E401CD">
        <w:rPr>
          <w:rFonts w:ascii="Calibri" w:eastAsia="Calibri" w:hAnsi="Calibri" w:cs="Calibri"/>
          <w:szCs w:val="20"/>
          <w:lang w:val="en-AU"/>
        </w:rPr>
        <w:t xml:space="preserve">NT (see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_Ref14777407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5</w:t>
      </w:r>
      <w:r w:rsidRPr="00BB0627">
        <w:rPr>
          <w:rFonts w:ascii="Calibri" w:eastAsia="Calibri" w:hAnsi="Calibri" w:cs="Calibri"/>
          <w:b/>
          <w:szCs w:val="20"/>
          <w:lang w:val="en-AU"/>
        </w:rPr>
        <w:fldChar w:fldCharType="end"/>
      </w:r>
      <w:r w:rsidRPr="00E401CD">
        <w:rPr>
          <w:rFonts w:ascii="Calibri" w:eastAsia="Calibri" w:hAnsi="Calibri" w:cs="Calibri"/>
          <w:szCs w:val="20"/>
          <w:lang w:val="en-AU"/>
        </w:rPr>
        <w:t xml:space="preserve"> to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_Ref392238878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7</w:t>
      </w:r>
      <w:r w:rsidRPr="00BB0627">
        <w:rPr>
          <w:rFonts w:ascii="Calibri" w:eastAsia="Calibri" w:hAnsi="Calibri" w:cs="Calibri"/>
          <w:b/>
          <w:szCs w:val="20"/>
          <w:lang w:val="en-AU"/>
        </w:rPr>
        <w:fldChar w:fldCharType="end"/>
      </w:r>
      <w:r w:rsidRPr="00E401CD">
        <w:rPr>
          <w:rFonts w:ascii="Calibri" w:eastAsia="Calibri" w:hAnsi="Calibri" w:cs="Calibri"/>
          <w:szCs w:val="20"/>
          <w:lang w:val="en-AU"/>
        </w:rPr>
        <w:t>).</w:t>
      </w:r>
    </w:p>
    <w:p w14:paraId="5B822110"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proposal is estimated to yield accrued net benefits in the range $2,260 million to $4,270 million net present value (NPV) with the most likely value around $2,970 million, at a benefit/cost ratio of 4.1. This is equivalent to a net benefit of over $300 NPV for each Australian household, or nearly $400 for each of the 7.5 million appliances projected to be under DR control by 2035. (This would represent about 28% of the total stock of those appliances.)</w:t>
      </w:r>
    </w:p>
    <w:p w14:paraId="2A3B5AB3"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For New Zealand, the proposal is estimated to yield accrued net benefits in the range $NZ 130 million to $330 million NPV with the most likely value around $210 million, at a benefit/cost ratio of 2.5. This is equivalent to a net benefit of about $115 NPV for each New Zealand household. </w:t>
      </w:r>
    </w:p>
    <w:p w14:paraId="4213507B" w14:textId="74F57210" w:rsid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separate cost and benefits for each appliance are indicated </w:t>
      </w:r>
      <w:proofErr w:type="gramStart"/>
      <w:r w:rsidRPr="00A37634">
        <w:rPr>
          <w:rFonts w:ascii="Calibri" w:eastAsia="Calibri" w:hAnsi="Calibri" w:cs="Calibri"/>
          <w:szCs w:val="20"/>
          <w:lang w:val="en-AU"/>
        </w:rPr>
        <w:t>in</w:t>
      </w:r>
      <w:r w:rsidR="002F0C41">
        <w:rPr>
          <w:rFonts w:ascii="Calibri" w:eastAsia="Calibri" w:hAnsi="Calibri" w:cs="Calibri"/>
          <w:szCs w:val="20"/>
          <w:lang w:val="en-AU"/>
        </w:rPr>
        <w:t xml:space="preserve"> </w:t>
      </w:r>
      <w:r w:rsidRPr="00A37634">
        <w:rPr>
          <w:rFonts w:ascii="Calibri" w:eastAsia="Calibri" w:hAnsi="Calibri" w:cs="Calibri"/>
          <w:szCs w:val="20"/>
          <w:lang w:val="en-AU"/>
        </w:rPr>
        <w:t xml:space="preserve"> to</w:t>
      </w:r>
      <w:proofErr w:type="gramEnd"/>
      <w:r w:rsidRPr="00A37634">
        <w:rPr>
          <w:rFonts w:ascii="Calibri" w:eastAsia="Calibri" w:hAnsi="Calibri" w:cs="Calibri"/>
          <w:szCs w:val="20"/>
          <w:lang w:val="en-AU"/>
        </w:rPr>
        <w:t xml:space="preserve">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_Ref14778934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noProof/>
          <w:szCs w:val="20"/>
          <w:lang w:val="en-AU"/>
        </w:rPr>
        <w:t>Table</w:t>
      </w:r>
      <w:r w:rsidR="00181136" w:rsidRPr="00A37634">
        <w:rPr>
          <w:rFonts w:ascii="Calibri" w:eastAsia="Cambria" w:hAnsi="Calibri" w:cs="Calibri"/>
          <w:b/>
          <w:bCs/>
          <w:sz w:val="20"/>
          <w:szCs w:val="16"/>
          <w:lang w:val="en-AU"/>
        </w:rPr>
        <w:t xml:space="preserve"> </w:t>
      </w:r>
      <w:r w:rsidR="00181136">
        <w:rPr>
          <w:rFonts w:ascii="Calibri" w:eastAsia="Cambria" w:hAnsi="Calibri" w:cs="Calibri"/>
          <w:b/>
          <w:bCs/>
          <w:noProof/>
          <w:sz w:val="20"/>
          <w:szCs w:val="16"/>
          <w:lang w:val="en-AU"/>
        </w:rPr>
        <w:t>10</w:t>
      </w:r>
      <w:r w:rsidRPr="00BB0627">
        <w:rPr>
          <w:rFonts w:ascii="Calibri" w:eastAsia="Calibri" w:hAnsi="Calibri" w:cs="Calibri"/>
          <w:b/>
          <w:szCs w:val="20"/>
          <w:lang w:val="en-AU"/>
        </w:rPr>
        <w:fldChar w:fldCharType="end"/>
      </w:r>
      <w:r w:rsidRPr="00A37634">
        <w:rPr>
          <w:rFonts w:ascii="Calibri" w:eastAsia="Calibri" w:hAnsi="Calibri" w:cs="Calibri"/>
          <w:szCs w:val="20"/>
          <w:lang w:val="en-AU"/>
        </w:rPr>
        <w:t xml:space="preserve"> (for Australia) and to </w:t>
      </w:r>
      <w:r w:rsidRPr="00BB0627">
        <w:rPr>
          <w:rFonts w:ascii="Calibri" w:eastAsia="Calibri" w:hAnsi="Calibri" w:cs="Calibri"/>
          <w:b/>
          <w:szCs w:val="20"/>
          <w:lang w:val="en-AU"/>
        </w:rPr>
        <w:fldChar w:fldCharType="begin"/>
      </w:r>
      <w:r w:rsidRPr="00BB0627">
        <w:rPr>
          <w:rFonts w:ascii="Calibri" w:eastAsia="Calibri" w:hAnsi="Calibri" w:cs="Calibri"/>
          <w:b/>
          <w:szCs w:val="20"/>
          <w:lang w:val="en-AU"/>
        </w:rPr>
        <w:instrText xml:space="preserve"> REF _Ref14778906 \h  \* MERGEFORMAT </w:instrText>
      </w:r>
      <w:r w:rsidRPr="00BB0627">
        <w:rPr>
          <w:rFonts w:ascii="Calibri" w:eastAsia="Calibri" w:hAnsi="Calibri" w:cs="Calibri"/>
          <w:b/>
          <w:szCs w:val="20"/>
          <w:lang w:val="en-AU"/>
        </w:rPr>
      </w:r>
      <w:r w:rsidRPr="00BB0627">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13</w:t>
      </w:r>
      <w:r w:rsidRPr="00BB0627">
        <w:rPr>
          <w:rFonts w:ascii="Calibri" w:eastAsia="Calibri" w:hAnsi="Calibri" w:cs="Calibri"/>
          <w:b/>
          <w:szCs w:val="20"/>
          <w:lang w:val="en-AU"/>
        </w:rPr>
        <w:fldChar w:fldCharType="end"/>
      </w:r>
      <w:r w:rsidRPr="00A37634">
        <w:rPr>
          <w:rFonts w:ascii="Calibri" w:eastAsia="Calibri" w:hAnsi="Calibri" w:cs="Calibri"/>
          <w:szCs w:val="20"/>
          <w:lang w:val="en-AU"/>
        </w:rPr>
        <w:t xml:space="preserve"> (New Zealand). In all cases, ACs account for the majority of the benefits. </w:t>
      </w:r>
    </w:p>
    <w:p w14:paraId="4F182B76" w14:textId="77777777" w:rsidR="000B2AF8" w:rsidRPr="00A37634" w:rsidRDefault="000B2AF8" w:rsidP="00A37634">
      <w:pPr>
        <w:spacing w:before="120" w:after="120" w:line="276" w:lineRule="auto"/>
        <w:rPr>
          <w:rFonts w:ascii="Calibri" w:eastAsia="Calibri" w:hAnsi="Calibri" w:cs="Calibri"/>
          <w:szCs w:val="20"/>
          <w:lang w:val="en-AU"/>
        </w:rPr>
      </w:pPr>
    </w:p>
    <w:p w14:paraId="62695F14" w14:textId="40FD5844" w:rsidR="00A37634" w:rsidRPr="000B2AF8" w:rsidRDefault="00A37634" w:rsidP="000B2AF8">
      <w:pPr>
        <w:spacing w:before="240" w:after="120" w:line="240" w:lineRule="auto"/>
        <w:jc w:val="center"/>
        <w:rPr>
          <w:rFonts w:ascii="Calibri" w:eastAsia="Cambria" w:hAnsi="Calibri" w:cs="Calibri"/>
          <w:b/>
          <w:bCs/>
          <w:sz w:val="20"/>
          <w:szCs w:val="16"/>
          <w:lang w:val="en-AU"/>
        </w:rPr>
      </w:pPr>
      <w:bookmarkStart w:id="53" w:name="_Ref11701882"/>
      <w:bookmarkStart w:id="54" w:name="_Toc16500986"/>
      <w:bookmarkEnd w:id="52"/>
      <w:r w:rsidRPr="000B2AF8">
        <w:rPr>
          <w:rFonts w:ascii="Calibri" w:eastAsia="Cambria" w:hAnsi="Calibri" w:cs="Calibri"/>
          <w:b/>
          <w:bCs/>
          <w:sz w:val="20"/>
          <w:szCs w:val="16"/>
          <w:lang w:val="en-AU"/>
        </w:rPr>
        <w:t xml:space="preserve">Figure </w:t>
      </w:r>
      <w:r w:rsidRPr="000B2AF8">
        <w:rPr>
          <w:rFonts w:ascii="Calibri" w:eastAsia="Cambria" w:hAnsi="Calibri" w:cs="Calibri"/>
          <w:b/>
          <w:bCs/>
          <w:sz w:val="20"/>
          <w:szCs w:val="16"/>
          <w:lang w:val="en-AU"/>
        </w:rPr>
        <w:fldChar w:fldCharType="begin"/>
      </w:r>
      <w:r w:rsidRPr="000B2AF8">
        <w:rPr>
          <w:rFonts w:ascii="Calibri" w:eastAsia="Cambria" w:hAnsi="Calibri" w:cs="Calibri"/>
          <w:b/>
          <w:bCs/>
          <w:sz w:val="20"/>
          <w:szCs w:val="16"/>
          <w:lang w:val="en-AU"/>
        </w:rPr>
        <w:instrText xml:space="preserve"> SEQ Figure \* ARABIC </w:instrText>
      </w:r>
      <w:r w:rsidRPr="000B2AF8">
        <w:rPr>
          <w:rFonts w:ascii="Calibri" w:eastAsia="Cambria" w:hAnsi="Calibri" w:cs="Calibri"/>
          <w:b/>
          <w:bCs/>
          <w:sz w:val="20"/>
          <w:szCs w:val="16"/>
          <w:lang w:val="en-AU"/>
        </w:rPr>
        <w:fldChar w:fldCharType="separate"/>
      </w:r>
      <w:r w:rsidR="00181136">
        <w:rPr>
          <w:rFonts w:ascii="Calibri" w:eastAsia="Cambria" w:hAnsi="Calibri" w:cs="Calibri"/>
          <w:b/>
          <w:bCs/>
          <w:noProof/>
          <w:sz w:val="20"/>
          <w:szCs w:val="16"/>
          <w:lang w:val="en-AU"/>
        </w:rPr>
        <w:t>9</w:t>
      </w:r>
      <w:r w:rsidRPr="000B2AF8">
        <w:rPr>
          <w:rFonts w:ascii="Calibri" w:eastAsia="Cambria" w:hAnsi="Calibri" w:cs="Calibri"/>
          <w:b/>
          <w:bCs/>
          <w:sz w:val="20"/>
          <w:szCs w:val="16"/>
          <w:lang w:val="en-AU"/>
        </w:rPr>
        <w:fldChar w:fldCharType="end"/>
      </w:r>
      <w:bookmarkEnd w:id="53"/>
      <w:r w:rsidRPr="000B2AF8">
        <w:rPr>
          <w:rFonts w:ascii="Calibri" w:eastAsia="Cambria" w:hAnsi="Calibri" w:cs="Calibri"/>
          <w:b/>
          <w:bCs/>
          <w:sz w:val="20"/>
          <w:szCs w:val="16"/>
          <w:lang w:val="en-AU"/>
        </w:rPr>
        <w:t>. Projected costs and benefits of the measure at various activation rates, Australia</w:t>
      </w:r>
      <w:bookmarkEnd w:id="54"/>
    </w:p>
    <w:p w14:paraId="7F716D09" w14:textId="77777777" w:rsidR="00A37634" w:rsidRPr="00A37634" w:rsidRDefault="00A37634" w:rsidP="00A37634">
      <w:pPr>
        <w:spacing w:after="120" w:line="276" w:lineRule="auto"/>
        <w:jc w:val="center"/>
        <w:rPr>
          <w:rFonts w:ascii="Calibri" w:eastAsia="Calibri" w:hAnsi="Calibri" w:cs="Calibri"/>
          <w:szCs w:val="20"/>
          <w:lang w:val="en-AU"/>
        </w:rPr>
      </w:pPr>
      <w:r w:rsidRPr="00A37634">
        <w:rPr>
          <w:rFonts w:ascii="Calibri" w:eastAsia="Calibri" w:hAnsi="Calibri" w:cs="Calibri"/>
          <w:noProof/>
          <w:szCs w:val="20"/>
          <w:lang w:val="en-AU" w:eastAsia="en-AU"/>
        </w:rPr>
        <w:drawing>
          <wp:inline distT="0" distB="0" distL="0" distR="0" wp14:anchorId="7E2570C3" wp14:editId="571541C1">
            <wp:extent cx="4678546" cy="3400425"/>
            <wp:effectExtent l="19050" t="19050" r="27305" b="9525"/>
            <wp:docPr id="9" name="Picture 9"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24950" cy="3579515"/>
                    </a:xfrm>
                    <a:prstGeom prst="rect">
                      <a:avLst/>
                    </a:prstGeom>
                    <a:noFill/>
                    <a:ln>
                      <a:solidFill>
                        <a:srgbClr val="4F81BD"/>
                      </a:solidFill>
                    </a:ln>
                  </pic:spPr>
                </pic:pic>
              </a:graphicData>
            </a:graphic>
          </wp:inline>
        </w:drawing>
      </w:r>
    </w:p>
    <w:p w14:paraId="3D70EC41" w14:textId="6195DFBA"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55" w:name="_Ref327217591"/>
      <w:bookmarkStart w:id="56" w:name="_Ref13050573"/>
      <w:bookmarkStart w:id="57" w:name="_Ref14014073"/>
      <w:bookmarkStart w:id="58" w:name="_Toc333183020"/>
      <w:bookmarkStart w:id="59" w:name="_Toc369633237"/>
      <w:bookmarkStart w:id="60" w:name="_Toc11360610"/>
      <w:bookmarkStart w:id="61" w:name="_Toc13085849"/>
      <w:bookmarkStart w:id="62" w:name="_Toc16500994"/>
      <w:bookmarkStart w:id="63" w:name="_Ref277854574"/>
      <w:bookmarkStart w:id="64" w:name="_Toc333183024"/>
      <w:bookmarkStart w:id="65" w:name="_Toc369633239"/>
      <w:bookmarkStart w:id="66" w:name="_Toc11360607"/>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3</w:t>
      </w:r>
      <w:r w:rsidRPr="00A37634">
        <w:rPr>
          <w:rFonts w:ascii="Calibri" w:eastAsia="Cambria" w:hAnsi="Calibri" w:cs="Calibri"/>
          <w:b/>
          <w:bCs/>
          <w:noProof/>
          <w:sz w:val="20"/>
          <w:szCs w:val="16"/>
          <w:lang w:val="en-AU"/>
        </w:rPr>
        <w:fldChar w:fldCharType="end"/>
      </w:r>
      <w:bookmarkEnd w:id="55"/>
      <w:bookmarkEnd w:id="56"/>
      <w:bookmarkEnd w:id="57"/>
      <w:r w:rsidRPr="00A37634">
        <w:rPr>
          <w:rFonts w:ascii="Calibri" w:eastAsia="Cambria" w:hAnsi="Calibri" w:cs="Calibri"/>
          <w:b/>
          <w:bCs/>
          <w:sz w:val="20"/>
          <w:szCs w:val="16"/>
          <w:lang w:val="en-AU"/>
        </w:rPr>
        <w:t>. Benefit/Cost ratio variations by discount rate and appliance type</w:t>
      </w:r>
      <w:bookmarkEnd w:id="58"/>
      <w:bookmarkEnd w:id="59"/>
      <w:r w:rsidRPr="00A37634">
        <w:rPr>
          <w:rFonts w:ascii="Calibri" w:eastAsia="Cambria" w:hAnsi="Calibri" w:cs="Calibri"/>
          <w:b/>
          <w:bCs/>
          <w:sz w:val="20"/>
          <w:szCs w:val="16"/>
          <w:lang w:val="en-AU"/>
        </w:rPr>
        <w:t>, Australia</w:t>
      </w:r>
      <w:bookmarkEnd w:id="60"/>
      <w:bookmarkEnd w:id="61"/>
      <w:bookmarkEnd w:id="62"/>
    </w:p>
    <w:tbl>
      <w:tblPr>
        <w:tblW w:w="6557" w:type="dxa"/>
        <w:jc w:val="center"/>
        <w:tblLook w:val="04A0" w:firstRow="1" w:lastRow="0" w:firstColumn="1" w:lastColumn="0" w:noHBand="0" w:noVBand="1"/>
      </w:tblPr>
      <w:tblGrid>
        <w:gridCol w:w="1689"/>
        <w:gridCol w:w="980"/>
        <w:gridCol w:w="963"/>
        <w:gridCol w:w="975"/>
        <w:gridCol w:w="975"/>
        <w:gridCol w:w="975"/>
      </w:tblGrid>
      <w:tr w:rsidR="00A37634" w:rsidRPr="00A37634" w14:paraId="3F1679A9" w14:textId="77777777" w:rsidTr="007C7289">
        <w:trPr>
          <w:trHeight w:val="271"/>
          <w:jc w:val="center"/>
        </w:trPr>
        <w:tc>
          <w:tcPr>
            <w:tcW w:w="1689" w:type="dxa"/>
            <w:tcBorders>
              <w:top w:val="single" w:sz="4" w:space="0" w:color="auto"/>
              <w:left w:val="single" w:sz="4" w:space="0" w:color="auto"/>
              <w:bottom w:val="nil"/>
              <w:right w:val="nil"/>
            </w:tcBorders>
            <w:shd w:val="clear" w:color="auto" w:fill="auto"/>
            <w:noWrap/>
            <w:vAlign w:val="bottom"/>
            <w:hideMark/>
          </w:tcPr>
          <w:p w14:paraId="3024485D"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 </w:t>
            </w:r>
          </w:p>
        </w:tc>
        <w:tc>
          <w:tcPr>
            <w:tcW w:w="2918" w:type="dxa"/>
            <w:gridSpan w:val="3"/>
            <w:tcBorders>
              <w:top w:val="single" w:sz="4" w:space="0" w:color="auto"/>
              <w:left w:val="single" w:sz="4" w:space="0" w:color="auto"/>
              <w:bottom w:val="nil"/>
              <w:right w:val="single" w:sz="4" w:space="0" w:color="auto"/>
            </w:tcBorders>
            <w:shd w:val="clear" w:color="auto" w:fill="auto"/>
            <w:noWrap/>
            <w:vAlign w:val="bottom"/>
            <w:hideMark/>
          </w:tcPr>
          <w:p w14:paraId="7AF8EDF3"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Medium Activation</w:t>
            </w:r>
          </w:p>
        </w:tc>
        <w:tc>
          <w:tcPr>
            <w:tcW w:w="975" w:type="dxa"/>
            <w:tcBorders>
              <w:top w:val="single" w:sz="4" w:space="0" w:color="auto"/>
              <w:left w:val="nil"/>
              <w:bottom w:val="nil"/>
              <w:right w:val="nil"/>
            </w:tcBorders>
            <w:shd w:val="clear" w:color="auto" w:fill="auto"/>
            <w:noWrap/>
            <w:vAlign w:val="bottom"/>
            <w:hideMark/>
          </w:tcPr>
          <w:p w14:paraId="3ACD7F22"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Low</w:t>
            </w:r>
            <w:r w:rsidRPr="00A37634">
              <w:rPr>
                <w:rFonts w:ascii="Calibri" w:eastAsia="Times New Roman" w:hAnsi="Calibri" w:cs="Calibri"/>
                <w:color w:val="000000"/>
                <w:sz w:val="18"/>
                <w:szCs w:val="18"/>
                <w:lang w:val="en-AU" w:eastAsia="en-AU"/>
              </w:rPr>
              <w:br/>
              <w:t>Activation</w:t>
            </w:r>
          </w:p>
        </w:tc>
        <w:tc>
          <w:tcPr>
            <w:tcW w:w="975" w:type="dxa"/>
            <w:tcBorders>
              <w:top w:val="single" w:sz="4" w:space="0" w:color="auto"/>
              <w:left w:val="nil"/>
              <w:bottom w:val="nil"/>
              <w:right w:val="single" w:sz="4" w:space="0" w:color="auto"/>
            </w:tcBorders>
            <w:shd w:val="clear" w:color="auto" w:fill="auto"/>
            <w:noWrap/>
            <w:vAlign w:val="bottom"/>
            <w:hideMark/>
          </w:tcPr>
          <w:p w14:paraId="78931EEE"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High</w:t>
            </w:r>
            <w:r w:rsidRPr="00A37634">
              <w:rPr>
                <w:rFonts w:ascii="Calibri" w:eastAsia="Times New Roman" w:hAnsi="Calibri" w:cs="Calibri"/>
                <w:color w:val="000000"/>
                <w:sz w:val="18"/>
                <w:szCs w:val="18"/>
                <w:lang w:val="en-AU" w:eastAsia="en-AU"/>
              </w:rPr>
              <w:br/>
              <w:t>Activation</w:t>
            </w:r>
          </w:p>
        </w:tc>
      </w:tr>
      <w:tr w:rsidR="00A37634" w:rsidRPr="00A37634" w14:paraId="08A221F7" w14:textId="77777777" w:rsidTr="007C7289">
        <w:trPr>
          <w:trHeight w:val="271"/>
          <w:jc w:val="center"/>
        </w:trPr>
        <w:tc>
          <w:tcPr>
            <w:tcW w:w="1689" w:type="dxa"/>
            <w:tcBorders>
              <w:top w:val="nil"/>
              <w:left w:val="single" w:sz="4" w:space="0" w:color="auto"/>
              <w:bottom w:val="single" w:sz="4" w:space="0" w:color="auto"/>
              <w:right w:val="nil"/>
            </w:tcBorders>
            <w:shd w:val="clear" w:color="auto" w:fill="auto"/>
            <w:noWrap/>
            <w:vAlign w:val="bottom"/>
            <w:hideMark/>
          </w:tcPr>
          <w:p w14:paraId="5C462322"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 </w:t>
            </w:r>
          </w:p>
        </w:tc>
        <w:tc>
          <w:tcPr>
            <w:tcW w:w="980" w:type="dxa"/>
            <w:tcBorders>
              <w:top w:val="nil"/>
              <w:left w:val="single" w:sz="4" w:space="0" w:color="auto"/>
              <w:bottom w:val="nil"/>
              <w:right w:val="nil"/>
            </w:tcBorders>
            <w:shd w:val="clear" w:color="auto" w:fill="auto"/>
            <w:noWrap/>
            <w:vAlign w:val="bottom"/>
            <w:hideMark/>
          </w:tcPr>
          <w:p w14:paraId="09BEA7EC"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Discount rate 3%</w:t>
            </w:r>
          </w:p>
        </w:tc>
        <w:tc>
          <w:tcPr>
            <w:tcW w:w="963" w:type="dxa"/>
            <w:tcBorders>
              <w:top w:val="nil"/>
              <w:left w:val="nil"/>
              <w:bottom w:val="nil"/>
              <w:right w:val="nil"/>
            </w:tcBorders>
            <w:shd w:val="clear" w:color="auto" w:fill="auto"/>
            <w:noWrap/>
            <w:vAlign w:val="bottom"/>
            <w:hideMark/>
          </w:tcPr>
          <w:p w14:paraId="723CB0AB"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Discount</w:t>
            </w:r>
            <w:r w:rsidRPr="00A37634">
              <w:rPr>
                <w:rFonts w:ascii="Calibri" w:eastAsia="Times New Roman" w:hAnsi="Calibri" w:cs="Calibri"/>
                <w:color w:val="000000"/>
                <w:sz w:val="18"/>
                <w:szCs w:val="18"/>
                <w:lang w:val="en-AU" w:eastAsia="en-AU"/>
              </w:rPr>
              <w:br/>
              <w:t>rate 7%</w:t>
            </w:r>
          </w:p>
        </w:tc>
        <w:tc>
          <w:tcPr>
            <w:tcW w:w="975" w:type="dxa"/>
            <w:tcBorders>
              <w:top w:val="nil"/>
              <w:left w:val="nil"/>
              <w:bottom w:val="nil"/>
              <w:right w:val="single" w:sz="4" w:space="0" w:color="auto"/>
            </w:tcBorders>
            <w:shd w:val="clear" w:color="auto" w:fill="auto"/>
            <w:noWrap/>
            <w:vAlign w:val="bottom"/>
            <w:hideMark/>
          </w:tcPr>
          <w:p w14:paraId="1D528935"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Discount rate 10%</w:t>
            </w:r>
          </w:p>
        </w:tc>
        <w:tc>
          <w:tcPr>
            <w:tcW w:w="975" w:type="dxa"/>
            <w:tcBorders>
              <w:top w:val="nil"/>
              <w:left w:val="nil"/>
              <w:bottom w:val="single" w:sz="4" w:space="0" w:color="auto"/>
              <w:right w:val="nil"/>
            </w:tcBorders>
            <w:shd w:val="clear" w:color="auto" w:fill="auto"/>
            <w:noWrap/>
            <w:vAlign w:val="bottom"/>
            <w:hideMark/>
          </w:tcPr>
          <w:p w14:paraId="02667E1D"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Discount rate 7%</w:t>
            </w:r>
          </w:p>
        </w:tc>
        <w:tc>
          <w:tcPr>
            <w:tcW w:w="975" w:type="dxa"/>
            <w:tcBorders>
              <w:top w:val="nil"/>
              <w:left w:val="nil"/>
              <w:bottom w:val="single" w:sz="4" w:space="0" w:color="auto"/>
              <w:right w:val="single" w:sz="4" w:space="0" w:color="auto"/>
            </w:tcBorders>
            <w:shd w:val="clear" w:color="auto" w:fill="auto"/>
            <w:noWrap/>
            <w:vAlign w:val="bottom"/>
            <w:hideMark/>
          </w:tcPr>
          <w:p w14:paraId="3100D96E"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Discount rate 7%</w:t>
            </w:r>
          </w:p>
        </w:tc>
      </w:tr>
      <w:tr w:rsidR="00A37634" w:rsidRPr="00A37634" w14:paraId="59E7FDEA" w14:textId="77777777" w:rsidTr="007C7289">
        <w:trPr>
          <w:trHeight w:val="271"/>
          <w:jc w:val="center"/>
        </w:trPr>
        <w:tc>
          <w:tcPr>
            <w:tcW w:w="1689" w:type="dxa"/>
            <w:tcBorders>
              <w:top w:val="nil"/>
              <w:left w:val="single" w:sz="4" w:space="0" w:color="auto"/>
              <w:bottom w:val="nil"/>
              <w:right w:val="nil"/>
            </w:tcBorders>
            <w:shd w:val="clear" w:color="auto" w:fill="auto"/>
            <w:noWrap/>
            <w:vAlign w:val="bottom"/>
            <w:hideMark/>
          </w:tcPr>
          <w:p w14:paraId="4EFDB268"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Air Conditioners</w:t>
            </w:r>
          </w:p>
        </w:tc>
        <w:tc>
          <w:tcPr>
            <w:tcW w:w="980" w:type="dxa"/>
            <w:tcBorders>
              <w:top w:val="single" w:sz="4" w:space="0" w:color="auto"/>
              <w:left w:val="single" w:sz="4" w:space="0" w:color="auto"/>
              <w:bottom w:val="nil"/>
              <w:right w:val="nil"/>
            </w:tcBorders>
            <w:shd w:val="clear" w:color="auto" w:fill="auto"/>
            <w:noWrap/>
            <w:vAlign w:val="bottom"/>
            <w:hideMark/>
          </w:tcPr>
          <w:p w14:paraId="75B22A07"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6.3</w:t>
            </w:r>
          </w:p>
        </w:tc>
        <w:tc>
          <w:tcPr>
            <w:tcW w:w="963" w:type="dxa"/>
            <w:tcBorders>
              <w:top w:val="single" w:sz="4" w:space="0" w:color="auto"/>
              <w:left w:val="nil"/>
              <w:bottom w:val="nil"/>
              <w:right w:val="nil"/>
            </w:tcBorders>
            <w:shd w:val="clear" w:color="auto" w:fill="auto"/>
            <w:noWrap/>
            <w:vAlign w:val="bottom"/>
            <w:hideMark/>
          </w:tcPr>
          <w:p w14:paraId="4F033E1C"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6.5</w:t>
            </w:r>
          </w:p>
        </w:tc>
        <w:tc>
          <w:tcPr>
            <w:tcW w:w="975" w:type="dxa"/>
            <w:tcBorders>
              <w:top w:val="single" w:sz="4" w:space="0" w:color="auto"/>
              <w:left w:val="nil"/>
              <w:bottom w:val="nil"/>
              <w:right w:val="single" w:sz="4" w:space="0" w:color="auto"/>
            </w:tcBorders>
            <w:shd w:val="clear" w:color="auto" w:fill="auto"/>
            <w:noWrap/>
            <w:vAlign w:val="bottom"/>
            <w:hideMark/>
          </w:tcPr>
          <w:p w14:paraId="4A72A3D8"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6.6</w:t>
            </w:r>
          </w:p>
        </w:tc>
        <w:tc>
          <w:tcPr>
            <w:tcW w:w="975" w:type="dxa"/>
            <w:tcBorders>
              <w:top w:val="nil"/>
              <w:left w:val="nil"/>
              <w:bottom w:val="nil"/>
              <w:right w:val="nil"/>
            </w:tcBorders>
            <w:shd w:val="clear" w:color="auto" w:fill="auto"/>
            <w:noWrap/>
            <w:vAlign w:val="bottom"/>
            <w:hideMark/>
          </w:tcPr>
          <w:p w14:paraId="2B046FFC"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6.6</w:t>
            </w:r>
          </w:p>
        </w:tc>
        <w:tc>
          <w:tcPr>
            <w:tcW w:w="975" w:type="dxa"/>
            <w:tcBorders>
              <w:top w:val="nil"/>
              <w:left w:val="nil"/>
              <w:bottom w:val="nil"/>
              <w:right w:val="single" w:sz="4" w:space="0" w:color="auto"/>
            </w:tcBorders>
            <w:shd w:val="clear" w:color="auto" w:fill="auto"/>
            <w:noWrap/>
            <w:vAlign w:val="bottom"/>
            <w:hideMark/>
          </w:tcPr>
          <w:p w14:paraId="6448DA35"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6.3</w:t>
            </w:r>
          </w:p>
        </w:tc>
      </w:tr>
      <w:tr w:rsidR="00A37634" w:rsidRPr="00A37634" w14:paraId="6EBEC687" w14:textId="77777777" w:rsidTr="007C7289">
        <w:trPr>
          <w:trHeight w:val="271"/>
          <w:jc w:val="center"/>
        </w:trPr>
        <w:tc>
          <w:tcPr>
            <w:tcW w:w="1689" w:type="dxa"/>
            <w:tcBorders>
              <w:top w:val="nil"/>
              <w:left w:val="single" w:sz="4" w:space="0" w:color="auto"/>
              <w:bottom w:val="nil"/>
              <w:right w:val="nil"/>
            </w:tcBorders>
            <w:shd w:val="clear" w:color="auto" w:fill="auto"/>
            <w:noWrap/>
            <w:vAlign w:val="bottom"/>
            <w:hideMark/>
          </w:tcPr>
          <w:p w14:paraId="3404F1F8"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PP Controllers</w:t>
            </w:r>
          </w:p>
        </w:tc>
        <w:tc>
          <w:tcPr>
            <w:tcW w:w="980" w:type="dxa"/>
            <w:tcBorders>
              <w:top w:val="nil"/>
              <w:left w:val="single" w:sz="4" w:space="0" w:color="auto"/>
              <w:bottom w:val="nil"/>
              <w:right w:val="nil"/>
            </w:tcBorders>
            <w:shd w:val="clear" w:color="auto" w:fill="auto"/>
            <w:noWrap/>
            <w:vAlign w:val="bottom"/>
            <w:hideMark/>
          </w:tcPr>
          <w:p w14:paraId="3CC38984"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2.8</w:t>
            </w:r>
          </w:p>
        </w:tc>
        <w:tc>
          <w:tcPr>
            <w:tcW w:w="963" w:type="dxa"/>
            <w:tcBorders>
              <w:top w:val="nil"/>
              <w:left w:val="nil"/>
              <w:bottom w:val="nil"/>
              <w:right w:val="nil"/>
            </w:tcBorders>
            <w:shd w:val="clear" w:color="auto" w:fill="auto"/>
            <w:noWrap/>
            <w:vAlign w:val="bottom"/>
            <w:hideMark/>
          </w:tcPr>
          <w:p w14:paraId="347F5F4D"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2.8</w:t>
            </w:r>
          </w:p>
        </w:tc>
        <w:tc>
          <w:tcPr>
            <w:tcW w:w="975" w:type="dxa"/>
            <w:tcBorders>
              <w:top w:val="nil"/>
              <w:left w:val="nil"/>
              <w:bottom w:val="nil"/>
              <w:right w:val="single" w:sz="4" w:space="0" w:color="auto"/>
            </w:tcBorders>
            <w:shd w:val="clear" w:color="auto" w:fill="auto"/>
            <w:noWrap/>
            <w:vAlign w:val="bottom"/>
            <w:hideMark/>
          </w:tcPr>
          <w:p w14:paraId="1577D85A"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2.8</w:t>
            </w:r>
          </w:p>
        </w:tc>
        <w:tc>
          <w:tcPr>
            <w:tcW w:w="975" w:type="dxa"/>
            <w:tcBorders>
              <w:top w:val="nil"/>
              <w:left w:val="nil"/>
              <w:bottom w:val="nil"/>
              <w:right w:val="nil"/>
            </w:tcBorders>
            <w:shd w:val="clear" w:color="auto" w:fill="auto"/>
            <w:noWrap/>
            <w:vAlign w:val="bottom"/>
            <w:hideMark/>
          </w:tcPr>
          <w:p w14:paraId="31B3C432"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2.5</w:t>
            </w:r>
          </w:p>
        </w:tc>
        <w:tc>
          <w:tcPr>
            <w:tcW w:w="975" w:type="dxa"/>
            <w:tcBorders>
              <w:top w:val="nil"/>
              <w:left w:val="nil"/>
              <w:bottom w:val="nil"/>
              <w:right w:val="single" w:sz="4" w:space="0" w:color="auto"/>
            </w:tcBorders>
            <w:shd w:val="clear" w:color="auto" w:fill="auto"/>
            <w:noWrap/>
            <w:vAlign w:val="bottom"/>
            <w:hideMark/>
          </w:tcPr>
          <w:p w14:paraId="587A814A"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3.2</w:t>
            </w:r>
          </w:p>
        </w:tc>
      </w:tr>
      <w:tr w:rsidR="00A37634" w:rsidRPr="00A37634" w14:paraId="397ED1C7" w14:textId="77777777" w:rsidTr="007C7289">
        <w:trPr>
          <w:trHeight w:val="271"/>
          <w:jc w:val="center"/>
        </w:trPr>
        <w:tc>
          <w:tcPr>
            <w:tcW w:w="1689" w:type="dxa"/>
            <w:tcBorders>
              <w:top w:val="nil"/>
              <w:left w:val="single" w:sz="4" w:space="0" w:color="auto"/>
              <w:bottom w:val="nil"/>
              <w:right w:val="nil"/>
            </w:tcBorders>
            <w:shd w:val="clear" w:color="auto" w:fill="auto"/>
            <w:noWrap/>
            <w:vAlign w:val="bottom"/>
            <w:hideMark/>
          </w:tcPr>
          <w:p w14:paraId="27D3104C"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Water heaters</w:t>
            </w:r>
          </w:p>
        </w:tc>
        <w:tc>
          <w:tcPr>
            <w:tcW w:w="980" w:type="dxa"/>
            <w:tcBorders>
              <w:top w:val="nil"/>
              <w:left w:val="single" w:sz="4" w:space="0" w:color="auto"/>
              <w:bottom w:val="nil"/>
              <w:right w:val="nil"/>
            </w:tcBorders>
            <w:shd w:val="clear" w:color="auto" w:fill="auto"/>
            <w:noWrap/>
            <w:vAlign w:val="bottom"/>
            <w:hideMark/>
          </w:tcPr>
          <w:p w14:paraId="6724F2C6"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2.0</w:t>
            </w:r>
          </w:p>
        </w:tc>
        <w:tc>
          <w:tcPr>
            <w:tcW w:w="963" w:type="dxa"/>
            <w:tcBorders>
              <w:top w:val="nil"/>
              <w:left w:val="nil"/>
              <w:bottom w:val="nil"/>
              <w:right w:val="nil"/>
            </w:tcBorders>
            <w:shd w:val="clear" w:color="auto" w:fill="auto"/>
            <w:noWrap/>
            <w:vAlign w:val="bottom"/>
            <w:hideMark/>
          </w:tcPr>
          <w:p w14:paraId="0F82747E"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1.9</w:t>
            </w:r>
          </w:p>
        </w:tc>
        <w:tc>
          <w:tcPr>
            <w:tcW w:w="975" w:type="dxa"/>
            <w:tcBorders>
              <w:top w:val="nil"/>
              <w:left w:val="nil"/>
              <w:bottom w:val="nil"/>
              <w:right w:val="single" w:sz="4" w:space="0" w:color="auto"/>
            </w:tcBorders>
            <w:shd w:val="clear" w:color="auto" w:fill="auto"/>
            <w:noWrap/>
            <w:vAlign w:val="bottom"/>
            <w:hideMark/>
          </w:tcPr>
          <w:p w14:paraId="1ABBC218"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1.8</w:t>
            </w:r>
          </w:p>
        </w:tc>
        <w:tc>
          <w:tcPr>
            <w:tcW w:w="975" w:type="dxa"/>
            <w:tcBorders>
              <w:top w:val="nil"/>
              <w:left w:val="nil"/>
              <w:bottom w:val="nil"/>
              <w:right w:val="nil"/>
            </w:tcBorders>
            <w:shd w:val="clear" w:color="auto" w:fill="auto"/>
            <w:noWrap/>
            <w:vAlign w:val="bottom"/>
            <w:hideMark/>
          </w:tcPr>
          <w:p w14:paraId="3011CEAA"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1.4</w:t>
            </w:r>
          </w:p>
        </w:tc>
        <w:tc>
          <w:tcPr>
            <w:tcW w:w="975" w:type="dxa"/>
            <w:tcBorders>
              <w:top w:val="nil"/>
              <w:left w:val="nil"/>
              <w:bottom w:val="nil"/>
              <w:right w:val="single" w:sz="4" w:space="0" w:color="auto"/>
            </w:tcBorders>
            <w:shd w:val="clear" w:color="auto" w:fill="auto"/>
            <w:noWrap/>
            <w:vAlign w:val="bottom"/>
            <w:hideMark/>
          </w:tcPr>
          <w:p w14:paraId="36320F39"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2.3</w:t>
            </w:r>
          </w:p>
        </w:tc>
      </w:tr>
      <w:tr w:rsidR="00A37634" w:rsidRPr="00A37634" w14:paraId="1296093F" w14:textId="77777777" w:rsidTr="007C7289">
        <w:trPr>
          <w:trHeight w:val="271"/>
          <w:jc w:val="center"/>
        </w:trPr>
        <w:tc>
          <w:tcPr>
            <w:tcW w:w="1689" w:type="dxa"/>
            <w:tcBorders>
              <w:top w:val="nil"/>
              <w:left w:val="single" w:sz="4" w:space="0" w:color="auto"/>
              <w:bottom w:val="nil"/>
              <w:right w:val="nil"/>
            </w:tcBorders>
            <w:shd w:val="clear" w:color="auto" w:fill="auto"/>
            <w:noWrap/>
            <w:vAlign w:val="bottom"/>
            <w:hideMark/>
          </w:tcPr>
          <w:p w14:paraId="5142917D"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EV chargers</w:t>
            </w:r>
          </w:p>
        </w:tc>
        <w:tc>
          <w:tcPr>
            <w:tcW w:w="980" w:type="dxa"/>
            <w:tcBorders>
              <w:top w:val="nil"/>
              <w:left w:val="single" w:sz="4" w:space="0" w:color="auto"/>
              <w:bottom w:val="nil"/>
              <w:right w:val="nil"/>
            </w:tcBorders>
            <w:shd w:val="clear" w:color="auto" w:fill="auto"/>
            <w:noWrap/>
            <w:vAlign w:val="bottom"/>
            <w:hideMark/>
          </w:tcPr>
          <w:p w14:paraId="01D44C38"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4.6</w:t>
            </w:r>
          </w:p>
        </w:tc>
        <w:tc>
          <w:tcPr>
            <w:tcW w:w="963" w:type="dxa"/>
            <w:tcBorders>
              <w:top w:val="nil"/>
              <w:left w:val="nil"/>
              <w:bottom w:val="nil"/>
              <w:right w:val="nil"/>
            </w:tcBorders>
            <w:shd w:val="clear" w:color="auto" w:fill="auto"/>
            <w:noWrap/>
            <w:vAlign w:val="bottom"/>
            <w:hideMark/>
          </w:tcPr>
          <w:p w14:paraId="487CB1B9"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4.5</w:t>
            </w:r>
          </w:p>
        </w:tc>
        <w:tc>
          <w:tcPr>
            <w:tcW w:w="975" w:type="dxa"/>
            <w:tcBorders>
              <w:top w:val="nil"/>
              <w:left w:val="nil"/>
              <w:bottom w:val="nil"/>
              <w:right w:val="single" w:sz="4" w:space="0" w:color="auto"/>
            </w:tcBorders>
            <w:shd w:val="clear" w:color="auto" w:fill="auto"/>
            <w:noWrap/>
            <w:vAlign w:val="bottom"/>
            <w:hideMark/>
          </w:tcPr>
          <w:p w14:paraId="72BAD495"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4.3</w:t>
            </w:r>
          </w:p>
        </w:tc>
        <w:tc>
          <w:tcPr>
            <w:tcW w:w="975" w:type="dxa"/>
            <w:tcBorders>
              <w:top w:val="nil"/>
              <w:left w:val="nil"/>
              <w:bottom w:val="nil"/>
              <w:right w:val="nil"/>
            </w:tcBorders>
            <w:shd w:val="clear" w:color="auto" w:fill="auto"/>
            <w:noWrap/>
            <w:vAlign w:val="bottom"/>
            <w:hideMark/>
          </w:tcPr>
          <w:p w14:paraId="047A48D3"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3.8</w:t>
            </w:r>
          </w:p>
        </w:tc>
        <w:tc>
          <w:tcPr>
            <w:tcW w:w="975" w:type="dxa"/>
            <w:tcBorders>
              <w:top w:val="nil"/>
              <w:left w:val="nil"/>
              <w:bottom w:val="nil"/>
              <w:right w:val="single" w:sz="4" w:space="0" w:color="auto"/>
            </w:tcBorders>
            <w:shd w:val="clear" w:color="auto" w:fill="auto"/>
            <w:noWrap/>
            <w:vAlign w:val="bottom"/>
            <w:hideMark/>
          </w:tcPr>
          <w:p w14:paraId="62488152"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5.0</w:t>
            </w:r>
          </w:p>
        </w:tc>
      </w:tr>
      <w:tr w:rsidR="00A37634" w:rsidRPr="00A37634" w14:paraId="58876B8D" w14:textId="77777777" w:rsidTr="007C7289">
        <w:trPr>
          <w:trHeight w:val="271"/>
          <w:jc w:val="center"/>
        </w:trPr>
        <w:tc>
          <w:tcPr>
            <w:tcW w:w="1689" w:type="dxa"/>
            <w:tcBorders>
              <w:top w:val="single" w:sz="4" w:space="0" w:color="auto"/>
              <w:left w:val="single" w:sz="4" w:space="0" w:color="auto"/>
              <w:bottom w:val="single" w:sz="4" w:space="0" w:color="auto"/>
              <w:right w:val="nil"/>
            </w:tcBorders>
            <w:shd w:val="clear" w:color="auto" w:fill="auto"/>
            <w:noWrap/>
            <w:vAlign w:val="bottom"/>
            <w:hideMark/>
          </w:tcPr>
          <w:p w14:paraId="20ED834A"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All products</w:t>
            </w:r>
          </w:p>
        </w:tc>
        <w:tc>
          <w:tcPr>
            <w:tcW w:w="980" w:type="dxa"/>
            <w:tcBorders>
              <w:top w:val="single" w:sz="4" w:space="0" w:color="auto"/>
              <w:left w:val="single" w:sz="4" w:space="0" w:color="auto"/>
              <w:bottom w:val="single" w:sz="4" w:space="0" w:color="auto"/>
              <w:right w:val="nil"/>
            </w:tcBorders>
            <w:shd w:val="clear" w:color="auto" w:fill="auto"/>
            <w:noWrap/>
            <w:vAlign w:val="bottom"/>
            <w:hideMark/>
          </w:tcPr>
          <w:p w14:paraId="52D279B6"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4.1</w:t>
            </w:r>
          </w:p>
        </w:tc>
        <w:tc>
          <w:tcPr>
            <w:tcW w:w="963" w:type="dxa"/>
            <w:tcBorders>
              <w:top w:val="single" w:sz="4" w:space="0" w:color="auto"/>
              <w:left w:val="nil"/>
              <w:bottom w:val="single" w:sz="4" w:space="0" w:color="auto"/>
              <w:right w:val="nil"/>
            </w:tcBorders>
            <w:shd w:val="clear" w:color="auto" w:fill="auto"/>
            <w:noWrap/>
            <w:vAlign w:val="bottom"/>
            <w:hideMark/>
          </w:tcPr>
          <w:p w14:paraId="6F940E0F"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4.1</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DEC5893"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4.1</w:t>
            </w:r>
          </w:p>
        </w:tc>
        <w:tc>
          <w:tcPr>
            <w:tcW w:w="975" w:type="dxa"/>
            <w:tcBorders>
              <w:top w:val="single" w:sz="4" w:space="0" w:color="auto"/>
              <w:left w:val="nil"/>
              <w:bottom w:val="single" w:sz="4" w:space="0" w:color="auto"/>
              <w:right w:val="nil"/>
            </w:tcBorders>
            <w:shd w:val="clear" w:color="auto" w:fill="auto"/>
            <w:noWrap/>
            <w:vAlign w:val="bottom"/>
            <w:hideMark/>
          </w:tcPr>
          <w:p w14:paraId="0F0ED473"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3.7</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6F8F979"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4.5</w:t>
            </w:r>
          </w:p>
        </w:tc>
      </w:tr>
    </w:tbl>
    <w:p w14:paraId="5E35DCD5" w14:textId="77777777" w:rsidR="00A37634" w:rsidRPr="00A37634" w:rsidRDefault="00A37634" w:rsidP="00A37634">
      <w:pPr>
        <w:spacing w:after="0" w:line="278" w:lineRule="auto"/>
        <w:jc w:val="center"/>
        <w:rPr>
          <w:rFonts w:ascii="Calibri" w:eastAsia="Cambria" w:hAnsi="Calibri" w:cs="Calibri"/>
          <w:sz w:val="16"/>
          <w:szCs w:val="24"/>
          <w:lang w:val="en-AU"/>
        </w:rPr>
      </w:pPr>
    </w:p>
    <w:p w14:paraId="5365C4B3" w14:textId="66C0F129"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67" w:name="_Ref11140334"/>
      <w:bookmarkStart w:id="68" w:name="_Ref13050589"/>
      <w:bookmarkStart w:id="69" w:name="_Toc11360611"/>
      <w:bookmarkStart w:id="70" w:name="_Toc13085850"/>
      <w:bookmarkStart w:id="71" w:name="_Toc16500995"/>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4</w:t>
      </w:r>
      <w:r w:rsidRPr="00A37634">
        <w:rPr>
          <w:rFonts w:ascii="Calibri" w:eastAsia="Cambria" w:hAnsi="Calibri" w:cs="Calibri"/>
          <w:b/>
          <w:bCs/>
          <w:noProof/>
          <w:sz w:val="20"/>
          <w:szCs w:val="16"/>
          <w:lang w:val="en-AU"/>
        </w:rPr>
        <w:fldChar w:fldCharType="end"/>
      </w:r>
      <w:bookmarkEnd w:id="67"/>
      <w:bookmarkEnd w:id="68"/>
      <w:r w:rsidRPr="00A37634">
        <w:rPr>
          <w:rFonts w:ascii="Calibri" w:eastAsia="Cambria" w:hAnsi="Calibri" w:cs="Calibri"/>
          <w:b/>
          <w:bCs/>
          <w:sz w:val="20"/>
          <w:szCs w:val="16"/>
          <w:lang w:val="en-AU"/>
        </w:rPr>
        <w:t>. Benefit/Cost ratio variations by discount rate and appliance type, New Zealand</w:t>
      </w:r>
      <w:bookmarkEnd w:id="69"/>
      <w:r w:rsidRPr="00A37634">
        <w:rPr>
          <w:rFonts w:ascii="Calibri" w:eastAsia="Cambria" w:hAnsi="Calibri" w:cs="Calibri"/>
          <w:b/>
          <w:bCs/>
          <w:sz w:val="20"/>
          <w:szCs w:val="16"/>
          <w:vertAlign w:val="superscript"/>
          <w:lang w:val="en-AU"/>
        </w:rPr>
        <w:footnoteReference w:id="64"/>
      </w:r>
      <w:bookmarkEnd w:id="70"/>
      <w:bookmarkEnd w:id="71"/>
    </w:p>
    <w:tbl>
      <w:tblPr>
        <w:tblW w:w="6566" w:type="dxa"/>
        <w:jc w:val="center"/>
        <w:tblLook w:val="04A0" w:firstRow="1" w:lastRow="0" w:firstColumn="1" w:lastColumn="0" w:noHBand="0" w:noVBand="1"/>
      </w:tblPr>
      <w:tblGrid>
        <w:gridCol w:w="1689"/>
        <w:gridCol w:w="980"/>
        <w:gridCol w:w="963"/>
        <w:gridCol w:w="976"/>
        <w:gridCol w:w="979"/>
        <w:gridCol w:w="979"/>
      </w:tblGrid>
      <w:tr w:rsidR="00A37634" w:rsidRPr="00A37634" w14:paraId="780491F7" w14:textId="77777777" w:rsidTr="007C7289">
        <w:trPr>
          <w:trHeight w:val="261"/>
          <w:jc w:val="center"/>
        </w:trPr>
        <w:tc>
          <w:tcPr>
            <w:tcW w:w="1689" w:type="dxa"/>
            <w:tcBorders>
              <w:top w:val="single" w:sz="4" w:space="0" w:color="auto"/>
              <w:left w:val="single" w:sz="4" w:space="0" w:color="auto"/>
              <w:bottom w:val="nil"/>
              <w:right w:val="nil"/>
            </w:tcBorders>
            <w:shd w:val="clear" w:color="auto" w:fill="auto"/>
            <w:noWrap/>
            <w:vAlign w:val="bottom"/>
            <w:hideMark/>
          </w:tcPr>
          <w:p w14:paraId="0237E165"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 </w:t>
            </w:r>
          </w:p>
        </w:tc>
        <w:tc>
          <w:tcPr>
            <w:tcW w:w="2919" w:type="dxa"/>
            <w:gridSpan w:val="3"/>
            <w:tcBorders>
              <w:top w:val="single" w:sz="4" w:space="0" w:color="auto"/>
              <w:left w:val="single" w:sz="4" w:space="0" w:color="auto"/>
              <w:bottom w:val="nil"/>
              <w:right w:val="single" w:sz="4" w:space="0" w:color="auto"/>
            </w:tcBorders>
            <w:shd w:val="clear" w:color="auto" w:fill="auto"/>
            <w:noWrap/>
            <w:vAlign w:val="bottom"/>
            <w:hideMark/>
          </w:tcPr>
          <w:p w14:paraId="34CE956A"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Medium Activation</w:t>
            </w:r>
          </w:p>
        </w:tc>
        <w:tc>
          <w:tcPr>
            <w:tcW w:w="979" w:type="dxa"/>
            <w:tcBorders>
              <w:top w:val="single" w:sz="4" w:space="0" w:color="auto"/>
              <w:left w:val="nil"/>
              <w:bottom w:val="nil"/>
              <w:right w:val="nil"/>
            </w:tcBorders>
            <w:shd w:val="clear" w:color="auto" w:fill="auto"/>
            <w:noWrap/>
            <w:vAlign w:val="bottom"/>
            <w:hideMark/>
          </w:tcPr>
          <w:p w14:paraId="7446E66A"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Low</w:t>
            </w:r>
            <w:r w:rsidRPr="00A37634">
              <w:rPr>
                <w:rFonts w:ascii="Calibri" w:eastAsia="Times New Roman" w:hAnsi="Calibri" w:cs="Calibri"/>
                <w:color w:val="000000"/>
                <w:sz w:val="18"/>
                <w:szCs w:val="18"/>
                <w:lang w:val="en-AU" w:eastAsia="en-AU"/>
              </w:rPr>
              <w:br/>
              <w:t>Activation</w:t>
            </w:r>
          </w:p>
        </w:tc>
        <w:tc>
          <w:tcPr>
            <w:tcW w:w="979" w:type="dxa"/>
            <w:tcBorders>
              <w:top w:val="single" w:sz="4" w:space="0" w:color="auto"/>
              <w:left w:val="nil"/>
              <w:bottom w:val="nil"/>
              <w:right w:val="single" w:sz="4" w:space="0" w:color="auto"/>
            </w:tcBorders>
            <w:shd w:val="clear" w:color="auto" w:fill="auto"/>
            <w:noWrap/>
            <w:vAlign w:val="bottom"/>
            <w:hideMark/>
          </w:tcPr>
          <w:p w14:paraId="5F02585B"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High</w:t>
            </w:r>
            <w:r w:rsidRPr="00A37634">
              <w:rPr>
                <w:rFonts w:ascii="Calibri" w:eastAsia="Times New Roman" w:hAnsi="Calibri" w:cs="Calibri"/>
                <w:color w:val="000000"/>
                <w:sz w:val="18"/>
                <w:szCs w:val="18"/>
                <w:lang w:val="en-AU" w:eastAsia="en-AU"/>
              </w:rPr>
              <w:br/>
              <w:t>Activation</w:t>
            </w:r>
          </w:p>
        </w:tc>
      </w:tr>
      <w:tr w:rsidR="00A37634" w:rsidRPr="00A37634" w14:paraId="2FEF5A40" w14:textId="77777777" w:rsidTr="007C7289">
        <w:trPr>
          <w:trHeight w:val="261"/>
          <w:jc w:val="center"/>
        </w:trPr>
        <w:tc>
          <w:tcPr>
            <w:tcW w:w="1689" w:type="dxa"/>
            <w:tcBorders>
              <w:top w:val="nil"/>
              <w:left w:val="single" w:sz="4" w:space="0" w:color="auto"/>
              <w:bottom w:val="single" w:sz="4" w:space="0" w:color="auto"/>
              <w:right w:val="nil"/>
            </w:tcBorders>
            <w:shd w:val="clear" w:color="auto" w:fill="auto"/>
            <w:noWrap/>
            <w:vAlign w:val="bottom"/>
            <w:hideMark/>
          </w:tcPr>
          <w:p w14:paraId="6260BB0C"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 </w:t>
            </w:r>
          </w:p>
        </w:tc>
        <w:tc>
          <w:tcPr>
            <w:tcW w:w="980" w:type="dxa"/>
            <w:tcBorders>
              <w:top w:val="nil"/>
              <w:left w:val="single" w:sz="4" w:space="0" w:color="auto"/>
              <w:bottom w:val="nil"/>
              <w:right w:val="nil"/>
            </w:tcBorders>
            <w:shd w:val="clear" w:color="auto" w:fill="auto"/>
            <w:noWrap/>
            <w:vAlign w:val="bottom"/>
            <w:hideMark/>
          </w:tcPr>
          <w:p w14:paraId="33F4A130"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Discount rate 3%</w:t>
            </w:r>
          </w:p>
        </w:tc>
        <w:tc>
          <w:tcPr>
            <w:tcW w:w="963" w:type="dxa"/>
            <w:tcBorders>
              <w:top w:val="nil"/>
              <w:left w:val="nil"/>
              <w:bottom w:val="nil"/>
              <w:right w:val="nil"/>
            </w:tcBorders>
            <w:shd w:val="clear" w:color="auto" w:fill="auto"/>
            <w:noWrap/>
            <w:vAlign w:val="bottom"/>
            <w:hideMark/>
          </w:tcPr>
          <w:p w14:paraId="4AD88282"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Discount</w:t>
            </w:r>
            <w:r w:rsidRPr="00A37634">
              <w:rPr>
                <w:rFonts w:ascii="Calibri" w:eastAsia="Times New Roman" w:hAnsi="Calibri" w:cs="Calibri"/>
                <w:color w:val="000000"/>
                <w:sz w:val="18"/>
                <w:szCs w:val="18"/>
                <w:lang w:val="en-AU" w:eastAsia="en-AU"/>
              </w:rPr>
              <w:br/>
              <w:t>rate 6%</w:t>
            </w:r>
          </w:p>
        </w:tc>
        <w:tc>
          <w:tcPr>
            <w:tcW w:w="976" w:type="dxa"/>
            <w:tcBorders>
              <w:top w:val="nil"/>
              <w:left w:val="nil"/>
              <w:bottom w:val="nil"/>
              <w:right w:val="single" w:sz="4" w:space="0" w:color="auto"/>
            </w:tcBorders>
            <w:shd w:val="clear" w:color="auto" w:fill="auto"/>
            <w:noWrap/>
            <w:vAlign w:val="bottom"/>
            <w:hideMark/>
          </w:tcPr>
          <w:p w14:paraId="6F13876C"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Discount rate 10%</w:t>
            </w:r>
          </w:p>
        </w:tc>
        <w:tc>
          <w:tcPr>
            <w:tcW w:w="979" w:type="dxa"/>
            <w:tcBorders>
              <w:top w:val="nil"/>
              <w:left w:val="nil"/>
              <w:bottom w:val="single" w:sz="4" w:space="0" w:color="auto"/>
              <w:right w:val="nil"/>
            </w:tcBorders>
            <w:shd w:val="clear" w:color="auto" w:fill="auto"/>
            <w:noWrap/>
            <w:vAlign w:val="bottom"/>
            <w:hideMark/>
          </w:tcPr>
          <w:p w14:paraId="5B3F1E0A"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Discount rate 6%</w:t>
            </w:r>
          </w:p>
        </w:tc>
        <w:tc>
          <w:tcPr>
            <w:tcW w:w="979" w:type="dxa"/>
            <w:tcBorders>
              <w:top w:val="nil"/>
              <w:left w:val="nil"/>
              <w:bottom w:val="single" w:sz="4" w:space="0" w:color="auto"/>
              <w:right w:val="single" w:sz="4" w:space="0" w:color="auto"/>
            </w:tcBorders>
            <w:shd w:val="clear" w:color="auto" w:fill="auto"/>
            <w:noWrap/>
            <w:vAlign w:val="bottom"/>
            <w:hideMark/>
          </w:tcPr>
          <w:p w14:paraId="1F703D60" w14:textId="77777777" w:rsidR="00A37634" w:rsidRPr="00A37634" w:rsidRDefault="00A37634" w:rsidP="00A37634">
            <w:pPr>
              <w:spacing w:after="0" w:line="240" w:lineRule="auto"/>
              <w:jc w:val="center"/>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Discount rate 6%</w:t>
            </w:r>
          </w:p>
        </w:tc>
      </w:tr>
      <w:tr w:rsidR="00A37634" w:rsidRPr="00A37634" w14:paraId="7718A52E" w14:textId="77777777" w:rsidTr="007C7289">
        <w:trPr>
          <w:trHeight w:val="261"/>
          <w:jc w:val="center"/>
        </w:trPr>
        <w:tc>
          <w:tcPr>
            <w:tcW w:w="1689" w:type="dxa"/>
            <w:tcBorders>
              <w:top w:val="nil"/>
              <w:left w:val="single" w:sz="4" w:space="0" w:color="auto"/>
              <w:bottom w:val="nil"/>
              <w:right w:val="nil"/>
            </w:tcBorders>
            <w:shd w:val="clear" w:color="auto" w:fill="auto"/>
            <w:noWrap/>
            <w:vAlign w:val="bottom"/>
            <w:hideMark/>
          </w:tcPr>
          <w:p w14:paraId="0C6622F1"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Air Conditioners</w:t>
            </w:r>
          </w:p>
        </w:tc>
        <w:tc>
          <w:tcPr>
            <w:tcW w:w="980" w:type="dxa"/>
            <w:tcBorders>
              <w:top w:val="single" w:sz="4" w:space="0" w:color="auto"/>
              <w:left w:val="single" w:sz="4" w:space="0" w:color="auto"/>
              <w:bottom w:val="nil"/>
              <w:right w:val="nil"/>
            </w:tcBorders>
            <w:shd w:val="clear" w:color="auto" w:fill="auto"/>
            <w:noWrap/>
            <w:vAlign w:val="bottom"/>
            <w:hideMark/>
          </w:tcPr>
          <w:p w14:paraId="45573B49"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4.3</w:t>
            </w:r>
          </w:p>
        </w:tc>
        <w:tc>
          <w:tcPr>
            <w:tcW w:w="963" w:type="dxa"/>
            <w:tcBorders>
              <w:top w:val="single" w:sz="4" w:space="0" w:color="auto"/>
              <w:left w:val="nil"/>
              <w:bottom w:val="nil"/>
              <w:right w:val="nil"/>
            </w:tcBorders>
            <w:shd w:val="clear" w:color="auto" w:fill="auto"/>
            <w:noWrap/>
            <w:vAlign w:val="bottom"/>
            <w:hideMark/>
          </w:tcPr>
          <w:p w14:paraId="3E8A4127"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4.5</w:t>
            </w:r>
          </w:p>
        </w:tc>
        <w:tc>
          <w:tcPr>
            <w:tcW w:w="976" w:type="dxa"/>
            <w:tcBorders>
              <w:top w:val="single" w:sz="4" w:space="0" w:color="auto"/>
              <w:left w:val="nil"/>
              <w:bottom w:val="nil"/>
              <w:right w:val="single" w:sz="4" w:space="0" w:color="auto"/>
            </w:tcBorders>
            <w:shd w:val="clear" w:color="auto" w:fill="auto"/>
            <w:noWrap/>
            <w:vAlign w:val="bottom"/>
            <w:hideMark/>
          </w:tcPr>
          <w:p w14:paraId="58F242A5"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4.5</w:t>
            </w:r>
          </w:p>
        </w:tc>
        <w:tc>
          <w:tcPr>
            <w:tcW w:w="979" w:type="dxa"/>
            <w:tcBorders>
              <w:top w:val="nil"/>
              <w:left w:val="nil"/>
              <w:bottom w:val="nil"/>
              <w:right w:val="nil"/>
            </w:tcBorders>
            <w:shd w:val="clear" w:color="auto" w:fill="auto"/>
            <w:noWrap/>
            <w:vAlign w:val="bottom"/>
            <w:hideMark/>
          </w:tcPr>
          <w:p w14:paraId="60F386BC"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4.3</w:t>
            </w:r>
          </w:p>
        </w:tc>
        <w:tc>
          <w:tcPr>
            <w:tcW w:w="979" w:type="dxa"/>
            <w:tcBorders>
              <w:top w:val="nil"/>
              <w:left w:val="nil"/>
              <w:bottom w:val="nil"/>
              <w:right w:val="single" w:sz="4" w:space="0" w:color="auto"/>
            </w:tcBorders>
            <w:shd w:val="clear" w:color="auto" w:fill="auto"/>
            <w:noWrap/>
            <w:vAlign w:val="bottom"/>
            <w:hideMark/>
          </w:tcPr>
          <w:p w14:paraId="7984CF7B"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4.8</w:t>
            </w:r>
          </w:p>
        </w:tc>
      </w:tr>
      <w:tr w:rsidR="00A37634" w:rsidRPr="00A37634" w14:paraId="1DDDA799" w14:textId="77777777" w:rsidTr="007C7289">
        <w:trPr>
          <w:trHeight w:val="261"/>
          <w:jc w:val="center"/>
        </w:trPr>
        <w:tc>
          <w:tcPr>
            <w:tcW w:w="1689" w:type="dxa"/>
            <w:tcBorders>
              <w:top w:val="nil"/>
              <w:left w:val="single" w:sz="4" w:space="0" w:color="auto"/>
              <w:bottom w:val="nil"/>
              <w:right w:val="nil"/>
            </w:tcBorders>
            <w:shd w:val="clear" w:color="auto" w:fill="auto"/>
            <w:noWrap/>
            <w:vAlign w:val="bottom"/>
            <w:hideMark/>
          </w:tcPr>
          <w:p w14:paraId="0785CD86"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PP Controllers</w:t>
            </w:r>
          </w:p>
        </w:tc>
        <w:tc>
          <w:tcPr>
            <w:tcW w:w="980" w:type="dxa"/>
            <w:tcBorders>
              <w:top w:val="nil"/>
              <w:left w:val="single" w:sz="4" w:space="0" w:color="auto"/>
              <w:bottom w:val="nil"/>
              <w:right w:val="nil"/>
            </w:tcBorders>
            <w:shd w:val="clear" w:color="auto" w:fill="auto"/>
            <w:noWrap/>
            <w:vAlign w:val="bottom"/>
            <w:hideMark/>
          </w:tcPr>
          <w:p w14:paraId="332A523D"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NA </w:t>
            </w:r>
          </w:p>
        </w:tc>
        <w:tc>
          <w:tcPr>
            <w:tcW w:w="963" w:type="dxa"/>
            <w:tcBorders>
              <w:top w:val="nil"/>
              <w:left w:val="nil"/>
              <w:bottom w:val="nil"/>
              <w:right w:val="nil"/>
            </w:tcBorders>
            <w:shd w:val="clear" w:color="auto" w:fill="auto"/>
            <w:noWrap/>
            <w:vAlign w:val="bottom"/>
            <w:hideMark/>
          </w:tcPr>
          <w:p w14:paraId="79A1CFB7"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NA</w:t>
            </w:r>
          </w:p>
        </w:tc>
        <w:tc>
          <w:tcPr>
            <w:tcW w:w="976" w:type="dxa"/>
            <w:tcBorders>
              <w:top w:val="nil"/>
              <w:left w:val="nil"/>
              <w:bottom w:val="nil"/>
              <w:right w:val="single" w:sz="4" w:space="0" w:color="auto"/>
            </w:tcBorders>
            <w:shd w:val="clear" w:color="auto" w:fill="auto"/>
            <w:noWrap/>
            <w:vAlign w:val="bottom"/>
            <w:hideMark/>
          </w:tcPr>
          <w:p w14:paraId="4FAA8C5A"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NA </w:t>
            </w:r>
          </w:p>
        </w:tc>
        <w:tc>
          <w:tcPr>
            <w:tcW w:w="979" w:type="dxa"/>
            <w:tcBorders>
              <w:top w:val="nil"/>
              <w:left w:val="nil"/>
              <w:bottom w:val="nil"/>
              <w:right w:val="nil"/>
            </w:tcBorders>
            <w:shd w:val="clear" w:color="auto" w:fill="auto"/>
            <w:noWrap/>
            <w:vAlign w:val="bottom"/>
            <w:hideMark/>
          </w:tcPr>
          <w:p w14:paraId="5CD72FB0"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NA</w:t>
            </w:r>
          </w:p>
        </w:tc>
        <w:tc>
          <w:tcPr>
            <w:tcW w:w="979" w:type="dxa"/>
            <w:tcBorders>
              <w:top w:val="nil"/>
              <w:left w:val="nil"/>
              <w:bottom w:val="nil"/>
              <w:right w:val="single" w:sz="4" w:space="0" w:color="auto"/>
            </w:tcBorders>
            <w:shd w:val="clear" w:color="auto" w:fill="auto"/>
            <w:noWrap/>
            <w:vAlign w:val="bottom"/>
            <w:hideMark/>
          </w:tcPr>
          <w:p w14:paraId="464D485B"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NA </w:t>
            </w:r>
          </w:p>
        </w:tc>
      </w:tr>
      <w:tr w:rsidR="00A37634" w:rsidRPr="00A37634" w14:paraId="0A35FF95" w14:textId="77777777" w:rsidTr="007C7289">
        <w:trPr>
          <w:trHeight w:val="261"/>
          <w:jc w:val="center"/>
        </w:trPr>
        <w:tc>
          <w:tcPr>
            <w:tcW w:w="1689" w:type="dxa"/>
            <w:tcBorders>
              <w:top w:val="nil"/>
              <w:left w:val="single" w:sz="4" w:space="0" w:color="auto"/>
              <w:bottom w:val="nil"/>
              <w:right w:val="nil"/>
            </w:tcBorders>
            <w:shd w:val="clear" w:color="auto" w:fill="auto"/>
            <w:noWrap/>
            <w:vAlign w:val="bottom"/>
            <w:hideMark/>
          </w:tcPr>
          <w:p w14:paraId="5B735892"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Water heaters</w:t>
            </w:r>
          </w:p>
        </w:tc>
        <w:tc>
          <w:tcPr>
            <w:tcW w:w="980" w:type="dxa"/>
            <w:tcBorders>
              <w:top w:val="nil"/>
              <w:left w:val="single" w:sz="4" w:space="0" w:color="auto"/>
              <w:bottom w:val="nil"/>
              <w:right w:val="nil"/>
            </w:tcBorders>
            <w:shd w:val="clear" w:color="auto" w:fill="auto"/>
            <w:noWrap/>
            <w:vAlign w:val="bottom"/>
            <w:hideMark/>
          </w:tcPr>
          <w:p w14:paraId="7319B785"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2.0</w:t>
            </w:r>
          </w:p>
        </w:tc>
        <w:tc>
          <w:tcPr>
            <w:tcW w:w="963" w:type="dxa"/>
            <w:tcBorders>
              <w:top w:val="nil"/>
              <w:left w:val="nil"/>
              <w:bottom w:val="nil"/>
              <w:right w:val="nil"/>
            </w:tcBorders>
            <w:shd w:val="clear" w:color="auto" w:fill="auto"/>
            <w:noWrap/>
            <w:vAlign w:val="bottom"/>
            <w:hideMark/>
          </w:tcPr>
          <w:p w14:paraId="3CA26B64"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2.1</w:t>
            </w:r>
          </w:p>
        </w:tc>
        <w:tc>
          <w:tcPr>
            <w:tcW w:w="976" w:type="dxa"/>
            <w:tcBorders>
              <w:top w:val="nil"/>
              <w:left w:val="nil"/>
              <w:bottom w:val="nil"/>
              <w:right w:val="single" w:sz="4" w:space="0" w:color="auto"/>
            </w:tcBorders>
            <w:shd w:val="clear" w:color="auto" w:fill="auto"/>
            <w:noWrap/>
            <w:vAlign w:val="bottom"/>
            <w:hideMark/>
          </w:tcPr>
          <w:p w14:paraId="3DFEC1C1"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2.0</w:t>
            </w:r>
          </w:p>
        </w:tc>
        <w:tc>
          <w:tcPr>
            <w:tcW w:w="979" w:type="dxa"/>
            <w:tcBorders>
              <w:top w:val="nil"/>
              <w:left w:val="nil"/>
              <w:bottom w:val="nil"/>
              <w:right w:val="nil"/>
            </w:tcBorders>
            <w:shd w:val="clear" w:color="auto" w:fill="auto"/>
            <w:noWrap/>
            <w:vAlign w:val="bottom"/>
            <w:hideMark/>
          </w:tcPr>
          <w:p w14:paraId="715BEE90"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1.5</w:t>
            </w:r>
          </w:p>
        </w:tc>
        <w:tc>
          <w:tcPr>
            <w:tcW w:w="979" w:type="dxa"/>
            <w:tcBorders>
              <w:top w:val="nil"/>
              <w:left w:val="nil"/>
              <w:bottom w:val="nil"/>
              <w:right w:val="single" w:sz="4" w:space="0" w:color="auto"/>
            </w:tcBorders>
            <w:shd w:val="clear" w:color="auto" w:fill="auto"/>
            <w:noWrap/>
            <w:vAlign w:val="bottom"/>
            <w:hideMark/>
          </w:tcPr>
          <w:p w14:paraId="6EDC0844"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2.5</w:t>
            </w:r>
          </w:p>
        </w:tc>
      </w:tr>
      <w:tr w:rsidR="00A37634" w:rsidRPr="00A37634" w14:paraId="5E724095" w14:textId="77777777" w:rsidTr="007C7289">
        <w:trPr>
          <w:trHeight w:val="261"/>
          <w:jc w:val="center"/>
        </w:trPr>
        <w:tc>
          <w:tcPr>
            <w:tcW w:w="1689" w:type="dxa"/>
            <w:tcBorders>
              <w:top w:val="nil"/>
              <w:left w:val="single" w:sz="4" w:space="0" w:color="auto"/>
              <w:bottom w:val="nil"/>
              <w:right w:val="nil"/>
            </w:tcBorders>
            <w:shd w:val="clear" w:color="auto" w:fill="auto"/>
            <w:noWrap/>
            <w:vAlign w:val="bottom"/>
            <w:hideMark/>
          </w:tcPr>
          <w:p w14:paraId="549AB9BD"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EV chargers</w:t>
            </w:r>
          </w:p>
        </w:tc>
        <w:tc>
          <w:tcPr>
            <w:tcW w:w="980" w:type="dxa"/>
            <w:tcBorders>
              <w:top w:val="nil"/>
              <w:left w:val="single" w:sz="4" w:space="0" w:color="auto"/>
              <w:bottom w:val="nil"/>
              <w:right w:val="nil"/>
            </w:tcBorders>
            <w:shd w:val="clear" w:color="auto" w:fill="auto"/>
            <w:noWrap/>
            <w:vAlign w:val="bottom"/>
            <w:hideMark/>
          </w:tcPr>
          <w:p w14:paraId="4ED473DB"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0.4</w:t>
            </w:r>
          </w:p>
        </w:tc>
        <w:tc>
          <w:tcPr>
            <w:tcW w:w="963" w:type="dxa"/>
            <w:tcBorders>
              <w:top w:val="nil"/>
              <w:left w:val="nil"/>
              <w:bottom w:val="nil"/>
              <w:right w:val="nil"/>
            </w:tcBorders>
            <w:shd w:val="clear" w:color="auto" w:fill="auto"/>
            <w:noWrap/>
            <w:vAlign w:val="bottom"/>
            <w:hideMark/>
          </w:tcPr>
          <w:p w14:paraId="476D7D7D"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0.4</w:t>
            </w:r>
          </w:p>
        </w:tc>
        <w:tc>
          <w:tcPr>
            <w:tcW w:w="976" w:type="dxa"/>
            <w:tcBorders>
              <w:top w:val="nil"/>
              <w:left w:val="nil"/>
              <w:bottom w:val="nil"/>
              <w:right w:val="single" w:sz="4" w:space="0" w:color="auto"/>
            </w:tcBorders>
            <w:shd w:val="clear" w:color="auto" w:fill="auto"/>
            <w:noWrap/>
            <w:vAlign w:val="bottom"/>
            <w:hideMark/>
          </w:tcPr>
          <w:p w14:paraId="4E73F196"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0.4</w:t>
            </w:r>
          </w:p>
        </w:tc>
        <w:tc>
          <w:tcPr>
            <w:tcW w:w="979" w:type="dxa"/>
            <w:tcBorders>
              <w:top w:val="nil"/>
              <w:left w:val="nil"/>
              <w:bottom w:val="nil"/>
              <w:right w:val="nil"/>
            </w:tcBorders>
            <w:shd w:val="clear" w:color="auto" w:fill="auto"/>
            <w:noWrap/>
            <w:vAlign w:val="bottom"/>
            <w:hideMark/>
          </w:tcPr>
          <w:p w14:paraId="5107E4C7"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0.3</w:t>
            </w:r>
          </w:p>
        </w:tc>
        <w:tc>
          <w:tcPr>
            <w:tcW w:w="979" w:type="dxa"/>
            <w:tcBorders>
              <w:top w:val="nil"/>
              <w:left w:val="nil"/>
              <w:bottom w:val="nil"/>
              <w:right w:val="single" w:sz="4" w:space="0" w:color="auto"/>
            </w:tcBorders>
            <w:shd w:val="clear" w:color="auto" w:fill="auto"/>
            <w:noWrap/>
            <w:vAlign w:val="bottom"/>
            <w:hideMark/>
          </w:tcPr>
          <w:p w14:paraId="36E0859A"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0.5</w:t>
            </w:r>
          </w:p>
        </w:tc>
      </w:tr>
      <w:tr w:rsidR="00A37634" w:rsidRPr="00A37634" w14:paraId="79A7910C" w14:textId="77777777" w:rsidTr="007C7289">
        <w:trPr>
          <w:trHeight w:val="261"/>
          <w:jc w:val="center"/>
        </w:trPr>
        <w:tc>
          <w:tcPr>
            <w:tcW w:w="1689" w:type="dxa"/>
            <w:tcBorders>
              <w:top w:val="single" w:sz="4" w:space="0" w:color="auto"/>
              <w:left w:val="single" w:sz="4" w:space="0" w:color="auto"/>
              <w:bottom w:val="single" w:sz="4" w:space="0" w:color="auto"/>
              <w:right w:val="nil"/>
            </w:tcBorders>
            <w:shd w:val="clear" w:color="auto" w:fill="auto"/>
            <w:noWrap/>
            <w:vAlign w:val="bottom"/>
            <w:hideMark/>
          </w:tcPr>
          <w:p w14:paraId="60247396" w14:textId="77777777" w:rsidR="00A37634" w:rsidRPr="00A37634" w:rsidRDefault="00A37634" w:rsidP="00A37634">
            <w:pPr>
              <w:spacing w:after="0" w:line="240" w:lineRule="auto"/>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All products</w:t>
            </w:r>
          </w:p>
        </w:tc>
        <w:tc>
          <w:tcPr>
            <w:tcW w:w="980" w:type="dxa"/>
            <w:tcBorders>
              <w:top w:val="single" w:sz="4" w:space="0" w:color="auto"/>
              <w:left w:val="single" w:sz="4" w:space="0" w:color="auto"/>
              <w:bottom w:val="single" w:sz="4" w:space="0" w:color="auto"/>
              <w:right w:val="nil"/>
            </w:tcBorders>
            <w:shd w:val="clear" w:color="auto" w:fill="auto"/>
            <w:noWrap/>
            <w:vAlign w:val="bottom"/>
            <w:hideMark/>
          </w:tcPr>
          <w:p w14:paraId="71732B10"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2.4</w:t>
            </w:r>
          </w:p>
        </w:tc>
        <w:tc>
          <w:tcPr>
            <w:tcW w:w="963" w:type="dxa"/>
            <w:tcBorders>
              <w:top w:val="single" w:sz="4" w:space="0" w:color="auto"/>
              <w:left w:val="nil"/>
              <w:bottom w:val="single" w:sz="4" w:space="0" w:color="auto"/>
              <w:right w:val="nil"/>
            </w:tcBorders>
            <w:shd w:val="clear" w:color="auto" w:fill="auto"/>
            <w:noWrap/>
            <w:vAlign w:val="bottom"/>
            <w:hideMark/>
          </w:tcPr>
          <w:p w14:paraId="6A480264"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2.5</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6790A0A6"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2.5</w:t>
            </w:r>
          </w:p>
        </w:tc>
        <w:tc>
          <w:tcPr>
            <w:tcW w:w="979" w:type="dxa"/>
            <w:tcBorders>
              <w:top w:val="single" w:sz="4" w:space="0" w:color="auto"/>
              <w:left w:val="nil"/>
              <w:bottom w:val="single" w:sz="4" w:space="0" w:color="auto"/>
              <w:right w:val="nil"/>
            </w:tcBorders>
            <w:shd w:val="clear" w:color="auto" w:fill="auto"/>
            <w:noWrap/>
            <w:vAlign w:val="bottom"/>
            <w:hideMark/>
          </w:tcPr>
          <w:p w14:paraId="326FF6D8"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2.0</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14:paraId="0C5D7D96" w14:textId="77777777" w:rsidR="00A37634" w:rsidRPr="00A37634" w:rsidRDefault="00A37634" w:rsidP="00A37634">
            <w:pPr>
              <w:spacing w:after="0" w:line="240" w:lineRule="auto"/>
              <w:jc w:val="right"/>
              <w:rPr>
                <w:rFonts w:ascii="Calibri" w:eastAsia="Times New Roman" w:hAnsi="Calibri" w:cs="Calibri"/>
                <w:color w:val="000000"/>
                <w:sz w:val="18"/>
                <w:szCs w:val="18"/>
                <w:lang w:val="en-AU" w:eastAsia="en-AU"/>
              </w:rPr>
            </w:pPr>
            <w:r w:rsidRPr="00A37634">
              <w:rPr>
                <w:rFonts w:ascii="Calibri" w:eastAsia="Times New Roman" w:hAnsi="Calibri" w:cs="Calibri"/>
                <w:color w:val="000000"/>
                <w:sz w:val="18"/>
                <w:szCs w:val="18"/>
                <w:lang w:val="en-AU" w:eastAsia="en-AU"/>
              </w:rPr>
              <w:t>2.9</w:t>
            </w:r>
          </w:p>
        </w:tc>
      </w:tr>
    </w:tbl>
    <w:p w14:paraId="2C7463FC" w14:textId="0CA67349" w:rsidR="00A37634" w:rsidRDefault="00A37634" w:rsidP="00A37634">
      <w:pPr>
        <w:spacing w:after="120" w:line="276" w:lineRule="auto"/>
        <w:rPr>
          <w:rFonts w:ascii="Calibri" w:eastAsia="Calibri" w:hAnsi="Calibri" w:cs="Calibri"/>
          <w:szCs w:val="20"/>
          <w:lang w:val="en-AU"/>
        </w:rPr>
      </w:pPr>
      <w:bookmarkStart w:id="72" w:name="_Ref13170157"/>
    </w:p>
    <w:p w14:paraId="5D884AE8" w14:textId="0C36F509"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73" w:name="_Ref14777407"/>
      <w:bookmarkStart w:id="74" w:name="_Toc16500996"/>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5</w:t>
      </w:r>
      <w:r w:rsidRPr="00A37634">
        <w:rPr>
          <w:rFonts w:ascii="Calibri" w:eastAsia="Cambria" w:hAnsi="Calibri" w:cs="Calibri"/>
          <w:b/>
          <w:bCs/>
          <w:noProof/>
          <w:sz w:val="20"/>
          <w:szCs w:val="16"/>
          <w:lang w:val="en-AU"/>
        </w:rPr>
        <w:fldChar w:fldCharType="end"/>
      </w:r>
      <w:bookmarkEnd w:id="63"/>
      <w:bookmarkEnd w:id="72"/>
      <w:bookmarkEnd w:id="73"/>
      <w:r w:rsidRPr="00A37634">
        <w:rPr>
          <w:rFonts w:ascii="Calibri" w:eastAsia="Cambria" w:hAnsi="Calibri" w:cs="Calibri"/>
          <w:b/>
          <w:bCs/>
          <w:sz w:val="20"/>
          <w:szCs w:val="16"/>
          <w:lang w:val="en-AU"/>
        </w:rPr>
        <w:t xml:space="preserve">. Projected costs and benefits by jurisdiction </w:t>
      </w:r>
      <w:bookmarkEnd w:id="64"/>
      <w:r w:rsidRPr="00A37634">
        <w:rPr>
          <w:rFonts w:ascii="Calibri" w:eastAsia="Cambria" w:hAnsi="Calibri" w:cs="Calibri"/>
          <w:b/>
          <w:bCs/>
          <w:sz w:val="20"/>
          <w:szCs w:val="16"/>
          <w:lang w:val="en-AU"/>
        </w:rPr>
        <w:t>(low activation</w:t>
      </w:r>
      <w:bookmarkEnd w:id="65"/>
      <w:r w:rsidRPr="00A37634">
        <w:rPr>
          <w:rFonts w:ascii="Calibri" w:eastAsia="Cambria" w:hAnsi="Calibri" w:cs="Calibri"/>
          <w:b/>
          <w:bCs/>
          <w:sz w:val="20"/>
          <w:szCs w:val="16"/>
          <w:lang w:val="en-AU"/>
        </w:rPr>
        <w:t>)</w:t>
      </w:r>
      <w:bookmarkEnd w:id="66"/>
      <w:bookmarkEnd w:id="74"/>
    </w:p>
    <w:tbl>
      <w:tblPr>
        <w:tblW w:w="8651" w:type="dxa"/>
        <w:jc w:val="center"/>
        <w:tblLayout w:type="fixed"/>
        <w:tblCellMar>
          <w:left w:w="0" w:type="dxa"/>
          <w:right w:w="0" w:type="dxa"/>
        </w:tblCellMar>
        <w:tblLook w:val="0000" w:firstRow="0" w:lastRow="0" w:firstColumn="0" w:lastColumn="0" w:noHBand="0" w:noVBand="0"/>
      </w:tblPr>
      <w:tblGrid>
        <w:gridCol w:w="1002"/>
        <w:gridCol w:w="1373"/>
        <w:gridCol w:w="1089"/>
        <w:gridCol w:w="1089"/>
        <w:gridCol w:w="1089"/>
        <w:gridCol w:w="874"/>
        <w:gridCol w:w="709"/>
        <w:gridCol w:w="786"/>
        <w:gridCol w:w="640"/>
      </w:tblGrid>
      <w:tr w:rsidR="00A37634" w:rsidRPr="00A37634" w14:paraId="1A7485CE" w14:textId="77777777" w:rsidTr="007C7289">
        <w:trPr>
          <w:cantSplit/>
          <w:trHeight w:val="533"/>
          <w:tblHeader/>
          <w:jc w:val="center"/>
        </w:trPr>
        <w:tc>
          <w:tcPr>
            <w:tcW w:w="1002" w:type="dxa"/>
            <w:vMerge w:val="restart"/>
            <w:tcBorders>
              <w:top w:val="single" w:sz="4" w:space="0" w:color="auto"/>
              <w:left w:val="single" w:sz="4" w:space="0" w:color="auto"/>
              <w:right w:val="nil"/>
            </w:tcBorders>
            <w:noWrap/>
          </w:tcPr>
          <w:p w14:paraId="50AE8331"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373" w:type="dxa"/>
            <w:vMerge w:val="restart"/>
            <w:tcBorders>
              <w:top w:val="single" w:sz="4" w:space="0" w:color="auto"/>
              <w:left w:val="nil"/>
              <w:right w:val="nil"/>
            </w:tcBorders>
            <w:noWrap/>
          </w:tcPr>
          <w:p w14:paraId="51EBD1A1"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 xml:space="preserve">Routine DLC Reduction available SMD 2035, </w:t>
            </w:r>
            <w:proofErr w:type="spellStart"/>
            <w:r w:rsidRPr="00A37634">
              <w:rPr>
                <w:rFonts w:ascii="Calibri" w:eastAsia="Times New Roman" w:hAnsi="Calibri" w:cs="Calibri"/>
                <w:b/>
                <w:sz w:val="18"/>
                <w:szCs w:val="18"/>
                <w:lang w:val="en-AU"/>
              </w:rPr>
              <w:t>MWe</w:t>
            </w:r>
            <w:proofErr w:type="spellEnd"/>
            <w:r w:rsidRPr="00A37634">
              <w:rPr>
                <w:rFonts w:ascii="Calibri" w:eastAsia="Times New Roman" w:hAnsi="Calibri" w:cs="Calibri"/>
                <w:b/>
                <w:sz w:val="18"/>
                <w:szCs w:val="18"/>
                <w:lang w:val="en-AU"/>
              </w:rPr>
              <w:t xml:space="preserve"> (a)</w:t>
            </w:r>
          </w:p>
        </w:tc>
        <w:tc>
          <w:tcPr>
            <w:tcW w:w="1089" w:type="dxa"/>
            <w:vMerge w:val="restart"/>
            <w:tcBorders>
              <w:top w:val="single" w:sz="4" w:space="0" w:color="auto"/>
              <w:left w:val="nil"/>
              <w:right w:val="nil"/>
            </w:tcBorders>
            <w:noWrap/>
          </w:tcPr>
          <w:p w14:paraId="5ED5FDBB"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Costs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5273CC85"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3F79DF23"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41720CDE"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4F64819B"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tc>
        <w:tc>
          <w:tcPr>
            <w:tcW w:w="874" w:type="dxa"/>
            <w:vMerge w:val="restart"/>
            <w:tcBorders>
              <w:top w:val="single" w:sz="4" w:space="0" w:color="auto"/>
              <w:left w:val="single" w:sz="4" w:space="0" w:color="auto"/>
              <w:right w:val="single" w:sz="4" w:space="0" w:color="auto"/>
            </w:tcBorders>
          </w:tcPr>
          <w:p w14:paraId="5DCCF2CB"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 xml:space="preserve">% net </w:t>
            </w:r>
            <w:r w:rsidRPr="00A37634">
              <w:rPr>
                <w:rFonts w:ascii="Calibri" w:eastAsia="Times New Roman" w:hAnsi="Calibri" w:cs="Calibri"/>
                <w:b/>
                <w:sz w:val="18"/>
                <w:szCs w:val="18"/>
                <w:lang w:val="en-AU"/>
              </w:rPr>
              <w:br/>
              <w:t>national</w:t>
            </w:r>
            <w:r w:rsidRPr="00A37634">
              <w:rPr>
                <w:rFonts w:ascii="Calibri" w:eastAsia="Times New Roman" w:hAnsi="Calibri" w:cs="Calibri"/>
                <w:b/>
                <w:sz w:val="18"/>
                <w:szCs w:val="18"/>
                <w:lang w:val="en-AU"/>
              </w:rPr>
              <w:br/>
              <w:t>benefits</w:t>
            </w:r>
          </w:p>
        </w:tc>
        <w:tc>
          <w:tcPr>
            <w:tcW w:w="709" w:type="dxa"/>
            <w:vMerge w:val="restart"/>
            <w:tcBorders>
              <w:top w:val="single" w:sz="4" w:space="0" w:color="auto"/>
              <w:left w:val="single" w:sz="4" w:space="0" w:color="auto"/>
              <w:right w:val="single" w:sz="4" w:space="0" w:color="auto"/>
            </w:tcBorders>
            <w:noWrap/>
          </w:tcPr>
          <w:p w14:paraId="1A8B4DA2"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B/C ratio</w:t>
            </w:r>
          </w:p>
        </w:tc>
        <w:tc>
          <w:tcPr>
            <w:tcW w:w="1426" w:type="dxa"/>
            <w:gridSpan w:val="2"/>
            <w:tcBorders>
              <w:top w:val="single" w:sz="4" w:space="0" w:color="auto"/>
              <w:left w:val="single" w:sz="4" w:space="0" w:color="auto"/>
              <w:bottom w:val="single" w:sz="4" w:space="0" w:color="auto"/>
              <w:right w:val="single" w:sz="4" w:space="0" w:color="auto"/>
            </w:tcBorders>
          </w:tcPr>
          <w:p w14:paraId="6D2E0B4D"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Without whole-sale price benefit</w:t>
            </w:r>
          </w:p>
        </w:tc>
      </w:tr>
      <w:tr w:rsidR="00A37634" w:rsidRPr="00A37634" w14:paraId="007EB5B8" w14:textId="77777777" w:rsidTr="007C7289">
        <w:trPr>
          <w:cantSplit/>
          <w:trHeight w:val="532"/>
          <w:tblHeader/>
          <w:jc w:val="center"/>
        </w:trPr>
        <w:tc>
          <w:tcPr>
            <w:tcW w:w="1002" w:type="dxa"/>
            <w:vMerge/>
            <w:tcBorders>
              <w:left w:val="single" w:sz="4" w:space="0" w:color="auto"/>
              <w:bottom w:val="single" w:sz="4" w:space="0" w:color="auto"/>
              <w:right w:val="nil"/>
            </w:tcBorders>
            <w:noWrap/>
          </w:tcPr>
          <w:p w14:paraId="033DFAFE"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373" w:type="dxa"/>
            <w:vMerge/>
            <w:tcBorders>
              <w:left w:val="nil"/>
              <w:bottom w:val="single" w:sz="4" w:space="0" w:color="auto"/>
              <w:right w:val="nil"/>
            </w:tcBorders>
            <w:noWrap/>
          </w:tcPr>
          <w:p w14:paraId="7BD29CDD"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59D8CC23"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6D1C433D"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704C63E8"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874" w:type="dxa"/>
            <w:vMerge/>
            <w:tcBorders>
              <w:left w:val="single" w:sz="4" w:space="0" w:color="auto"/>
              <w:bottom w:val="single" w:sz="4" w:space="0" w:color="auto"/>
              <w:right w:val="single" w:sz="4" w:space="0" w:color="auto"/>
            </w:tcBorders>
          </w:tcPr>
          <w:p w14:paraId="3DA1B916"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709" w:type="dxa"/>
            <w:vMerge/>
            <w:tcBorders>
              <w:left w:val="single" w:sz="4" w:space="0" w:color="auto"/>
              <w:bottom w:val="single" w:sz="4" w:space="0" w:color="auto"/>
              <w:right w:val="single" w:sz="4" w:space="0" w:color="auto"/>
            </w:tcBorders>
            <w:noWrap/>
          </w:tcPr>
          <w:p w14:paraId="004659F0"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786" w:type="dxa"/>
            <w:tcBorders>
              <w:top w:val="single" w:sz="4" w:space="0" w:color="auto"/>
              <w:left w:val="single" w:sz="4" w:space="0" w:color="auto"/>
              <w:bottom w:val="single" w:sz="4" w:space="0" w:color="auto"/>
              <w:right w:val="single" w:sz="4" w:space="0" w:color="auto"/>
            </w:tcBorders>
          </w:tcPr>
          <w:p w14:paraId="25F4F09B"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w:t>
            </w:r>
          </w:p>
        </w:tc>
        <w:tc>
          <w:tcPr>
            <w:tcW w:w="640" w:type="dxa"/>
            <w:tcBorders>
              <w:top w:val="single" w:sz="4" w:space="0" w:color="auto"/>
              <w:left w:val="single" w:sz="4" w:space="0" w:color="auto"/>
              <w:bottom w:val="single" w:sz="4" w:space="0" w:color="auto"/>
              <w:right w:val="single" w:sz="4" w:space="0" w:color="auto"/>
            </w:tcBorders>
          </w:tcPr>
          <w:p w14:paraId="40BF286D"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B/C ratio</w:t>
            </w:r>
          </w:p>
        </w:tc>
      </w:tr>
      <w:tr w:rsidR="00A37634" w:rsidRPr="00A37634" w14:paraId="108A6B78" w14:textId="77777777" w:rsidTr="007C7289">
        <w:trPr>
          <w:trHeight w:val="255"/>
          <w:jc w:val="center"/>
        </w:trPr>
        <w:tc>
          <w:tcPr>
            <w:tcW w:w="1002" w:type="dxa"/>
            <w:tcBorders>
              <w:top w:val="single" w:sz="4" w:space="0" w:color="auto"/>
              <w:left w:val="single" w:sz="4" w:space="0" w:color="auto"/>
              <w:bottom w:val="nil"/>
              <w:right w:val="nil"/>
            </w:tcBorders>
            <w:noWrap/>
            <w:vAlign w:val="bottom"/>
          </w:tcPr>
          <w:p w14:paraId="180DF856"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NSW</w:t>
            </w:r>
          </w:p>
        </w:tc>
        <w:tc>
          <w:tcPr>
            <w:tcW w:w="1373" w:type="dxa"/>
            <w:tcBorders>
              <w:top w:val="nil"/>
              <w:left w:val="nil"/>
              <w:bottom w:val="nil"/>
              <w:right w:val="nil"/>
            </w:tcBorders>
            <w:shd w:val="clear" w:color="auto" w:fill="auto"/>
            <w:noWrap/>
            <w:vAlign w:val="bottom"/>
          </w:tcPr>
          <w:p w14:paraId="6AFCC053"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773</w:t>
            </w:r>
          </w:p>
        </w:tc>
        <w:tc>
          <w:tcPr>
            <w:tcW w:w="1089" w:type="dxa"/>
            <w:tcBorders>
              <w:top w:val="nil"/>
              <w:left w:val="nil"/>
              <w:bottom w:val="nil"/>
              <w:right w:val="nil"/>
            </w:tcBorders>
            <w:shd w:val="clear" w:color="auto" w:fill="auto"/>
            <w:noWrap/>
            <w:vAlign w:val="bottom"/>
          </w:tcPr>
          <w:p w14:paraId="7D6B279F"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$246</w:t>
            </w:r>
          </w:p>
        </w:tc>
        <w:tc>
          <w:tcPr>
            <w:tcW w:w="1089" w:type="dxa"/>
            <w:tcBorders>
              <w:top w:val="nil"/>
              <w:left w:val="nil"/>
              <w:bottom w:val="nil"/>
              <w:right w:val="nil"/>
            </w:tcBorders>
            <w:shd w:val="clear" w:color="auto" w:fill="auto"/>
            <w:noWrap/>
            <w:vAlign w:val="bottom"/>
          </w:tcPr>
          <w:p w14:paraId="12DC03EA"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$455</w:t>
            </w:r>
          </w:p>
        </w:tc>
        <w:tc>
          <w:tcPr>
            <w:tcW w:w="1089" w:type="dxa"/>
            <w:tcBorders>
              <w:top w:val="nil"/>
              <w:left w:val="nil"/>
              <w:bottom w:val="nil"/>
              <w:right w:val="single" w:sz="4" w:space="0" w:color="auto"/>
            </w:tcBorders>
            <w:shd w:val="clear" w:color="auto" w:fill="auto"/>
            <w:noWrap/>
            <w:vAlign w:val="bottom"/>
          </w:tcPr>
          <w:p w14:paraId="1D8ED2F2"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$209</w:t>
            </w:r>
          </w:p>
        </w:tc>
        <w:tc>
          <w:tcPr>
            <w:tcW w:w="874" w:type="dxa"/>
            <w:tcBorders>
              <w:top w:val="nil"/>
              <w:left w:val="single" w:sz="4" w:space="0" w:color="auto"/>
              <w:bottom w:val="nil"/>
              <w:right w:val="single" w:sz="4" w:space="0" w:color="auto"/>
            </w:tcBorders>
            <w:shd w:val="clear" w:color="auto" w:fill="auto"/>
            <w:vAlign w:val="bottom"/>
          </w:tcPr>
          <w:p w14:paraId="0B3F4477"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9.1%</w:t>
            </w:r>
          </w:p>
        </w:tc>
        <w:tc>
          <w:tcPr>
            <w:tcW w:w="709" w:type="dxa"/>
            <w:tcBorders>
              <w:top w:val="nil"/>
              <w:left w:val="single" w:sz="4" w:space="0" w:color="auto"/>
              <w:bottom w:val="nil"/>
              <w:right w:val="single" w:sz="4" w:space="0" w:color="auto"/>
            </w:tcBorders>
            <w:shd w:val="clear" w:color="auto" w:fill="auto"/>
            <w:noWrap/>
            <w:vAlign w:val="bottom"/>
          </w:tcPr>
          <w:p w14:paraId="153245B3"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1.8</w:t>
            </w:r>
          </w:p>
        </w:tc>
        <w:tc>
          <w:tcPr>
            <w:tcW w:w="786" w:type="dxa"/>
            <w:tcBorders>
              <w:top w:val="nil"/>
              <w:left w:val="nil"/>
              <w:bottom w:val="nil"/>
              <w:right w:val="single" w:sz="4" w:space="0" w:color="auto"/>
            </w:tcBorders>
            <w:shd w:val="clear" w:color="auto" w:fill="auto"/>
            <w:vAlign w:val="bottom"/>
          </w:tcPr>
          <w:p w14:paraId="44A8ADE8"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$67</w:t>
            </w:r>
          </w:p>
        </w:tc>
        <w:tc>
          <w:tcPr>
            <w:tcW w:w="640" w:type="dxa"/>
            <w:tcBorders>
              <w:top w:val="nil"/>
              <w:left w:val="single" w:sz="4" w:space="0" w:color="auto"/>
              <w:bottom w:val="nil"/>
              <w:right w:val="single" w:sz="4" w:space="0" w:color="auto"/>
            </w:tcBorders>
            <w:shd w:val="clear" w:color="auto" w:fill="auto"/>
            <w:vAlign w:val="bottom"/>
          </w:tcPr>
          <w:p w14:paraId="16247AD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1.3</w:t>
            </w:r>
          </w:p>
        </w:tc>
      </w:tr>
      <w:tr w:rsidR="00A37634" w:rsidRPr="00A37634" w14:paraId="70F9C9B2" w14:textId="77777777" w:rsidTr="007C7289">
        <w:trPr>
          <w:trHeight w:val="255"/>
          <w:jc w:val="center"/>
        </w:trPr>
        <w:tc>
          <w:tcPr>
            <w:tcW w:w="1002" w:type="dxa"/>
            <w:tcBorders>
              <w:top w:val="nil"/>
              <w:left w:val="single" w:sz="4" w:space="0" w:color="auto"/>
              <w:bottom w:val="nil"/>
              <w:right w:val="nil"/>
            </w:tcBorders>
            <w:noWrap/>
            <w:vAlign w:val="bottom"/>
          </w:tcPr>
          <w:p w14:paraId="2949A5C0"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Vic</w:t>
            </w:r>
          </w:p>
        </w:tc>
        <w:tc>
          <w:tcPr>
            <w:tcW w:w="1373" w:type="dxa"/>
            <w:tcBorders>
              <w:top w:val="nil"/>
              <w:left w:val="nil"/>
              <w:bottom w:val="nil"/>
              <w:right w:val="nil"/>
            </w:tcBorders>
            <w:shd w:val="clear" w:color="auto" w:fill="auto"/>
            <w:noWrap/>
            <w:vAlign w:val="bottom"/>
          </w:tcPr>
          <w:p w14:paraId="09687159"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516</w:t>
            </w:r>
          </w:p>
        </w:tc>
        <w:tc>
          <w:tcPr>
            <w:tcW w:w="1089" w:type="dxa"/>
            <w:tcBorders>
              <w:top w:val="nil"/>
              <w:left w:val="nil"/>
              <w:bottom w:val="nil"/>
              <w:right w:val="nil"/>
            </w:tcBorders>
            <w:shd w:val="clear" w:color="auto" w:fill="auto"/>
            <w:noWrap/>
            <w:vAlign w:val="bottom"/>
          </w:tcPr>
          <w:p w14:paraId="06D1187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$134</w:t>
            </w:r>
          </w:p>
        </w:tc>
        <w:tc>
          <w:tcPr>
            <w:tcW w:w="1089" w:type="dxa"/>
            <w:tcBorders>
              <w:top w:val="nil"/>
              <w:left w:val="nil"/>
              <w:bottom w:val="nil"/>
              <w:right w:val="nil"/>
            </w:tcBorders>
            <w:shd w:val="clear" w:color="auto" w:fill="auto"/>
            <w:noWrap/>
            <w:vAlign w:val="bottom"/>
          </w:tcPr>
          <w:p w14:paraId="1EA41207"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$499</w:t>
            </w:r>
          </w:p>
        </w:tc>
        <w:tc>
          <w:tcPr>
            <w:tcW w:w="1089" w:type="dxa"/>
            <w:tcBorders>
              <w:top w:val="nil"/>
              <w:left w:val="nil"/>
              <w:bottom w:val="nil"/>
              <w:right w:val="single" w:sz="4" w:space="0" w:color="auto"/>
            </w:tcBorders>
            <w:shd w:val="clear" w:color="auto" w:fill="auto"/>
            <w:noWrap/>
            <w:vAlign w:val="bottom"/>
          </w:tcPr>
          <w:p w14:paraId="1754620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$364</w:t>
            </w:r>
          </w:p>
        </w:tc>
        <w:tc>
          <w:tcPr>
            <w:tcW w:w="874" w:type="dxa"/>
            <w:tcBorders>
              <w:top w:val="nil"/>
              <w:left w:val="single" w:sz="4" w:space="0" w:color="auto"/>
              <w:bottom w:val="nil"/>
              <w:right w:val="single" w:sz="4" w:space="0" w:color="auto"/>
            </w:tcBorders>
            <w:shd w:val="clear" w:color="auto" w:fill="auto"/>
            <w:vAlign w:val="bottom"/>
          </w:tcPr>
          <w:p w14:paraId="1B404A1B"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15.8%</w:t>
            </w:r>
          </w:p>
        </w:tc>
        <w:tc>
          <w:tcPr>
            <w:tcW w:w="709" w:type="dxa"/>
            <w:tcBorders>
              <w:top w:val="nil"/>
              <w:left w:val="single" w:sz="4" w:space="0" w:color="auto"/>
              <w:bottom w:val="nil"/>
              <w:right w:val="single" w:sz="4" w:space="0" w:color="auto"/>
            </w:tcBorders>
            <w:shd w:val="clear" w:color="auto" w:fill="auto"/>
            <w:noWrap/>
            <w:vAlign w:val="bottom"/>
          </w:tcPr>
          <w:p w14:paraId="0C67B8D1"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3.7</w:t>
            </w:r>
          </w:p>
        </w:tc>
        <w:tc>
          <w:tcPr>
            <w:tcW w:w="786" w:type="dxa"/>
            <w:tcBorders>
              <w:top w:val="nil"/>
              <w:left w:val="nil"/>
              <w:bottom w:val="nil"/>
              <w:right w:val="single" w:sz="4" w:space="0" w:color="auto"/>
            </w:tcBorders>
            <w:shd w:val="clear" w:color="auto" w:fill="auto"/>
            <w:vAlign w:val="bottom"/>
          </w:tcPr>
          <w:p w14:paraId="0229D696"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$262</w:t>
            </w:r>
          </w:p>
        </w:tc>
        <w:tc>
          <w:tcPr>
            <w:tcW w:w="640" w:type="dxa"/>
            <w:tcBorders>
              <w:top w:val="nil"/>
              <w:left w:val="single" w:sz="4" w:space="0" w:color="auto"/>
              <w:bottom w:val="nil"/>
              <w:right w:val="single" w:sz="4" w:space="0" w:color="auto"/>
            </w:tcBorders>
            <w:shd w:val="clear" w:color="auto" w:fill="auto"/>
            <w:vAlign w:val="bottom"/>
          </w:tcPr>
          <w:p w14:paraId="1A19F5D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2.0</w:t>
            </w:r>
          </w:p>
        </w:tc>
      </w:tr>
      <w:tr w:rsidR="00A37634" w:rsidRPr="00A37634" w14:paraId="4E6F5A34" w14:textId="77777777" w:rsidTr="007C7289">
        <w:trPr>
          <w:trHeight w:val="255"/>
          <w:jc w:val="center"/>
        </w:trPr>
        <w:tc>
          <w:tcPr>
            <w:tcW w:w="1002" w:type="dxa"/>
            <w:tcBorders>
              <w:top w:val="nil"/>
              <w:left w:val="single" w:sz="4" w:space="0" w:color="auto"/>
              <w:bottom w:val="nil"/>
              <w:right w:val="nil"/>
            </w:tcBorders>
            <w:noWrap/>
            <w:vAlign w:val="bottom"/>
          </w:tcPr>
          <w:p w14:paraId="39BB9B2A"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Qld</w:t>
            </w:r>
          </w:p>
        </w:tc>
        <w:tc>
          <w:tcPr>
            <w:tcW w:w="1373" w:type="dxa"/>
            <w:tcBorders>
              <w:top w:val="nil"/>
              <w:left w:val="nil"/>
              <w:bottom w:val="nil"/>
              <w:right w:val="nil"/>
            </w:tcBorders>
            <w:shd w:val="clear" w:color="auto" w:fill="auto"/>
            <w:noWrap/>
            <w:vAlign w:val="bottom"/>
          </w:tcPr>
          <w:p w14:paraId="6D3C6A81"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792</w:t>
            </w:r>
          </w:p>
        </w:tc>
        <w:tc>
          <w:tcPr>
            <w:tcW w:w="1089" w:type="dxa"/>
            <w:tcBorders>
              <w:top w:val="nil"/>
              <w:left w:val="nil"/>
              <w:bottom w:val="nil"/>
              <w:right w:val="nil"/>
            </w:tcBorders>
            <w:shd w:val="clear" w:color="auto" w:fill="auto"/>
            <w:noWrap/>
            <w:vAlign w:val="bottom"/>
          </w:tcPr>
          <w:p w14:paraId="41CEC54F"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$250</w:t>
            </w:r>
          </w:p>
        </w:tc>
        <w:tc>
          <w:tcPr>
            <w:tcW w:w="1089" w:type="dxa"/>
            <w:tcBorders>
              <w:top w:val="nil"/>
              <w:left w:val="nil"/>
              <w:bottom w:val="nil"/>
              <w:right w:val="nil"/>
            </w:tcBorders>
            <w:shd w:val="clear" w:color="auto" w:fill="auto"/>
            <w:noWrap/>
            <w:vAlign w:val="bottom"/>
          </w:tcPr>
          <w:p w14:paraId="347437A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$1,231</w:t>
            </w:r>
          </w:p>
        </w:tc>
        <w:tc>
          <w:tcPr>
            <w:tcW w:w="1089" w:type="dxa"/>
            <w:tcBorders>
              <w:top w:val="nil"/>
              <w:left w:val="nil"/>
              <w:bottom w:val="nil"/>
              <w:right w:val="single" w:sz="4" w:space="0" w:color="auto"/>
            </w:tcBorders>
            <w:shd w:val="clear" w:color="auto" w:fill="auto"/>
            <w:noWrap/>
            <w:vAlign w:val="bottom"/>
          </w:tcPr>
          <w:p w14:paraId="6987ADE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$981</w:t>
            </w:r>
          </w:p>
        </w:tc>
        <w:tc>
          <w:tcPr>
            <w:tcW w:w="874" w:type="dxa"/>
            <w:tcBorders>
              <w:top w:val="nil"/>
              <w:left w:val="single" w:sz="4" w:space="0" w:color="auto"/>
              <w:bottom w:val="nil"/>
              <w:right w:val="single" w:sz="4" w:space="0" w:color="auto"/>
            </w:tcBorders>
            <w:shd w:val="clear" w:color="auto" w:fill="auto"/>
            <w:vAlign w:val="bottom"/>
          </w:tcPr>
          <w:p w14:paraId="15264AA9"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42.6%</w:t>
            </w:r>
          </w:p>
        </w:tc>
        <w:tc>
          <w:tcPr>
            <w:tcW w:w="709" w:type="dxa"/>
            <w:tcBorders>
              <w:top w:val="nil"/>
              <w:left w:val="single" w:sz="4" w:space="0" w:color="auto"/>
              <w:bottom w:val="nil"/>
              <w:right w:val="single" w:sz="4" w:space="0" w:color="auto"/>
            </w:tcBorders>
            <w:shd w:val="clear" w:color="auto" w:fill="auto"/>
            <w:noWrap/>
            <w:vAlign w:val="bottom"/>
          </w:tcPr>
          <w:p w14:paraId="790AF887"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4.9</w:t>
            </w:r>
          </w:p>
        </w:tc>
        <w:tc>
          <w:tcPr>
            <w:tcW w:w="786" w:type="dxa"/>
            <w:tcBorders>
              <w:top w:val="nil"/>
              <w:left w:val="nil"/>
              <w:bottom w:val="nil"/>
              <w:right w:val="single" w:sz="4" w:space="0" w:color="auto"/>
            </w:tcBorders>
            <w:shd w:val="clear" w:color="auto" w:fill="auto"/>
            <w:vAlign w:val="bottom"/>
          </w:tcPr>
          <w:p w14:paraId="34ED49A8"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$847</w:t>
            </w:r>
          </w:p>
        </w:tc>
        <w:tc>
          <w:tcPr>
            <w:tcW w:w="640" w:type="dxa"/>
            <w:tcBorders>
              <w:top w:val="nil"/>
              <w:left w:val="single" w:sz="4" w:space="0" w:color="auto"/>
              <w:bottom w:val="nil"/>
              <w:right w:val="single" w:sz="4" w:space="0" w:color="auto"/>
            </w:tcBorders>
            <w:shd w:val="clear" w:color="auto" w:fill="auto"/>
            <w:vAlign w:val="bottom"/>
          </w:tcPr>
          <w:p w14:paraId="0E2F7A3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4.4</w:t>
            </w:r>
          </w:p>
        </w:tc>
      </w:tr>
      <w:tr w:rsidR="00A37634" w:rsidRPr="00A37634" w14:paraId="14DE70DD" w14:textId="77777777" w:rsidTr="007C7289">
        <w:trPr>
          <w:trHeight w:val="255"/>
          <w:jc w:val="center"/>
        </w:trPr>
        <w:tc>
          <w:tcPr>
            <w:tcW w:w="1002" w:type="dxa"/>
            <w:tcBorders>
              <w:top w:val="nil"/>
              <w:left w:val="single" w:sz="4" w:space="0" w:color="auto"/>
              <w:bottom w:val="nil"/>
              <w:right w:val="nil"/>
            </w:tcBorders>
            <w:noWrap/>
            <w:vAlign w:val="bottom"/>
          </w:tcPr>
          <w:p w14:paraId="20E463C5"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SA</w:t>
            </w:r>
          </w:p>
        </w:tc>
        <w:tc>
          <w:tcPr>
            <w:tcW w:w="1373" w:type="dxa"/>
            <w:tcBorders>
              <w:top w:val="nil"/>
              <w:left w:val="nil"/>
              <w:bottom w:val="nil"/>
              <w:right w:val="nil"/>
            </w:tcBorders>
            <w:shd w:val="clear" w:color="auto" w:fill="auto"/>
            <w:noWrap/>
            <w:vAlign w:val="bottom"/>
          </w:tcPr>
          <w:p w14:paraId="74D43F1A"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209</w:t>
            </w:r>
          </w:p>
        </w:tc>
        <w:tc>
          <w:tcPr>
            <w:tcW w:w="1089" w:type="dxa"/>
            <w:tcBorders>
              <w:top w:val="nil"/>
              <w:left w:val="nil"/>
              <w:bottom w:val="nil"/>
              <w:right w:val="nil"/>
            </w:tcBorders>
            <w:shd w:val="clear" w:color="auto" w:fill="auto"/>
            <w:noWrap/>
            <w:vAlign w:val="bottom"/>
          </w:tcPr>
          <w:p w14:paraId="0D85ADAD"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$56</w:t>
            </w:r>
          </w:p>
        </w:tc>
        <w:tc>
          <w:tcPr>
            <w:tcW w:w="1089" w:type="dxa"/>
            <w:tcBorders>
              <w:top w:val="nil"/>
              <w:left w:val="nil"/>
              <w:bottom w:val="nil"/>
              <w:right w:val="nil"/>
            </w:tcBorders>
            <w:shd w:val="clear" w:color="auto" w:fill="auto"/>
            <w:noWrap/>
            <w:vAlign w:val="bottom"/>
          </w:tcPr>
          <w:p w14:paraId="5C64889B"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$365</w:t>
            </w:r>
          </w:p>
        </w:tc>
        <w:tc>
          <w:tcPr>
            <w:tcW w:w="1089" w:type="dxa"/>
            <w:tcBorders>
              <w:top w:val="nil"/>
              <w:left w:val="nil"/>
              <w:bottom w:val="nil"/>
              <w:right w:val="single" w:sz="4" w:space="0" w:color="auto"/>
            </w:tcBorders>
            <w:shd w:val="clear" w:color="auto" w:fill="auto"/>
            <w:noWrap/>
            <w:vAlign w:val="bottom"/>
          </w:tcPr>
          <w:p w14:paraId="17D99C72"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$309</w:t>
            </w:r>
          </w:p>
        </w:tc>
        <w:tc>
          <w:tcPr>
            <w:tcW w:w="874" w:type="dxa"/>
            <w:tcBorders>
              <w:top w:val="nil"/>
              <w:left w:val="single" w:sz="4" w:space="0" w:color="auto"/>
              <w:bottom w:val="nil"/>
              <w:right w:val="single" w:sz="4" w:space="0" w:color="auto"/>
            </w:tcBorders>
            <w:shd w:val="clear" w:color="auto" w:fill="auto"/>
            <w:vAlign w:val="bottom"/>
          </w:tcPr>
          <w:p w14:paraId="125377BD"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13.4%</w:t>
            </w:r>
          </w:p>
        </w:tc>
        <w:tc>
          <w:tcPr>
            <w:tcW w:w="709" w:type="dxa"/>
            <w:tcBorders>
              <w:top w:val="nil"/>
              <w:left w:val="single" w:sz="4" w:space="0" w:color="auto"/>
              <w:bottom w:val="nil"/>
              <w:right w:val="single" w:sz="4" w:space="0" w:color="auto"/>
            </w:tcBorders>
            <w:shd w:val="clear" w:color="auto" w:fill="auto"/>
            <w:noWrap/>
            <w:vAlign w:val="bottom"/>
          </w:tcPr>
          <w:p w14:paraId="27255B96"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6.5</w:t>
            </w:r>
          </w:p>
        </w:tc>
        <w:tc>
          <w:tcPr>
            <w:tcW w:w="786" w:type="dxa"/>
            <w:tcBorders>
              <w:top w:val="nil"/>
              <w:left w:val="nil"/>
              <w:bottom w:val="nil"/>
              <w:right w:val="single" w:sz="4" w:space="0" w:color="auto"/>
            </w:tcBorders>
            <w:shd w:val="clear" w:color="auto" w:fill="auto"/>
            <w:vAlign w:val="bottom"/>
          </w:tcPr>
          <w:p w14:paraId="5F375FB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$273</w:t>
            </w:r>
          </w:p>
        </w:tc>
        <w:tc>
          <w:tcPr>
            <w:tcW w:w="640" w:type="dxa"/>
            <w:tcBorders>
              <w:top w:val="nil"/>
              <w:left w:val="single" w:sz="4" w:space="0" w:color="auto"/>
              <w:bottom w:val="nil"/>
              <w:right w:val="single" w:sz="4" w:space="0" w:color="auto"/>
            </w:tcBorders>
            <w:shd w:val="clear" w:color="auto" w:fill="auto"/>
            <w:vAlign w:val="bottom"/>
          </w:tcPr>
          <w:p w14:paraId="6A608BC2"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5.9</w:t>
            </w:r>
          </w:p>
        </w:tc>
      </w:tr>
      <w:tr w:rsidR="00A37634" w:rsidRPr="00A37634" w14:paraId="7920BD19" w14:textId="77777777" w:rsidTr="007C7289">
        <w:trPr>
          <w:trHeight w:val="255"/>
          <w:jc w:val="center"/>
        </w:trPr>
        <w:tc>
          <w:tcPr>
            <w:tcW w:w="1002" w:type="dxa"/>
            <w:tcBorders>
              <w:top w:val="nil"/>
              <w:left w:val="single" w:sz="4" w:space="0" w:color="auto"/>
              <w:bottom w:val="nil"/>
              <w:right w:val="nil"/>
            </w:tcBorders>
            <w:noWrap/>
            <w:vAlign w:val="bottom"/>
          </w:tcPr>
          <w:p w14:paraId="349C8A87"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WA</w:t>
            </w:r>
          </w:p>
        </w:tc>
        <w:tc>
          <w:tcPr>
            <w:tcW w:w="1373" w:type="dxa"/>
            <w:tcBorders>
              <w:top w:val="nil"/>
              <w:left w:val="nil"/>
              <w:bottom w:val="nil"/>
              <w:right w:val="nil"/>
            </w:tcBorders>
            <w:shd w:val="clear" w:color="auto" w:fill="auto"/>
            <w:noWrap/>
            <w:vAlign w:val="bottom"/>
          </w:tcPr>
          <w:p w14:paraId="747B3861"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358</w:t>
            </w:r>
          </w:p>
        </w:tc>
        <w:tc>
          <w:tcPr>
            <w:tcW w:w="1089" w:type="dxa"/>
            <w:tcBorders>
              <w:top w:val="nil"/>
              <w:left w:val="nil"/>
              <w:bottom w:val="nil"/>
              <w:right w:val="nil"/>
            </w:tcBorders>
            <w:shd w:val="clear" w:color="auto" w:fill="auto"/>
            <w:noWrap/>
            <w:vAlign w:val="bottom"/>
          </w:tcPr>
          <w:p w14:paraId="362ECB3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$100</w:t>
            </w:r>
          </w:p>
        </w:tc>
        <w:tc>
          <w:tcPr>
            <w:tcW w:w="1089" w:type="dxa"/>
            <w:tcBorders>
              <w:top w:val="nil"/>
              <w:left w:val="nil"/>
              <w:bottom w:val="nil"/>
              <w:right w:val="nil"/>
            </w:tcBorders>
            <w:shd w:val="clear" w:color="auto" w:fill="auto"/>
            <w:noWrap/>
            <w:vAlign w:val="bottom"/>
          </w:tcPr>
          <w:p w14:paraId="3C35C448"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$463</w:t>
            </w:r>
          </w:p>
        </w:tc>
        <w:tc>
          <w:tcPr>
            <w:tcW w:w="1089" w:type="dxa"/>
            <w:tcBorders>
              <w:top w:val="nil"/>
              <w:left w:val="nil"/>
              <w:bottom w:val="nil"/>
              <w:right w:val="single" w:sz="4" w:space="0" w:color="auto"/>
            </w:tcBorders>
            <w:shd w:val="clear" w:color="auto" w:fill="auto"/>
            <w:noWrap/>
            <w:vAlign w:val="bottom"/>
          </w:tcPr>
          <w:p w14:paraId="75B7E1CF"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$363</w:t>
            </w:r>
          </w:p>
        </w:tc>
        <w:tc>
          <w:tcPr>
            <w:tcW w:w="874" w:type="dxa"/>
            <w:tcBorders>
              <w:top w:val="nil"/>
              <w:left w:val="single" w:sz="4" w:space="0" w:color="auto"/>
              <w:bottom w:val="nil"/>
              <w:right w:val="single" w:sz="4" w:space="0" w:color="auto"/>
            </w:tcBorders>
            <w:shd w:val="clear" w:color="auto" w:fill="auto"/>
            <w:vAlign w:val="bottom"/>
          </w:tcPr>
          <w:p w14:paraId="2A5EB25E"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15.8%</w:t>
            </w:r>
          </w:p>
        </w:tc>
        <w:tc>
          <w:tcPr>
            <w:tcW w:w="709" w:type="dxa"/>
            <w:tcBorders>
              <w:top w:val="nil"/>
              <w:left w:val="single" w:sz="4" w:space="0" w:color="auto"/>
              <w:bottom w:val="nil"/>
              <w:right w:val="single" w:sz="4" w:space="0" w:color="auto"/>
            </w:tcBorders>
            <w:shd w:val="clear" w:color="auto" w:fill="auto"/>
            <w:noWrap/>
            <w:vAlign w:val="bottom"/>
          </w:tcPr>
          <w:p w14:paraId="0DED96D8"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4.6</w:t>
            </w:r>
          </w:p>
        </w:tc>
        <w:tc>
          <w:tcPr>
            <w:tcW w:w="786" w:type="dxa"/>
            <w:tcBorders>
              <w:top w:val="nil"/>
              <w:left w:val="nil"/>
              <w:bottom w:val="nil"/>
              <w:right w:val="single" w:sz="4" w:space="0" w:color="auto"/>
            </w:tcBorders>
            <w:shd w:val="clear" w:color="auto" w:fill="auto"/>
            <w:vAlign w:val="bottom"/>
          </w:tcPr>
          <w:p w14:paraId="6EC0960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$306</w:t>
            </w:r>
          </w:p>
        </w:tc>
        <w:tc>
          <w:tcPr>
            <w:tcW w:w="640" w:type="dxa"/>
            <w:tcBorders>
              <w:top w:val="nil"/>
              <w:left w:val="single" w:sz="4" w:space="0" w:color="auto"/>
              <w:bottom w:val="nil"/>
              <w:right w:val="single" w:sz="4" w:space="0" w:color="auto"/>
            </w:tcBorders>
            <w:shd w:val="clear" w:color="auto" w:fill="auto"/>
            <w:vAlign w:val="bottom"/>
          </w:tcPr>
          <w:p w14:paraId="6D47DE1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4.1</w:t>
            </w:r>
          </w:p>
        </w:tc>
      </w:tr>
      <w:tr w:rsidR="00A37634" w:rsidRPr="00A37634" w14:paraId="3332585B" w14:textId="77777777" w:rsidTr="007C7289">
        <w:trPr>
          <w:trHeight w:val="255"/>
          <w:jc w:val="center"/>
        </w:trPr>
        <w:tc>
          <w:tcPr>
            <w:tcW w:w="1002" w:type="dxa"/>
            <w:tcBorders>
              <w:top w:val="nil"/>
              <w:left w:val="single" w:sz="4" w:space="0" w:color="auto"/>
              <w:bottom w:val="nil"/>
              <w:right w:val="nil"/>
            </w:tcBorders>
            <w:noWrap/>
            <w:vAlign w:val="bottom"/>
          </w:tcPr>
          <w:p w14:paraId="78035BB1"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proofErr w:type="spellStart"/>
            <w:r w:rsidRPr="00A37634">
              <w:rPr>
                <w:rFonts w:ascii="Calibri" w:eastAsia="Times New Roman" w:hAnsi="Calibri" w:cs="Calibri"/>
                <w:sz w:val="18"/>
                <w:szCs w:val="18"/>
                <w:lang w:val="en-AU"/>
              </w:rPr>
              <w:t>Tas</w:t>
            </w:r>
            <w:proofErr w:type="spellEnd"/>
            <w:r w:rsidRPr="00A37634">
              <w:rPr>
                <w:rFonts w:ascii="Calibri" w:eastAsia="Times New Roman" w:hAnsi="Calibri" w:cs="Calibri"/>
                <w:sz w:val="18"/>
                <w:szCs w:val="18"/>
                <w:lang w:val="en-AU"/>
              </w:rPr>
              <w:t xml:space="preserve"> (WMD)</w:t>
            </w:r>
          </w:p>
        </w:tc>
        <w:tc>
          <w:tcPr>
            <w:tcW w:w="1373" w:type="dxa"/>
            <w:tcBorders>
              <w:top w:val="nil"/>
              <w:left w:val="nil"/>
              <w:bottom w:val="nil"/>
              <w:right w:val="nil"/>
            </w:tcBorders>
            <w:shd w:val="clear" w:color="auto" w:fill="auto"/>
            <w:noWrap/>
            <w:vAlign w:val="bottom"/>
          </w:tcPr>
          <w:p w14:paraId="33E19FFE"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54</w:t>
            </w:r>
          </w:p>
        </w:tc>
        <w:tc>
          <w:tcPr>
            <w:tcW w:w="1089" w:type="dxa"/>
            <w:tcBorders>
              <w:top w:val="nil"/>
              <w:left w:val="nil"/>
              <w:bottom w:val="nil"/>
              <w:right w:val="nil"/>
            </w:tcBorders>
            <w:shd w:val="clear" w:color="auto" w:fill="auto"/>
            <w:noWrap/>
            <w:vAlign w:val="bottom"/>
          </w:tcPr>
          <w:p w14:paraId="71C3B58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$23</w:t>
            </w:r>
          </w:p>
        </w:tc>
        <w:tc>
          <w:tcPr>
            <w:tcW w:w="1089" w:type="dxa"/>
            <w:tcBorders>
              <w:top w:val="nil"/>
              <w:left w:val="nil"/>
              <w:bottom w:val="nil"/>
              <w:right w:val="nil"/>
            </w:tcBorders>
            <w:shd w:val="clear" w:color="auto" w:fill="auto"/>
            <w:noWrap/>
            <w:vAlign w:val="bottom"/>
          </w:tcPr>
          <w:p w14:paraId="7C16F4B8"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$60</w:t>
            </w:r>
          </w:p>
        </w:tc>
        <w:tc>
          <w:tcPr>
            <w:tcW w:w="1089" w:type="dxa"/>
            <w:tcBorders>
              <w:top w:val="nil"/>
              <w:left w:val="nil"/>
              <w:bottom w:val="nil"/>
              <w:right w:val="single" w:sz="4" w:space="0" w:color="auto"/>
            </w:tcBorders>
            <w:shd w:val="clear" w:color="auto" w:fill="auto"/>
            <w:noWrap/>
            <w:vAlign w:val="bottom"/>
          </w:tcPr>
          <w:p w14:paraId="17B7358D"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color w:val="000000"/>
                <w:sz w:val="18"/>
                <w:szCs w:val="18"/>
                <w:lang w:val="en-AU"/>
              </w:rPr>
            </w:pPr>
            <w:r w:rsidRPr="00A37634">
              <w:rPr>
                <w:rFonts w:ascii="Calibri" w:eastAsia="Times New Roman" w:hAnsi="Calibri" w:cs="Calibri"/>
                <w:color w:val="000000"/>
                <w:sz w:val="18"/>
                <w:szCs w:val="18"/>
                <w:lang w:val="en-AU"/>
              </w:rPr>
              <w:t>$37</w:t>
            </w:r>
          </w:p>
        </w:tc>
        <w:tc>
          <w:tcPr>
            <w:tcW w:w="874" w:type="dxa"/>
            <w:tcBorders>
              <w:top w:val="nil"/>
              <w:left w:val="single" w:sz="4" w:space="0" w:color="auto"/>
              <w:bottom w:val="nil"/>
              <w:right w:val="single" w:sz="4" w:space="0" w:color="auto"/>
            </w:tcBorders>
            <w:shd w:val="clear" w:color="auto" w:fill="auto"/>
            <w:vAlign w:val="bottom"/>
          </w:tcPr>
          <w:p w14:paraId="6A8E1BB1"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1.6%</w:t>
            </w:r>
          </w:p>
        </w:tc>
        <w:tc>
          <w:tcPr>
            <w:tcW w:w="709" w:type="dxa"/>
            <w:tcBorders>
              <w:top w:val="nil"/>
              <w:left w:val="single" w:sz="4" w:space="0" w:color="auto"/>
              <w:bottom w:val="nil"/>
              <w:right w:val="single" w:sz="4" w:space="0" w:color="auto"/>
            </w:tcBorders>
            <w:shd w:val="clear" w:color="auto" w:fill="auto"/>
            <w:noWrap/>
            <w:vAlign w:val="bottom"/>
          </w:tcPr>
          <w:p w14:paraId="68C93B5A"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2.6</w:t>
            </w:r>
          </w:p>
        </w:tc>
        <w:tc>
          <w:tcPr>
            <w:tcW w:w="786" w:type="dxa"/>
            <w:tcBorders>
              <w:top w:val="nil"/>
              <w:left w:val="nil"/>
              <w:bottom w:val="nil"/>
              <w:right w:val="single" w:sz="4" w:space="0" w:color="auto"/>
            </w:tcBorders>
            <w:shd w:val="clear" w:color="auto" w:fill="auto"/>
            <w:vAlign w:val="bottom"/>
          </w:tcPr>
          <w:p w14:paraId="0AF6D4A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$23</w:t>
            </w:r>
          </w:p>
        </w:tc>
        <w:tc>
          <w:tcPr>
            <w:tcW w:w="640" w:type="dxa"/>
            <w:tcBorders>
              <w:top w:val="nil"/>
              <w:left w:val="single" w:sz="4" w:space="0" w:color="auto"/>
              <w:bottom w:val="nil"/>
              <w:right w:val="single" w:sz="4" w:space="0" w:color="auto"/>
            </w:tcBorders>
            <w:shd w:val="clear" w:color="auto" w:fill="auto"/>
            <w:vAlign w:val="bottom"/>
          </w:tcPr>
          <w:p w14:paraId="3A49905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2.0</w:t>
            </w:r>
          </w:p>
        </w:tc>
      </w:tr>
      <w:tr w:rsidR="00A37634" w:rsidRPr="00A37634" w14:paraId="41AEDC82" w14:textId="77777777" w:rsidTr="007C7289">
        <w:trPr>
          <w:trHeight w:val="255"/>
          <w:jc w:val="center"/>
        </w:trPr>
        <w:tc>
          <w:tcPr>
            <w:tcW w:w="1002" w:type="dxa"/>
            <w:tcBorders>
              <w:top w:val="nil"/>
              <w:left w:val="single" w:sz="4" w:space="0" w:color="auto"/>
              <w:bottom w:val="nil"/>
              <w:right w:val="nil"/>
            </w:tcBorders>
            <w:noWrap/>
            <w:vAlign w:val="bottom"/>
          </w:tcPr>
          <w:p w14:paraId="2D74683C"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NT</w:t>
            </w:r>
          </w:p>
        </w:tc>
        <w:tc>
          <w:tcPr>
            <w:tcW w:w="1373" w:type="dxa"/>
            <w:tcBorders>
              <w:top w:val="nil"/>
              <w:left w:val="nil"/>
              <w:bottom w:val="nil"/>
              <w:right w:val="nil"/>
            </w:tcBorders>
            <w:shd w:val="clear" w:color="auto" w:fill="auto"/>
            <w:noWrap/>
            <w:vAlign w:val="bottom"/>
          </w:tcPr>
          <w:p w14:paraId="65CFA315"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54</w:t>
            </w:r>
          </w:p>
        </w:tc>
        <w:tc>
          <w:tcPr>
            <w:tcW w:w="1089" w:type="dxa"/>
            <w:tcBorders>
              <w:top w:val="nil"/>
              <w:left w:val="nil"/>
              <w:bottom w:val="nil"/>
              <w:right w:val="nil"/>
            </w:tcBorders>
            <w:shd w:val="clear" w:color="auto" w:fill="auto"/>
            <w:noWrap/>
            <w:vAlign w:val="bottom"/>
          </w:tcPr>
          <w:p w14:paraId="69B03BEF"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$10</w:t>
            </w:r>
          </w:p>
        </w:tc>
        <w:tc>
          <w:tcPr>
            <w:tcW w:w="1089" w:type="dxa"/>
            <w:tcBorders>
              <w:top w:val="nil"/>
              <w:left w:val="nil"/>
              <w:bottom w:val="nil"/>
              <w:right w:val="nil"/>
            </w:tcBorders>
            <w:shd w:val="clear" w:color="auto" w:fill="auto"/>
            <w:noWrap/>
            <w:vAlign w:val="bottom"/>
          </w:tcPr>
          <w:p w14:paraId="28F841D4"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w:t>
            </w:r>
          </w:p>
        </w:tc>
        <w:tc>
          <w:tcPr>
            <w:tcW w:w="1089" w:type="dxa"/>
            <w:tcBorders>
              <w:top w:val="nil"/>
              <w:left w:val="nil"/>
              <w:bottom w:val="nil"/>
              <w:right w:val="single" w:sz="4" w:space="0" w:color="auto"/>
            </w:tcBorders>
            <w:shd w:val="clear" w:color="auto" w:fill="auto"/>
            <w:noWrap/>
            <w:vAlign w:val="bottom"/>
          </w:tcPr>
          <w:p w14:paraId="57021B1C"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FF0000"/>
                <w:sz w:val="18"/>
                <w:szCs w:val="18"/>
                <w:lang w:val="en-AU"/>
              </w:rPr>
              <w:t>-$4</w:t>
            </w:r>
          </w:p>
        </w:tc>
        <w:tc>
          <w:tcPr>
            <w:tcW w:w="874" w:type="dxa"/>
            <w:tcBorders>
              <w:top w:val="nil"/>
              <w:left w:val="single" w:sz="4" w:space="0" w:color="auto"/>
              <w:bottom w:val="nil"/>
              <w:right w:val="single" w:sz="4" w:space="0" w:color="auto"/>
            </w:tcBorders>
            <w:shd w:val="clear" w:color="auto" w:fill="auto"/>
            <w:vAlign w:val="bottom"/>
          </w:tcPr>
          <w:p w14:paraId="06D6EAC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-0.1%</w:t>
            </w:r>
          </w:p>
        </w:tc>
        <w:tc>
          <w:tcPr>
            <w:tcW w:w="709" w:type="dxa"/>
            <w:tcBorders>
              <w:top w:val="nil"/>
              <w:left w:val="single" w:sz="4" w:space="0" w:color="auto"/>
              <w:bottom w:val="nil"/>
              <w:right w:val="single" w:sz="4" w:space="0" w:color="auto"/>
            </w:tcBorders>
            <w:shd w:val="clear" w:color="auto" w:fill="auto"/>
            <w:noWrap/>
            <w:vAlign w:val="bottom"/>
          </w:tcPr>
          <w:p w14:paraId="7DF8789A"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0.6</w:t>
            </w:r>
          </w:p>
        </w:tc>
        <w:tc>
          <w:tcPr>
            <w:tcW w:w="786" w:type="dxa"/>
            <w:tcBorders>
              <w:top w:val="nil"/>
              <w:left w:val="nil"/>
              <w:bottom w:val="nil"/>
              <w:right w:val="single" w:sz="4" w:space="0" w:color="auto"/>
            </w:tcBorders>
            <w:shd w:val="clear" w:color="auto" w:fill="auto"/>
            <w:vAlign w:val="bottom"/>
          </w:tcPr>
          <w:p w14:paraId="40379645"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FF0000"/>
                <w:sz w:val="18"/>
                <w:szCs w:val="18"/>
                <w:lang w:val="en-AU"/>
              </w:rPr>
              <w:t>-$11</w:t>
            </w:r>
          </w:p>
        </w:tc>
        <w:tc>
          <w:tcPr>
            <w:tcW w:w="640" w:type="dxa"/>
            <w:tcBorders>
              <w:top w:val="nil"/>
              <w:left w:val="single" w:sz="4" w:space="0" w:color="auto"/>
              <w:bottom w:val="nil"/>
              <w:right w:val="single" w:sz="4" w:space="0" w:color="auto"/>
            </w:tcBorders>
            <w:shd w:val="clear" w:color="auto" w:fill="auto"/>
            <w:vAlign w:val="bottom"/>
          </w:tcPr>
          <w:p w14:paraId="2F8CA55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0.2</w:t>
            </w:r>
          </w:p>
        </w:tc>
      </w:tr>
      <w:tr w:rsidR="00A37634" w:rsidRPr="00A37634" w14:paraId="23642A46" w14:textId="77777777" w:rsidTr="007C7289">
        <w:trPr>
          <w:trHeight w:val="255"/>
          <w:jc w:val="center"/>
        </w:trPr>
        <w:tc>
          <w:tcPr>
            <w:tcW w:w="1002" w:type="dxa"/>
            <w:tcBorders>
              <w:top w:val="nil"/>
              <w:left w:val="single" w:sz="4" w:space="0" w:color="auto"/>
              <w:bottom w:val="single" w:sz="4" w:space="0" w:color="auto"/>
              <w:right w:val="nil"/>
            </w:tcBorders>
            <w:noWrap/>
            <w:vAlign w:val="bottom"/>
          </w:tcPr>
          <w:p w14:paraId="6C4E3706"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ACT</w:t>
            </w:r>
          </w:p>
        </w:tc>
        <w:tc>
          <w:tcPr>
            <w:tcW w:w="1373" w:type="dxa"/>
            <w:tcBorders>
              <w:top w:val="nil"/>
              <w:left w:val="nil"/>
              <w:bottom w:val="nil"/>
              <w:right w:val="nil"/>
            </w:tcBorders>
            <w:shd w:val="clear" w:color="auto" w:fill="auto"/>
            <w:noWrap/>
            <w:vAlign w:val="bottom"/>
          </w:tcPr>
          <w:p w14:paraId="0FA1CC2E"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43</w:t>
            </w:r>
          </w:p>
        </w:tc>
        <w:tc>
          <w:tcPr>
            <w:tcW w:w="1089" w:type="dxa"/>
            <w:tcBorders>
              <w:top w:val="nil"/>
              <w:left w:val="nil"/>
              <w:bottom w:val="nil"/>
              <w:right w:val="nil"/>
            </w:tcBorders>
            <w:shd w:val="clear" w:color="auto" w:fill="auto"/>
            <w:noWrap/>
            <w:vAlign w:val="bottom"/>
          </w:tcPr>
          <w:p w14:paraId="4D22C2DF"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$17</w:t>
            </w:r>
          </w:p>
        </w:tc>
        <w:tc>
          <w:tcPr>
            <w:tcW w:w="1089" w:type="dxa"/>
            <w:tcBorders>
              <w:top w:val="nil"/>
              <w:left w:val="nil"/>
              <w:bottom w:val="nil"/>
              <w:right w:val="nil"/>
            </w:tcBorders>
            <w:shd w:val="clear" w:color="auto" w:fill="auto"/>
            <w:noWrap/>
            <w:vAlign w:val="bottom"/>
          </w:tcPr>
          <w:p w14:paraId="499ACDC3"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w:t>
            </w:r>
          </w:p>
        </w:tc>
        <w:tc>
          <w:tcPr>
            <w:tcW w:w="1089" w:type="dxa"/>
            <w:tcBorders>
              <w:top w:val="nil"/>
              <w:left w:val="nil"/>
              <w:bottom w:val="nil"/>
              <w:right w:val="single" w:sz="4" w:space="0" w:color="auto"/>
            </w:tcBorders>
            <w:shd w:val="clear" w:color="auto" w:fill="auto"/>
            <w:noWrap/>
            <w:vAlign w:val="bottom"/>
          </w:tcPr>
          <w:p w14:paraId="52D48921"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w:t>
            </w:r>
          </w:p>
        </w:tc>
        <w:tc>
          <w:tcPr>
            <w:tcW w:w="874" w:type="dxa"/>
            <w:tcBorders>
              <w:top w:val="nil"/>
              <w:left w:val="single" w:sz="4" w:space="0" w:color="auto"/>
              <w:bottom w:val="nil"/>
              <w:right w:val="single" w:sz="4" w:space="0" w:color="auto"/>
            </w:tcBorders>
            <w:shd w:val="clear" w:color="auto" w:fill="auto"/>
            <w:vAlign w:val="bottom"/>
          </w:tcPr>
          <w:p w14:paraId="3E9DA848"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0.1%</w:t>
            </w:r>
          </w:p>
        </w:tc>
        <w:tc>
          <w:tcPr>
            <w:tcW w:w="709" w:type="dxa"/>
            <w:tcBorders>
              <w:top w:val="nil"/>
              <w:left w:val="single" w:sz="4" w:space="0" w:color="auto"/>
              <w:bottom w:val="nil"/>
              <w:right w:val="single" w:sz="4" w:space="0" w:color="auto"/>
            </w:tcBorders>
            <w:shd w:val="clear" w:color="auto" w:fill="auto"/>
            <w:noWrap/>
            <w:vAlign w:val="bottom"/>
          </w:tcPr>
          <w:p w14:paraId="414D9E35"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1.1</w:t>
            </w:r>
          </w:p>
        </w:tc>
        <w:tc>
          <w:tcPr>
            <w:tcW w:w="786" w:type="dxa"/>
            <w:tcBorders>
              <w:top w:val="nil"/>
              <w:left w:val="nil"/>
              <w:bottom w:val="nil"/>
              <w:right w:val="single" w:sz="4" w:space="0" w:color="auto"/>
            </w:tcBorders>
            <w:shd w:val="clear" w:color="auto" w:fill="auto"/>
            <w:vAlign w:val="bottom"/>
          </w:tcPr>
          <w:p w14:paraId="59BB3F1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FF0000"/>
                <w:sz w:val="18"/>
                <w:szCs w:val="18"/>
                <w:lang w:val="en-AU"/>
              </w:rPr>
              <w:t>-$6</w:t>
            </w:r>
          </w:p>
        </w:tc>
        <w:tc>
          <w:tcPr>
            <w:tcW w:w="640" w:type="dxa"/>
            <w:tcBorders>
              <w:top w:val="nil"/>
              <w:left w:val="single" w:sz="4" w:space="0" w:color="auto"/>
              <w:bottom w:val="nil"/>
              <w:right w:val="single" w:sz="4" w:space="0" w:color="auto"/>
            </w:tcBorders>
            <w:shd w:val="clear" w:color="auto" w:fill="auto"/>
            <w:vAlign w:val="bottom"/>
          </w:tcPr>
          <w:p w14:paraId="7F70BF34"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0.6</w:t>
            </w:r>
          </w:p>
        </w:tc>
      </w:tr>
      <w:tr w:rsidR="00A37634" w:rsidRPr="00A37634" w14:paraId="2E0777D2" w14:textId="77777777" w:rsidTr="007C7289">
        <w:trPr>
          <w:trHeight w:val="255"/>
          <w:jc w:val="center"/>
        </w:trPr>
        <w:tc>
          <w:tcPr>
            <w:tcW w:w="1002" w:type="dxa"/>
            <w:tcBorders>
              <w:top w:val="single" w:sz="4" w:space="0" w:color="auto"/>
              <w:left w:val="single" w:sz="4" w:space="0" w:color="auto"/>
              <w:bottom w:val="single" w:sz="4" w:space="0" w:color="auto"/>
              <w:right w:val="nil"/>
            </w:tcBorders>
            <w:noWrap/>
            <w:vAlign w:val="bottom"/>
          </w:tcPr>
          <w:p w14:paraId="54B686FC"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Australia</w:t>
            </w:r>
          </w:p>
        </w:tc>
        <w:tc>
          <w:tcPr>
            <w:tcW w:w="1373" w:type="dxa"/>
            <w:tcBorders>
              <w:top w:val="single" w:sz="4" w:space="0" w:color="auto"/>
              <w:left w:val="nil"/>
              <w:bottom w:val="single" w:sz="4" w:space="0" w:color="auto"/>
              <w:right w:val="nil"/>
            </w:tcBorders>
            <w:shd w:val="clear" w:color="auto" w:fill="auto"/>
            <w:noWrap/>
            <w:vAlign w:val="bottom"/>
          </w:tcPr>
          <w:p w14:paraId="79655D4A"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2798</w:t>
            </w:r>
          </w:p>
        </w:tc>
        <w:tc>
          <w:tcPr>
            <w:tcW w:w="1089" w:type="dxa"/>
            <w:tcBorders>
              <w:top w:val="single" w:sz="4" w:space="0" w:color="auto"/>
              <w:left w:val="nil"/>
              <w:bottom w:val="single" w:sz="4" w:space="0" w:color="auto"/>
              <w:right w:val="nil"/>
            </w:tcBorders>
            <w:shd w:val="clear" w:color="auto" w:fill="auto"/>
            <w:noWrap/>
            <w:vAlign w:val="bottom"/>
          </w:tcPr>
          <w:p w14:paraId="40B8E7BA"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$839</w:t>
            </w:r>
          </w:p>
        </w:tc>
        <w:tc>
          <w:tcPr>
            <w:tcW w:w="1089" w:type="dxa"/>
            <w:tcBorders>
              <w:top w:val="single" w:sz="4" w:space="0" w:color="auto"/>
              <w:left w:val="nil"/>
              <w:bottom w:val="single" w:sz="4" w:space="0" w:color="auto"/>
              <w:right w:val="nil"/>
            </w:tcBorders>
            <w:shd w:val="clear" w:color="auto" w:fill="auto"/>
            <w:noWrap/>
            <w:vAlign w:val="bottom"/>
          </w:tcPr>
          <w:p w14:paraId="109EB08D"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$3,100</w:t>
            </w:r>
          </w:p>
        </w:tc>
        <w:tc>
          <w:tcPr>
            <w:tcW w:w="1089" w:type="dxa"/>
            <w:tcBorders>
              <w:top w:val="single" w:sz="4" w:space="0" w:color="auto"/>
              <w:left w:val="nil"/>
              <w:bottom w:val="single" w:sz="4" w:space="0" w:color="auto"/>
              <w:right w:val="single" w:sz="4" w:space="0" w:color="auto"/>
            </w:tcBorders>
            <w:shd w:val="clear" w:color="auto" w:fill="auto"/>
            <w:noWrap/>
            <w:vAlign w:val="bottom"/>
          </w:tcPr>
          <w:p w14:paraId="32E7CCDE"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$2,261</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14:paraId="01AB2A9B"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E3A80"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3.7</w:t>
            </w:r>
          </w:p>
        </w:tc>
        <w:tc>
          <w:tcPr>
            <w:tcW w:w="786" w:type="dxa"/>
            <w:tcBorders>
              <w:top w:val="single" w:sz="4" w:space="0" w:color="auto"/>
              <w:left w:val="nil"/>
              <w:bottom w:val="single" w:sz="4" w:space="0" w:color="auto"/>
              <w:right w:val="single" w:sz="4" w:space="0" w:color="auto"/>
            </w:tcBorders>
            <w:shd w:val="clear" w:color="auto" w:fill="auto"/>
            <w:vAlign w:val="bottom"/>
          </w:tcPr>
          <w:p w14:paraId="5167113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$1,762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tcPr>
          <w:p w14:paraId="7A0BB40E"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3.1</w:t>
            </w:r>
          </w:p>
        </w:tc>
      </w:tr>
      <w:tr w:rsidR="00A37634" w:rsidRPr="00A37634" w14:paraId="4EDA3DD7" w14:textId="77777777" w:rsidTr="007C7289">
        <w:trPr>
          <w:trHeight w:val="255"/>
          <w:jc w:val="center"/>
        </w:trPr>
        <w:tc>
          <w:tcPr>
            <w:tcW w:w="1002" w:type="dxa"/>
            <w:tcBorders>
              <w:top w:val="single" w:sz="4" w:space="0" w:color="auto"/>
              <w:left w:val="single" w:sz="4" w:space="0" w:color="auto"/>
              <w:bottom w:val="single" w:sz="4" w:space="0" w:color="auto"/>
              <w:right w:val="nil"/>
            </w:tcBorders>
            <w:noWrap/>
            <w:vAlign w:val="bottom"/>
          </w:tcPr>
          <w:p w14:paraId="6F8C7B25"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New Zealand</w:t>
            </w:r>
          </w:p>
        </w:tc>
        <w:tc>
          <w:tcPr>
            <w:tcW w:w="1373" w:type="dxa"/>
            <w:tcBorders>
              <w:top w:val="nil"/>
              <w:left w:val="nil"/>
              <w:bottom w:val="single" w:sz="4" w:space="0" w:color="auto"/>
              <w:right w:val="nil"/>
            </w:tcBorders>
            <w:shd w:val="clear" w:color="auto" w:fill="auto"/>
            <w:noWrap/>
            <w:vAlign w:val="bottom"/>
          </w:tcPr>
          <w:p w14:paraId="7B5D1BB2"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275</w:t>
            </w:r>
          </w:p>
        </w:tc>
        <w:tc>
          <w:tcPr>
            <w:tcW w:w="1089" w:type="dxa"/>
            <w:tcBorders>
              <w:top w:val="nil"/>
              <w:left w:val="nil"/>
              <w:bottom w:val="single" w:sz="4" w:space="0" w:color="auto"/>
              <w:right w:val="nil"/>
            </w:tcBorders>
            <w:shd w:val="clear" w:color="auto" w:fill="auto"/>
            <w:noWrap/>
            <w:vAlign w:val="bottom"/>
          </w:tcPr>
          <w:p w14:paraId="3DFC732D"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$125</w:t>
            </w:r>
          </w:p>
        </w:tc>
        <w:tc>
          <w:tcPr>
            <w:tcW w:w="1089" w:type="dxa"/>
            <w:tcBorders>
              <w:top w:val="nil"/>
              <w:left w:val="nil"/>
              <w:bottom w:val="single" w:sz="4" w:space="0" w:color="auto"/>
              <w:right w:val="nil"/>
            </w:tcBorders>
            <w:shd w:val="clear" w:color="auto" w:fill="auto"/>
            <w:noWrap/>
            <w:vAlign w:val="bottom"/>
          </w:tcPr>
          <w:p w14:paraId="18DB546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$255</w:t>
            </w:r>
          </w:p>
        </w:tc>
        <w:tc>
          <w:tcPr>
            <w:tcW w:w="1089" w:type="dxa"/>
            <w:tcBorders>
              <w:top w:val="nil"/>
              <w:left w:val="nil"/>
              <w:bottom w:val="single" w:sz="4" w:space="0" w:color="auto"/>
              <w:right w:val="single" w:sz="4" w:space="0" w:color="auto"/>
            </w:tcBorders>
            <w:shd w:val="clear" w:color="auto" w:fill="auto"/>
            <w:noWrap/>
            <w:vAlign w:val="bottom"/>
          </w:tcPr>
          <w:p w14:paraId="314198BC"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$130</w:t>
            </w:r>
          </w:p>
        </w:tc>
        <w:tc>
          <w:tcPr>
            <w:tcW w:w="874" w:type="dxa"/>
            <w:tcBorders>
              <w:top w:val="nil"/>
              <w:left w:val="single" w:sz="4" w:space="0" w:color="auto"/>
              <w:bottom w:val="single" w:sz="4" w:space="0" w:color="auto"/>
              <w:right w:val="single" w:sz="4" w:space="0" w:color="auto"/>
            </w:tcBorders>
            <w:shd w:val="clear" w:color="auto" w:fill="auto"/>
            <w:vAlign w:val="bottom"/>
          </w:tcPr>
          <w:p w14:paraId="3C8D294E"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 </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E767A58"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2.0</w:t>
            </w:r>
          </w:p>
        </w:tc>
        <w:tc>
          <w:tcPr>
            <w:tcW w:w="786" w:type="dxa"/>
            <w:tcBorders>
              <w:top w:val="nil"/>
              <w:left w:val="nil"/>
              <w:bottom w:val="single" w:sz="4" w:space="0" w:color="auto"/>
              <w:right w:val="single" w:sz="4" w:space="0" w:color="auto"/>
            </w:tcBorders>
            <w:shd w:val="clear" w:color="auto" w:fill="auto"/>
            <w:vAlign w:val="bottom"/>
          </w:tcPr>
          <w:p w14:paraId="72402FB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$255</w:t>
            </w:r>
          </w:p>
        </w:tc>
        <w:tc>
          <w:tcPr>
            <w:tcW w:w="640" w:type="dxa"/>
            <w:tcBorders>
              <w:top w:val="nil"/>
              <w:left w:val="single" w:sz="4" w:space="0" w:color="auto"/>
              <w:bottom w:val="single" w:sz="4" w:space="0" w:color="auto"/>
              <w:right w:val="single" w:sz="4" w:space="0" w:color="auto"/>
            </w:tcBorders>
            <w:shd w:val="clear" w:color="auto" w:fill="auto"/>
            <w:vAlign w:val="bottom"/>
          </w:tcPr>
          <w:p w14:paraId="2374B1EB"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2.0</w:t>
            </w:r>
          </w:p>
        </w:tc>
      </w:tr>
    </w:tbl>
    <w:p w14:paraId="25834729" w14:textId="77777777" w:rsidR="00A37634" w:rsidRPr="00A37634" w:rsidRDefault="00A37634" w:rsidP="00A37634">
      <w:pPr>
        <w:spacing w:after="0" w:line="278" w:lineRule="auto"/>
        <w:jc w:val="center"/>
        <w:rPr>
          <w:rFonts w:ascii="Calibri" w:eastAsia="Cambria" w:hAnsi="Calibri" w:cs="Calibri"/>
          <w:sz w:val="16"/>
          <w:szCs w:val="24"/>
          <w:lang w:val="en-AU"/>
        </w:rPr>
      </w:pPr>
      <w:bookmarkStart w:id="75" w:name="_Hlk13049992"/>
      <w:r w:rsidRPr="00A37634">
        <w:rPr>
          <w:rFonts w:ascii="Calibri" w:eastAsia="Cambria" w:hAnsi="Calibri" w:cs="Calibri"/>
          <w:sz w:val="16"/>
          <w:szCs w:val="24"/>
          <w:lang w:val="en-AU"/>
        </w:rPr>
        <w:t xml:space="preserve">(a) 50% of total </w:t>
      </w:r>
      <w:proofErr w:type="spellStart"/>
      <w:r w:rsidRPr="00A37634">
        <w:rPr>
          <w:rFonts w:ascii="Calibri" w:eastAsia="Cambria" w:hAnsi="Calibri" w:cs="Calibri"/>
          <w:sz w:val="16"/>
          <w:szCs w:val="24"/>
          <w:lang w:val="en-AU"/>
        </w:rPr>
        <w:t>MWe</w:t>
      </w:r>
      <w:proofErr w:type="spellEnd"/>
      <w:r w:rsidRPr="00A37634">
        <w:rPr>
          <w:rFonts w:ascii="Calibri" w:eastAsia="Cambria" w:hAnsi="Calibri" w:cs="Calibri"/>
          <w:sz w:val="16"/>
          <w:szCs w:val="24"/>
          <w:lang w:val="en-AU"/>
        </w:rPr>
        <w:t xml:space="preserve"> of participating DR-capable products. (</w:t>
      </w:r>
      <w:proofErr w:type="gramStart"/>
      <w:r w:rsidRPr="00A37634">
        <w:rPr>
          <w:rFonts w:ascii="Calibri" w:eastAsia="Cambria" w:hAnsi="Calibri" w:cs="Calibri"/>
          <w:sz w:val="16"/>
          <w:szCs w:val="24"/>
          <w:lang w:val="en-AU"/>
        </w:rPr>
        <w:t>b</w:t>
      </w:r>
      <w:proofErr w:type="gramEnd"/>
      <w:r w:rsidRPr="00A37634">
        <w:rPr>
          <w:rFonts w:ascii="Calibri" w:eastAsia="Cambria" w:hAnsi="Calibri" w:cs="Calibri"/>
          <w:sz w:val="16"/>
          <w:szCs w:val="24"/>
          <w:lang w:val="en-AU"/>
        </w:rPr>
        <w:t>) NPV at 7% discount rate for costs and benefits 2021-2035; 6% discount rate for NZ</w:t>
      </w:r>
    </w:p>
    <w:p w14:paraId="11A351EC" w14:textId="77777777" w:rsidR="000B2AF8" w:rsidRDefault="000B2AF8">
      <w:pPr>
        <w:rPr>
          <w:rFonts w:ascii="Calibri" w:eastAsia="Cambria" w:hAnsi="Calibri" w:cs="Calibri"/>
          <w:b/>
          <w:bCs/>
          <w:sz w:val="20"/>
          <w:szCs w:val="16"/>
          <w:lang w:val="en-AU"/>
        </w:rPr>
      </w:pPr>
      <w:bookmarkStart w:id="76" w:name="_Ref327262874"/>
      <w:bookmarkStart w:id="77" w:name="_Ref327262868"/>
      <w:bookmarkStart w:id="78" w:name="_Toc333183025"/>
      <w:bookmarkStart w:id="79" w:name="_Toc369633240"/>
      <w:bookmarkStart w:id="80" w:name="_Toc11360608"/>
      <w:bookmarkStart w:id="81" w:name="_Toc16500997"/>
      <w:bookmarkEnd w:id="75"/>
      <w:r>
        <w:rPr>
          <w:rFonts w:ascii="Calibri" w:eastAsia="Cambria" w:hAnsi="Calibri" w:cs="Calibri"/>
          <w:b/>
          <w:bCs/>
          <w:sz w:val="20"/>
          <w:szCs w:val="16"/>
          <w:lang w:val="en-AU"/>
        </w:rPr>
        <w:br w:type="page"/>
      </w:r>
    </w:p>
    <w:p w14:paraId="384DB282" w14:textId="1F448E46" w:rsidR="00A37634" w:rsidRPr="00A37634" w:rsidRDefault="00A37634" w:rsidP="00A37634">
      <w:pPr>
        <w:spacing w:before="240" w:after="120" w:line="240" w:lineRule="auto"/>
        <w:jc w:val="center"/>
        <w:rPr>
          <w:rFonts w:ascii="Calibri" w:eastAsia="Cambria" w:hAnsi="Calibri" w:cs="Calibri"/>
          <w:b/>
          <w:bCs/>
          <w:sz w:val="20"/>
          <w:szCs w:val="16"/>
          <w:lang w:val="en-AU"/>
        </w:rPr>
      </w:pPr>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6</w:t>
      </w:r>
      <w:r w:rsidRPr="00A37634">
        <w:rPr>
          <w:rFonts w:ascii="Calibri" w:eastAsia="Cambria" w:hAnsi="Calibri" w:cs="Calibri"/>
          <w:b/>
          <w:bCs/>
          <w:noProof/>
          <w:sz w:val="20"/>
          <w:szCs w:val="16"/>
          <w:lang w:val="en-AU"/>
        </w:rPr>
        <w:fldChar w:fldCharType="end"/>
      </w:r>
      <w:bookmarkEnd w:id="76"/>
      <w:r w:rsidRPr="00A37634">
        <w:rPr>
          <w:rFonts w:ascii="Calibri" w:eastAsia="Cambria" w:hAnsi="Calibri" w:cs="Calibri"/>
          <w:b/>
          <w:bCs/>
          <w:sz w:val="20"/>
          <w:szCs w:val="16"/>
          <w:lang w:val="en-AU"/>
        </w:rPr>
        <w:t>. Projected costs and benefits by jurisdiction (medium activation</w:t>
      </w:r>
      <w:bookmarkEnd w:id="77"/>
      <w:bookmarkEnd w:id="78"/>
      <w:bookmarkEnd w:id="79"/>
      <w:r w:rsidRPr="00A37634">
        <w:rPr>
          <w:rFonts w:ascii="Calibri" w:eastAsia="Cambria" w:hAnsi="Calibri" w:cs="Calibri"/>
          <w:b/>
          <w:bCs/>
          <w:sz w:val="20"/>
          <w:szCs w:val="16"/>
          <w:lang w:val="en-AU"/>
        </w:rPr>
        <w:t>)</w:t>
      </w:r>
      <w:bookmarkEnd w:id="80"/>
      <w:bookmarkEnd w:id="81"/>
    </w:p>
    <w:tbl>
      <w:tblPr>
        <w:tblW w:w="8642" w:type="dxa"/>
        <w:jc w:val="center"/>
        <w:tblLayout w:type="fixed"/>
        <w:tblCellMar>
          <w:left w:w="0" w:type="dxa"/>
          <w:right w:w="0" w:type="dxa"/>
        </w:tblCellMar>
        <w:tblLook w:val="0000" w:firstRow="0" w:lastRow="0" w:firstColumn="0" w:lastColumn="0" w:noHBand="0" w:noVBand="0"/>
      </w:tblPr>
      <w:tblGrid>
        <w:gridCol w:w="994"/>
        <w:gridCol w:w="8"/>
        <w:gridCol w:w="1437"/>
        <w:gridCol w:w="1028"/>
        <w:gridCol w:w="1028"/>
        <w:gridCol w:w="1029"/>
        <w:gridCol w:w="992"/>
        <w:gridCol w:w="709"/>
        <w:gridCol w:w="708"/>
        <w:gridCol w:w="709"/>
      </w:tblGrid>
      <w:tr w:rsidR="00A37634" w:rsidRPr="00A37634" w14:paraId="4B18D793" w14:textId="77777777" w:rsidTr="007C7289">
        <w:trPr>
          <w:cantSplit/>
          <w:trHeight w:val="533"/>
          <w:tblHeader/>
          <w:jc w:val="center"/>
        </w:trPr>
        <w:tc>
          <w:tcPr>
            <w:tcW w:w="994" w:type="dxa"/>
            <w:vMerge w:val="restart"/>
            <w:tcBorders>
              <w:top w:val="single" w:sz="4" w:space="0" w:color="auto"/>
              <w:left w:val="single" w:sz="4" w:space="0" w:color="auto"/>
              <w:right w:val="nil"/>
            </w:tcBorders>
            <w:noWrap/>
          </w:tcPr>
          <w:p w14:paraId="17C5EB10"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445" w:type="dxa"/>
            <w:gridSpan w:val="2"/>
            <w:vMerge w:val="restart"/>
            <w:tcBorders>
              <w:top w:val="single" w:sz="4" w:space="0" w:color="auto"/>
              <w:left w:val="nil"/>
              <w:right w:val="nil"/>
            </w:tcBorders>
            <w:noWrap/>
          </w:tcPr>
          <w:p w14:paraId="1ED78361"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Arial Unicode MS" w:hAnsi="Calibri" w:cs="Calibri"/>
                <w:b/>
                <w:sz w:val="18"/>
                <w:szCs w:val="18"/>
                <w:lang w:val="en-AU"/>
              </w:rPr>
              <w:t xml:space="preserve">Routine DLC Reduction </w:t>
            </w:r>
            <w:r w:rsidRPr="00A37634">
              <w:rPr>
                <w:rFonts w:ascii="Calibri" w:eastAsia="Arial Unicode MS" w:hAnsi="Calibri" w:cs="Calibri"/>
                <w:b/>
                <w:sz w:val="18"/>
                <w:szCs w:val="18"/>
                <w:lang w:val="en-AU"/>
              </w:rPr>
              <w:br/>
              <w:t xml:space="preserve">available SMD </w:t>
            </w:r>
            <w:r w:rsidRPr="00A37634">
              <w:rPr>
                <w:rFonts w:ascii="Calibri" w:eastAsia="Arial Unicode MS" w:hAnsi="Calibri" w:cs="Calibri"/>
                <w:b/>
                <w:sz w:val="18"/>
                <w:szCs w:val="18"/>
                <w:lang w:val="en-AU"/>
              </w:rPr>
              <w:br/>
              <w:t>2035, MW (a)</w:t>
            </w:r>
          </w:p>
        </w:tc>
        <w:tc>
          <w:tcPr>
            <w:tcW w:w="1028" w:type="dxa"/>
            <w:vMerge w:val="restart"/>
            <w:tcBorders>
              <w:top w:val="single" w:sz="4" w:space="0" w:color="auto"/>
              <w:left w:val="nil"/>
              <w:right w:val="nil"/>
            </w:tcBorders>
            <w:noWrap/>
            <w:vAlign w:val="center"/>
          </w:tcPr>
          <w:p w14:paraId="4CD7ED6A"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Arial Unicode MS" w:hAnsi="Calibri" w:cs="Calibri"/>
                <w:b/>
                <w:sz w:val="18"/>
                <w:szCs w:val="18"/>
                <w:lang w:val="en-AU"/>
              </w:rPr>
              <w:t>Costs</w:t>
            </w:r>
            <w:r w:rsidRPr="00A37634">
              <w:rPr>
                <w:rFonts w:ascii="Calibri" w:eastAsia="Arial Unicode MS" w:hAnsi="Calibri" w:cs="Calibri"/>
                <w:b/>
                <w:sz w:val="18"/>
                <w:szCs w:val="18"/>
                <w:lang w:val="en-AU"/>
              </w:rPr>
              <w:br/>
              <w:t>$M NPV</w:t>
            </w:r>
            <w:r w:rsidRPr="00A37634">
              <w:rPr>
                <w:rFonts w:ascii="Calibri" w:eastAsia="Arial Unicode MS" w:hAnsi="Calibri" w:cs="Calibri"/>
                <w:b/>
                <w:sz w:val="18"/>
                <w:szCs w:val="18"/>
                <w:lang w:val="en-AU"/>
              </w:rPr>
              <w:br/>
              <w:t>(b)</w:t>
            </w:r>
          </w:p>
          <w:p w14:paraId="12BBD8CC"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28" w:type="dxa"/>
            <w:vMerge w:val="restart"/>
            <w:tcBorders>
              <w:top w:val="single" w:sz="4" w:space="0" w:color="auto"/>
              <w:left w:val="nil"/>
              <w:right w:val="nil"/>
            </w:tcBorders>
            <w:noWrap/>
            <w:vAlign w:val="center"/>
          </w:tcPr>
          <w:p w14:paraId="4B78C30E"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Arial Unicode MS" w:hAnsi="Calibri" w:cs="Calibri"/>
                <w:b/>
                <w:sz w:val="18"/>
                <w:szCs w:val="18"/>
                <w:lang w:val="en-AU"/>
              </w:rPr>
              <w:t>Benefits</w:t>
            </w:r>
            <w:r w:rsidRPr="00A37634">
              <w:rPr>
                <w:rFonts w:ascii="Calibri" w:eastAsia="Arial Unicode MS" w:hAnsi="Calibri" w:cs="Calibri"/>
                <w:b/>
                <w:sz w:val="18"/>
                <w:szCs w:val="18"/>
                <w:lang w:val="en-AU"/>
              </w:rPr>
              <w:br/>
              <w:t>$M NPV</w:t>
            </w:r>
            <w:r w:rsidRPr="00A37634">
              <w:rPr>
                <w:rFonts w:ascii="Calibri" w:eastAsia="Arial Unicode MS" w:hAnsi="Calibri" w:cs="Calibri"/>
                <w:b/>
                <w:sz w:val="18"/>
                <w:szCs w:val="18"/>
                <w:lang w:val="en-AU"/>
              </w:rPr>
              <w:br/>
              <w:t>(b)</w:t>
            </w:r>
          </w:p>
          <w:p w14:paraId="72DFCBB8"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29" w:type="dxa"/>
            <w:vMerge w:val="restart"/>
            <w:tcBorders>
              <w:top w:val="single" w:sz="4" w:space="0" w:color="auto"/>
              <w:left w:val="nil"/>
              <w:right w:val="nil"/>
            </w:tcBorders>
            <w:noWrap/>
            <w:vAlign w:val="center"/>
          </w:tcPr>
          <w:p w14:paraId="0E9757AB"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Arial Unicode MS" w:hAnsi="Calibri" w:cs="Calibri"/>
                <w:b/>
                <w:sz w:val="18"/>
                <w:szCs w:val="18"/>
                <w:lang w:val="en-AU"/>
              </w:rPr>
              <w:t>Net</w:t>
            </w:r>
            <w:r w:rsidRPr="00A37634">
              <w:rPr>
                <w:rFonts w:ascii="Calibri" w:eastAsia="Arial Unicode MS" w:hAnsi="Calibri" w:cs="Calibri"/>
                <w:b/>
                <w:sz w:val="18"/>
                <w:szCs w:val="18"/>
                <w:lang w:val="en-AU"/>
              </w:rPr>
              <w:br/>
              <w:t>Benefits</w:t>
            </w:r>
            <w:r w:rsidRPr="00A37634">
              <w:rPr>
                <w:rFonts w:ascii="Calibri" w:eastAsia="Arial Unicode MS" w:hAnsi="Calibri" w:cs="Calibri"/>
                <w:b/>
                <w:sz w:val="18"/>
                <w:szCs w:val="18"/>
                <w:lang w:val="en-AU"/>
              </w:rPr>
              <w:br/>
              <w:t>$M NPV</w:t>
            </w:r>
            <w:r w:rsidRPr="00A37634">
              <w:rPr>
                <w:rFonts w:ascii="Calibri" w:eastAsia="Arial Unicode MS" w:hAnsi="Calibri" w:cs="Calibri"/>
                <w:b/>
                <w:sz w:val="18"/>
                <w:szCs w:val="18"/>
                <w:lang w:val="en-AU"/>
              </w:rPr>
              <w:br/>
              <w:t>(b)</w:t>
            </w:r>
          </w:p>
        </w:tc>
        <w:tc>
          <w:tcPr>
            <w:tcW w:w="992" w:type="dxa"/>
            <w:vMerge w:val="restart"/>
            <w:tcBorders>
              <w:top w:val="single" w:sz="4" w:space="0" w:color="auto"/>
              <w:left w:val="single" w:sz="4" w:space="0" w:color="auto"/>
              <w:right w:val="single" w:sz="4" w:space="0" w:color="auto"/>
            </w:tcBorders>
            <w:vAlign w:val="center"/>
          </w:tcPr>
          <w:p w14:paraId="5F0AFE7B"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Arial Unicode MS" w:hAnsi="Calibri" w:cs="Calibri"/>
                <w:b/>
                <w:sz w:val="18"/>
                <w:szCs w:val="18"/>
                <w:lang w:val="en-AU"/>
              </w:rPr>
              <w:t>% net</w:t>
            </w:r>
            <w:r w:rsidRPr="00A37634">
              <w:rPr>
                <w:rFonts w:ascii="Calibri" w:eastAsia="Arial Unicode MS" w:hAnsi="Calibri" w:cs="Calibri"/>
                <w:b/>
                <w:sz w:val="18"/>
                <w:szCs w:val="18"/>
                <w:lang w:val="en-AU"/>
              </w:rPr>
              <w:br/>
              <w:t xml:space="preserve">national </w:t>
            </w:r>
            <w:r w:rsidRPr="00A37634">
              <w:rPr>
                <w:rFonts w:ascii="Calibri" w:eastAsia="Arial Unicode MS" w:hAnsi="Calibri" w:cs="Calibri"/>
                <w:b/>
                <w:sz w:val="18"/>
                <w:szCs w:val="18"/>
                <w:lang w:val="en-AU"/>
              </w:rPr>
              <w:br/>
              <w:t>benefits</w:t>
            </w:r>
          </w:p>
        </w:tc>
        <w:tc>
          <w:tcPr>
            <w:tcW w:w="709" w:type="dxa"/>
            <w:vMerge w:val="restart"/>
            <w:tcBorders>
              <w:top w:val="single" w:sz="4" w:space="0" w:color="auto"/>
              <w:left w:val="single" w:sz="4" w:space="0" w:color="auto"/>
              <w:right w:val="single" w:sz="4" w:space="0" w:color="auto"/>
            </w:tcBorders>
            <w:noWrap/>
            <w:vAlign w:val="center"/>
          </w:tcPr>
          <w:p w14:paraId="43D199D6"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Arial Unicode MS" w:hAnsi="Calibri" w:cs="Calibri"/>
                <w:b/>
                <w:sz w:val="18"/>
                <w:szCs w:val="18"/>
                <w:lang w:val="en-AU"/>
              </w:rPr>
              <w:t>B/C ratio</w:t>
            </w:r>
          </w:p>
        </w:tc>
        <w:tc>
          <w:tcPr>
            <w:tcW w:w="1417" w:type="dxa"/>
            <w:gridSpan w:val="2"/>
            <w:tcBorders>
              <w:top w:val="single" w:sz="4" w:space="0" w:color="auto"/>
              <w:left w:val="single" w:sz="4" w:space="0" w:color="auto"/>
              <w:bottom w:val="single" w:sz="4" w:space="0" w:color="auto"/>
              <w:right w:val="single" w:sz="4" w:space="0" w:color="auto"/>
            </w:tcBorders>
          </w:tcPr>
          <w:p w14:paraId="5B0788D2"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Without whole-sale price benefit</w:t>
            </w:r>
          </w:p>
        </w:tc>
      </w:tr>
      <w:tr w:rsidR="00A37634" w:rsidRPr="00A37634" w14:paraId="71817027" w14:textId="77777777" w:rsidTr="007C7289">
        <w:trPr>
          <w:cantSplit/>
          <w:trHeight w:val="532"/>
          <w:tblHeader/>
          <w:jc w:val="center"/>
        </w:trPr>
        <w:tc>
          <w:tcPr>
            <w:tcW w:w="994" w:type="dxa"/>
            <w:vMerge/>
            <w:tcBorders>
              <w:left w:val="single" w:sz="4" w:space="0" w:color="auto"/>
              <w:bottom w:val="single" w:sz="4" w:space="0" w:color="auto"/>
              <w:right w:val="nil"/>
            </w:tcBorders>
            <w:noWrap/>
          </w:tcPr>
          <w:p w14:paraId="131302D7"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445" w:type="dxa"/>
            <w:gridSpan w:val="2"/>
            <w:vMerge/>
            <w:tcBorders>
              <w:left w:val="nil"/>
              <w:bottom w:val="single" w:sz="4" w:space="0" w:color="auto"/>
              <w:right w:val="nil"/>
            </w:tcBorders>
            <w:noWrap/>
          </w:tcPr>
          <w:p w14:paraId="5B609CD0"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28" w:type="dxa"/>
            <w:vMerge/>
            <w:tcBorders>
              <w:left w:val="nil"/>
              <w:bottom w:val="single" w:sz="4" w:space="0" w:color="auto"/>
              <w:right w:val="nil"/>
            </w:tcBorders>
            <w:noWrap/>
            <w:vAlign w:val="center"/>
          </w:tcPr>
          <w:p w14:paraId="246CC5EF"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28" w:type="dxa"/>
            <w:vMerge/>
            <w:tcBorders>
              <w:left w:val="nil"/>
              <w:bottom w:val="single" w:sz="4" w:space="0" w:color="auto"/>
              <w:right w:val="nil"/>
            </w:tcBorders>
            <w:noWrap/>
            <w:vAlign w:val="center"/>
          </w:tcPr>
          <w:p w14:paraId="7BF22AA7"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29" w:type="dxa"/>
            <w:vMerge/>
            <w:tcBorders>
              <w:left w:val="nil"/>
              <w:bottom w:val="single" w:sz="4" w:space="0" w:color="auto"/>
              <w:right w:val="nil"/>
            </w:tcBorders>
            <w:noWrap/>
            <w:vAlign w:val="center"/>
          </w:tcPr>
          <w:p w14:paraId="145B37CA"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992" w:type="dxa"/>
            <w:vMerge/>
            <w:tcBorders>
              <w:left w:val="single" w:sz="4" w:space="0" w:color="auto"/>
              <w:bottom w:val="single" w:sz="4" w:space="0" w:color="auto"/>
              <w:right w:val="single" w:sz="4" w:space="0" w:color="auto"/>
            </w:tcBorders>
            <w:vAlign w:val="center"/>
          </w:tcPr>
          <w:p w14:paraId="0A780240"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709" w:type="dxa"/>
            <w:vMerge/>
            <w:tcBorders>
              <w:left w:val="single" w:sz="4" w:space="0" w:color="auto"/>
              <w:bottom w:val="single" w:sz="4" w:space="0" w:color="auto"/>
              <w:right w:val="single" w:sz="4" w:space="0" w:color="auto"/>
            </w:tcBorders>
            <w:noWrap/>
            <w:vAlign w:val="center"/>
          </w:tcPr>
          <w:p w14:paraId="38FAF7C4"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708" w:type="dxa"/>
            <w:tcBorders>
              <w:top w:val="single" w:sz="4" w:space="0" w:color="auto"/>
              <w:left w:val="single" w:sz="4" w:space="0" w:color="auto"/>
              <w:bottom w:val="single" w:sz="4" w:space="0" w:color="auto"/>
              <w:right w:val="single" w:sz="4" w:space="0" w:color="auto"/>
            </w:tcBorders>
          </w:tcPr>
          <w:p w14:paraId="0EFFDB9E"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w:t>
            </w:r>
          </w:p>
        </w:tc>
        <w:tc>
          <w:tcPr>
            <w:tcW w:w="709" w:type="dxa"/>
            <w:tcBorders>
              <w:top w:val="single" w:sz="4" w:space="0" w:color="auto"/>
              <w:left w:val="single" w:sz="4" w:space="0" w:color="auto"/>
              <w:bottom w:val="single" w:sz="4" w:space="0" w:color="auto"/>
              <w:right w:val="single" w:sz="4" w:space="0" w:color="auto"/>
            </w:tcBorders>
          </w:tcPr>
          <w:p w14:paraId="089905D5"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B/C ratio</w:t>
            </w:r>
          </w:p>
        </w:tc>
      </w:tr>
      <w:tr w:rsidR="00A37634" w:rsidRPr="00A37634" w14:paraId="029FBC98" w14:textId="77777777" w:rsidTr="007C7289">
        <w:trPr>
          <w:trHeight w:val="255"/>
          <w:jc w:val="center"/>
        </w:trPr>
        <w:tc>
          <w:tcPr>
            <w:tcW w:w="1002" w:type="dxa"/>
            <w:gridSpan w:val="2"/>
            <w:tcBorders>
              <w:top w:val="single" w:sz="4" w:space="0" w:color="auto"/>
              <w:left w:val="single" w:sz="4" w:space="0" w:color="auto"/>
              <w:bottom w:val="nil"/>
              <w:right w:val="nil"/>
            </w:tcBorders>
            <w:noWrap/>
            <w:vAlign w:val="bottom"/>
          </w:tcPr>
          <w:p w14:paraId="0DB875B7"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NSW</w:t>
            </w:r>
          </w:p>
        </w:tc>
        <w:tc>
          <w:tcPr>
            <w:tcW w:w="1437" w:type="dxa"/>
            <w:tcBorders>
              <w:top w:val="nil"/>
              <w:left w:val="nil"/>
              <w:bottom w:val="nil"/>
              <w:right w:val="nil"/>
            </w:tcBorders>
            <w:shd w:val="clear" w:color="auto" w:fill="auto"/>
            <w:noWrap/>
            <w:vAlign w:val="bottom"/>
          </w:tcPr>
          <w:p w14:paraId="7888B688"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1029</w:t>
            </w:r>
          </w:p>
        </w:tc>
        <w:tc>
          <w:tcPr>
            <w:tcW w:w="1028" w:type="dxa"/>
            <w:tcBorders>
              <w:top w:val="nil"/>
              <w:left w:val="nil"/>
              <w:bottom w:val="nil"/>
              <w:right w:val="nil"/>
            </w:tcBorders>
            <w:shd w:val="clear" w:color="auto" w:fill="auto"/>
            <w:noWrap/>
            <w:vAlign w:val="bottom"/>
          </w:tcPr>
          <w:p w14:paraId="2FCF836E"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$286</w:t>
            </w:r>
          </w:p>
        </w:tc>
        <w:tc>
          <w:tcPr>
            <w:tcW w:w="1028" w:type="dxa"/>
            <w:tcBorders>
              <w:top w:val="nil"/>
              <w:left w:val="nil"/>
              <w:bottom w:val="nil"/>
              <w:right w:val="nil"/>
            </w:tcBorders>
            <w:shd w:val="clear" w:color="auto" w:fill="auto"/>
            <w:noWrap/>
            <w:vAlign w:val="bottom"/>
          </w:tcPr>
          <w:p w14:paraId="46F1EEE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$578</w:t>
            </w:r>
          </w:p>
        </w:tc>
        <w:tc>
          <w:tcPr>
            <w:tcW w:w="1029" w:type="dxa"/>
            <w:tcBorders>
              <w:top w:val="nil"/>
              <w:left w:val="nil"/>
              <w:bottom w:val="nil"/>
              <w:right w:val="single" w:sz="4" w:space="0" w:color="auto"/>
            </w:tcBorders>
            <w:shd w:val="clear" w:color="auto" w:fill="auto"/>
            <w:noWrap/>
            <w:vAlign w:val="bottom"/>
          </w:tcPr>
          <w:p w14:paraId="4A66C28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$292</w:t>
            </w:r>
          </w:p>
        </w:tc>
        <w:tc>
          <w:tcPr>
            <w:tcW w:w="992" w:type="dxa"/>
            <w:tcBorders>
              <w:top w:val="nil"/>
              <w:left w:val="single" w:sz="4" w:space="0" w:color="auto"/>
              <w:bottom w:val="nil"/>
              <w:right w:val="single" w:sz="4" w:space="0" w:color="auto"/>
            </w:tcBorders>
            <w:shd w:val="clear" w:color="auto" w:fill="auto"/>
            <w:vAlign w:val="bottom"/>
          </w:tcPr>
          <w:p w14:paraId="634167C5"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9.9%</w:t>
            </w:r>
          </w:p>
        </w:tc>
        <w:tc>
          <w:tcPr>
            <w:tcW w:w="709" w:type="dxa"/>
            <w:tcBorders>
              <w:top w:val="nil"/>
              <w:left w:val="single" w:sz="4" w:space="0" w:color="auto"/>
              <w:bottom w:val="nil"/>
              <w:right w:val="single" w:sz="4" w:space="0" w:color="auto"/>
            </w:tcBorders>
            <w:shd w:val="clear" w:color="auto" w:fill="auto"/>
            <w:noWrap/>
            <w:vAlign w:val="bottom"/>
          </w:tcPr>
          <w:p w14:paraId="5F36C948"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2.0</w:t>
            </w:r>
          </w:p>
        </w:tc>
        <w:tc>
          <w:tcPr>
            <w:tcW w:w="708" w:type="dxa"/>
            <w:tcBorders>
              <w:top w:val="nil"/>
              <w:left w:val="nil"/>
              <w:bottom w:val="nil"/>
              <w:right w:val="single" w:sz="4" w:space="0" w:color="auto"/>
            </w:tcBorders>
            <w:shd w:val="clear" w:color="auto" w:fill="auto"/>
            <w:vAlign w:val="bottom"/>
          </w:tcPr>
          <w:p w14:paraId="53D4AB64"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$135</w:t>
            </w:r>
          </w:p>
        </w:tc>
        <w:tc>
          <w:tcPr>
            <w:tcW w:w="709" w:type="dxa"/>
            <w:tcBorders>
              <w:top w:val="nil"/>
              <w:left w:val="single" w:sz="4" w:space="0" w:color="auto"/>
              <w:bottom w:val="nil"/>
              <w:right w:val="single" w:sz="4" w:space="0" w:color="auto"/>
            </w:tcBorders>
            <w:shd w:val="clear" w:color="auto" w:fill="auto"/>
            <w:vAlign w:val="bottom"/>
          </w:tcPr>
          <w:p w14:paraId="20C00C2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1.5</w:t>
            </w:r>
          </w:p>
        </w:tc>
      </w:tr>
      <w:tr w:rsidR="00A37634" w:rsidRPr="00A37634" w14:paraId="71952783" w14:textId="77777777" w:rsidTr="007C7289">
        <w:trPr>
          <w:trHeight w:val="255"/>
          <w:jc w:val="center"/>
        </w:trPr>
        <w:tc>
          <w:tcPr>
            <w:tcW w:w="1002" w:type="dxa"/>
            <w:gridSpan w:val="2"/>
            <w:tcBorders>
              <w:top w:val="nil"/>
              <w:left w:val="single" w:sz="4" w:space="0" w:color="auto"/>
              <w:bottom w:val="nil"/>
              <w:right w:val="nil"/>
            </w:tcBorders>
            <w:noWrap/>
            <w:vAlign w:val="bottom"/>
          </w:tcPr>
          <w:p w14:paraId="4512C712"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Vic</w:t>
            </w:r>
          </w:p>
        </w:tc>
        <w:tc>
          <w:tcPr>
            <w:tcW w:w="1437" w:type="dxa"/>
            <w:tcBorders>
              <w:top w:val="nil"/>
              <w:left w:val="nil"/>
              <w:bottom w:val="nil"/>
              <w:right w:val="nil"/>
            </w:tcBorders>
            <w:shd w:val="clear" w:color="auto" w:fill="auto"/>
            <w:noWrap/>
            <w:vAlign w:val="bottom"/>
          </w:tcPr>
          <w:p w14:paraId="7C6BCBB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685</w:t>
            </w:r>
          </w:p>
        </w:tc>
        <w:tc>
          <w:tcPr>
            <w:tcW w:w="1028" w:type="dxa"/>
            <w:tcBorders>
              <w:top w:val="nil"/>
              <w:left w:val="nil"/>
              <w:bottom w:val="nil"/>
              <w:right w:val="nil"/>
            </w:tcBorders>
            <w:shd w:val="clear" w:color="auto" w:fill="auto"/>
            <w:noWrap/>
            <w:vAlign w:val="bottom"/>
          </w:tcPr>
          <w:p w14:paraId="4E72211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$160</w:t>
            </w:r>
          </w:p>
        </w:tc>
        <w:tc>
          <w:tcPr>
            <w:tcW w:w="1028" w:type="dxa"/>
            <w:tcBorders>
              <w:top w:val="nil"/>
              <w:left w:val="nil"/>
              <w:bottom w:val="nil"/>
              <w:right w:val="nil"/>
            </w:tcBorders>
            <w:shd w:val="clear" w:color="auto" w:fill="auto"/>
            <w:noWrap/>
            <w:vAlign w:val="bottom"/>
          </w:tcPr>
          <w:p w14:paraId="0B6C3677"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$642</w:t>
            </w:r>
          </w:p>
        </w:tc>
        <w:tc>
          <w:tcPr>
            <w:tcW w:w="1029" w:type="dxa"/>
            <w:tcBorders>
              <w:top w:val="nil"/>
              <w:left w:val="nil"/>
              <w:bottom w:val="nil"/>
              <w:right w:val="single" w:sz="4" w:space="0" w:color="auto"/>
            </w:tcBorders>
            <w:shd w:val="clear" w:color="auto" w:fill="auto"/>
            <w:noWrap/>
            <w:vAlign w:val="bottom"/>
          </w:tcPr>
          <w:p w14:paraId="5172352B"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$482</w:t>
            </w:r>
          </w:p>
        </w:tc>
        <w:tc>
          <w:tcPr>
            <w:tcW w:w="992" w:type="dxa"/>
            <w:tcBorders>
              <w:top w:val="nil"/>
              <w:left w:val="single" w:sz="4" w:space="0" w:color="auto"/>
              <w:bottom w:val="nil"/>
              <w:right w:val="single" w:sz="4" w:space="0" w:color="auto"/>
            </w:tcBorders>
            <w:shd w:val="clear" w:color="auto" w:fill="auto"/>
            <w:vAlign w:val="bottom"/>
          </w:tcPr>
          <w:p w14:paraId="256E8678"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16.3%</w:t>
            </w:r>
          </w:p>
        </w:tc>
        <w:tc>
          <w:tcPr>
            <w:tcW w:w="709" w:type="dxa"/>
            <w:tcBorders>
              <w:top w:val="nil"/>
              <w:left w:val="single" w:sz="4" w:space="0" w:color="auto"/>
              <w:bottom w:val="nil"/>
              <w:right w:val="single" w:sz="4" w:space="0" w:color="auto"/>
            </w:tcBorders>
            <w:shd w:val="clear" w:color="auto" w:fill="auto"/>
            <w:noWrap/>
            <w:vAlign w:val="bottom"/>
          </w:tcPr>
          <w:p w14:paraId="1C2966E3"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4.0</w:t>
            </w:r>
          </w:p>
        </w:tc>
        <w:tc>
          <w:tcPr>
            <w:tcW w:w="708" w:type="dxa"/>
            <w:tcBorders>
              <w:top w:val="nil"/>
              <w:left w:val="nil"/>
              <w:bottom w:val="nil"/>
              <w:right w:val="single" w:sz="4" w:space="0" w:color="auto"/>
            </w:tcBorders>
            <w:shd w:val="clear" w:color="auto" w:fill="auto"/>
            <w:vAlign w:val="bottom"/>
          </w:tcPr>
          <w:p w14:paraId="7B5CDC44"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$368</w:t>
            </w:r>
          </w:p>
        </w:tc>
        <w:tc>
          <w:tcPr>
            <w:tcW w:w="709" w:type="dxa"/>
            <w:tcBorders>
              <w:top w:val="nil"/>
              <w:left w:val="single" w:sz="4" w:space="0" w:color="auto"/>
              <w:bottom w:val="nil"/>
              <w:right w:val="single" w:sz="4" w:space="0" w:color="auto"/>
            </w:tcBorders>
            <w:shd w:val="clear" w:color="auto" w:fill="auto"/>
            <w:vAlign w:val="bottom"/>
          </w:tcPr>
          <w:p w14:paraId="347B19A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2.3</w:t>
            </w:r>
          </w:p>
        </w:tc>
      </w:tr>
      <w:tr w:rsidR="00A37634" w:rsidRPr="00A37634" w14:paraId="2F97F525" w14:textId="77777777" w:rsidTr="007C7289">
        <w:trPr>
          <w:trHeight w:val="255"/>
          <w:jc w:val="center"/>
        </w:trPr>
        <w:tc>
          <w:tcPr>
            <w:tcW w:w="1002" w:type="dxa"/>
            <w:gridSpan w:val="2"/>
            <w:tcBorders>
              <w:top w:val="nil"/>
              <w:left w:val="single" w:sz="4" w:space="0" w:color="auto"/>
              <w:bottom w:val="nil"/>
              <w:right w:val="nil"/>
            </w:tcBorders>
            <w:noWrap/>
            <w:vAlign w:val="bottom"/>
          </w:tcPr>
          <w:p w14:paraId="0219BDBC"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Qld</w:t>
            </w:r>
          </w:p>
        </w:tc>
        <w:tc>
          <w:tcPr>
            <w:tcW w:w="1437" w:type="dxa"/>
            <w:tcBorders>
              <w:top w:val="nil"/>
              <w:left w:val="nil"/>
              <w:bottom w:val="nil"/>
              <w:right w:val="nil"/>
            </w:tcBorders>
            <w:shd w:val="clear" w:color="auto" w:fill="auto"/>
            <w:noWrap/>
            <w:vAlign w:val="bottom"/>
          </w:tcPr>
          <w:p w14:paraId="3090939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975</w:t>
            </w:r>
          </w:p>
        </w:tc>
        <w:tc>
          <w:tcPr>
            <w:tcW w:w="1028" w:type="dxa"/>
            <w:tcBorders>
              <w:top w:val="nil"/>
              <w:left w:val="nil"/>
              <w:bottom w:val="nil"/>
              <w:right w:val="nil"/>
            </w:tcBorders>
            <w:shd w:val="clear" w:color="auto" w:fill="auto"/>
            <w:noWrap/>
            <w:vAlign w:val="bottom"/>
          </w:tcPr>
          <w:p w14:paraId="3579D2FB"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$269</w:t>
            </w:r>
          </w:p>
        </w:tc>
        <w:tc>
          <w:tcPr>
            <w:tcW w:w="1028" w:type="dxa"/>
            <w:tcBorders>
              <w:top w:val="nil"/>
              <w:left w:val="nil"/>
              <w:bottom w:val="nil"/>
              <w:right w:val="nil"/>
            </w:tcBorders>
            <w:shd w:val="clear" w:color="auto" w:fill="auto"/>
            <w:noWrap/>
            <w:vAlign w:val="bottom"/>
          </w:tcPr>
          <w:p w14:paraId="1D9FC598"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$1,506</w:t>
            </w:r>
          </w:p>
        </w:tc>
        <w:tc>
          <w:tcPr>
            <w:tcW w:w="1029" w:type="dxa"/>
            <w:tcBorders>
              <w:top w:val="nil"/>
              <w:left w:val="nil"/>
              <w:bottom w:val="nil"/>
              <w:right w:val="single" w:sz="4" w:space="0" w:color="auto"/>
            </w:tcBorders>
            <w:shd w:val="clear" w:color="auto" w:fill="auto"/>
            <w:noWrap/>
            <w:vAlign w:val="bottom"/>
          </w:tcPr>
          <w:p w14:paraId="156C2CF7"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$1,237</w:t>
            </w:r>
          </w:p>
        </w:tc>
        <w:tc>
          <w:tcPr>
            <w:tcW w:w="992" w:type="dxa"/>
            <w:tcBorders>
              <w:top w:val="nil"/>
              <w:left w:val="single" w:sz="4" w:space="0" w:color="auto"/>
              <w:bottom w:val="nil"/>
              <w:right w:val="single" w:sz="4" w:space="0" w:color="auto"/>
            </w:tcBorders>
            <w:shd w:val="clear" w:color="auto" w:fill="auto"/>
            <w:vAlign w:val="bottom"/>
          </w:tcPr>
          <w:p w14:paraId="7205C3EA"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41.7%</w:t>
            </w:r>
          </w:p>
        </w:tc>
        <w:tc>
          <w:tcPr>
            <w:tcW w:w="709" w:type="dxa"/>
            <w:tcBorders>
              <w:top w:val="nil"/>
              <w:left w:val="single" w:sz="4" w:space="0" w:color="auto"/>
              <w:bottom w:val="nil"/>
              <w:right w:val="single" w:sz="4" w:space="0" w:color="auto"/>
            </w:tcBorders>
            <w:shd w:val="clear" w:color="auto" w:fill="auto"/>
            <w:noWrap/>
            <w:vAlign w:val="bottom"/>
          </w:tcPr>
          <w:p w14:paraId="6239CD16"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5.6</w:t>
            </w:r>
          </w:p>
        </w:tc>
        <w:tc>
          <w:tcPr>
            <w:tcW w:w="708" w:type="dxa"/>
            <w:tcBorders>
              <w:top w:val="nil"/>
              <w:left w:val="nil"/>
              <w:bottom w:val="nil"/>
              <w:right w:val="single" w:sz="4" w:space="0" w:color="auto"/>
            </w:tcBorders>
            <w:shd w:val="clear" w:color="auto" w:fill="auto"/>
            <w:vAlign w:val="bottom"/>
          </w:tcPr>
          <w:p w14:paraId="5E7DA02E"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$1,083</w:t>
            </w:r>
          </w:p>
        </w:tc>
        <w:tc>
          <w:tcPr>
            <w:tcW w:w="709" w:type="dxa"/>
            <w:tcBorders>
              <w:top w:val="nil"/>
              <w:left w:val="single" w:sz="4" w:space="0" w:color="auto"/>
              <w:bottom w:val="nil"/>
              <w:right w:val="single" w:sz="4" w:space="0" w:color="auto"/>
            </w:tcBorders>
            <w:shd w:val="clear" w:color="auto" w:fill="auto"/>
            <w:vAlign w:val="bottom"/>
          </w:tcPr>
          <w:p w14:paraId="1476E0B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5.0</w:t>
            </w:r>
          </w:p>
        </w:tc>
      </w:tr>
      <w:tr w:rsidR="00A37634" w:rsidRPr="00A37634" w14:paraId="1577C7EE" w14:textId="77777777" w:rsidTr="007C7289">
        <w:trPr>
          <w:trHeight w:val="255"/>
          <w:jc w:val="center"/>
        </w:trPr>
        <w:tc>
          <w:tcPr>
            <w:tcW w:w="1002" w:type="dxa"/>
            <w:gridSpan w:val="2"/>
            <w:tcBorders>
              <w:top w:val="nil"/>
              <w:left w:val="single" w:sz="4" w:space="0" w:color="auto"/>
              <w:bottom w:val="nil"/>
              <w:right w:val="nil"/>
            </w:tcBorders>
            <w:noWrap/>
            <w:vAlign w:val="bottom"/>
          </w:tcPr>
          <w:p w14:paraId="73A46168"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SA</w:t>
            </w:r>
          </w:p>
        </w:tc>
        <w:tc>
          <w:tcPr>
            <w:tcW w:w="1437" w:type="dxa"/>
            <w:tcBorders>
              <w:top w:val="nil"/>
              <w:left w:val="nil"/>
              <w:bottom w:val="nil"/>
              <w:right w:val="nil"/>
            </w:tcBorders>
            <w:shd w:val="clear" w:color="auto" w:fill="auto"/>
            <w:noWrap/>
            <w:vAlign w:val="bottom"/>
          </w:tcPr>
          <w:p w14:paraId="0439D23D"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278</w:t>
            </w:r>
          </w:p>
        </w:tc>
        <w:tc>
          <w:tcPr>
            <w:tcW w:w="1028" w:type="dxa"/>
            <w:tcBorders>
              <w:top w:val="nil"/>
              <w:left w:val="nil"/>
              <w:bottom w:val="nil"/>
              <w:right w:val="nil"/>
            </w:tcBorders>
            <w:shd w:val="clear" w:color="auto" w:fill="auto"/>
            <w:noWrap/>
            <w:vAlign w:val="bottom"/>
          </w:tcPr>
          <w:p w14:paraId="3943209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$66</w:t>
            </w:r>
          </w:p>
        </w:tc>
        <w:tc>
          <w:tcPr>
            <w:tcW w:w="1028" w:type="dxa"/>
            <w:tcBorders>
              <w:top w:val="nil"/>
              <w:left w:val="nil"/>
              <w:bottom w:val="nil"/>
              <w:right w:val="nil"/>
            </w:tcBorders>
            <w:shd w:val="clear" w:color="auto" w:fill="auto"/>
            <w:noWrap/>
            <w:vAlign w:val="bottom"/>
          </w:tcPr>
          <w:p w14:paraId="5F45FDB2"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$481</w:t>
            </w:r>
          </w:p>
        </w:tc>
        <w:tc>
          <w:tcPr>
            <w:tcW w:w="1029" w:type="dxa"/>
            <w:tcBorders>
              <w:top w:val="nil"/>
              <w:left w:val="nil"/>
              <w:bottom w:val="nil"/>
              <w:right w:val="single" w:sz="4" w:space="0" w:color="auto"/>
            </w:tcBorders>
            <w:shd w:val="clear" w:color="auto" w:fill="auto"/>
            <w:noWrap/>
            <w:vAlign w:val="bottom"/>
          </w:tcPr>
          <w:p w14:paraId="1B228263"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$415</w:t>
            </w:r>
          </w:p>
        </w:tc>
        <w:tc>
          <w:tcPr>
            <w:tcW w:w="992" w:type="dxa"/>
            <w:tcBorders>
              <w:top w:val="nil"/>
              <w:left w:val="single" w:sz="4" w:space="0" w:color="auto"/>
              <w:bottom w:val="nil"/>
              <w:right w:val="single" w:sz="4" w:space="0" w:color="auto"/>
            </w:tcBorders>
            <w:shd w:val="clear" w:color="auto" w:fill="auto"/>
            <w:vAlign w:val="bottom"/>
          </w:tcPr>
          <w:p w14:paraId="15F0D8F3"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14.0%</w:t>
            </w:r>
          </w:p>
        </w:tc>
        <w:tc>
          <w:tcPr>
            <w:tcW w:w="709" w:type="dxa"/>
            <w:tcBorders>
              <w:top w:val="nil"/>
              <w:left w:val="single" w:sz="4" w:space="0" w:color="auto"/>
              <w:bottom w:val="nil"/>
              <w:right w:val="single" w:sz="4" w:space="0" w:color="auto"/>
            </w:tcBorders>
            <w:shd w:val="clear" w:color="auto" w:fill="auto"/>
            <w:noWrap/>
            <w:vAlign w:val="bottom"/>
          </w:tcPr>
          <w:p w14:paraId="53BF929B"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7.2</w:t>
            </w:r>
          </w:p>
        </w:tc>
        <w:tc>
          <w:tcPr>
            <w:tcW w:w="708" w:type="dxa"/>
            <w:tcBorders>
              <w:top w:val="nil"/>
              <w:left w:val="nil"/>
              <w:bottom w:val="nil"/>
              <w:right w:val="single" w:sz="4" w:space="0" w:color="auto"/>
            </w:tcBorders>
            <w:shd w:val="clear" w:color="auto" w:fill="auto"/>
            <w:vAlign w:val="bottom"/>
          </w:tcPr>
          <w:p w14:paraId="7768243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$374</w:t>
            </w:r>
          </w:p>
        </w:tc>
        <w:tc>
          <w:tcPr>
            <w:tcW w:w="709" w:type="dxa"/>
            <w:tcBorders>
              <w:top w:val="nil"/>
              <w:left w:val="single" w:sz="4" w:space="0" w:color="auto"/>
              <w:bottom w:val="nil"/>
              <w:right w:val="single" w:sz="4" w:space="0" w:color="auto"/>
            </w:tcBorders>
            <w:shd w:val="clear" w:color="auto" w:fill="auto"/>
            <w:vAlign w:val="bottom"/>
          </w:tcPr>
          <w:p w14:paraId="71423F0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6.6</w:t>
            </w:r>
          </w:p>
        </w:tc>
      </w:tr>
      <w:tr w:rsidR="00A37634" w:rsidRPr="00A37634" w14:paraId="6F9425C2" w14:textId="77777777" w:rsidTr="007C7289">
        <w:trPr>
          <w:trHeight w:val="255"/>
          <w:jc w:val="center"/>
        </w:trPr>
        <w:tc>
          <w:tcPr>
            <w:tcW w:w="1002" w:type="dxa"/>
            <w:gridSpan w:val="2"/>
            <w:tcBorders>
              <w:top w:val="nil"/>
              <w:left w:val="single" w:sz="4" w:space="0" w:color="auto"/>
              <w:bottom w:val="nil"/>
              <w:right w:val="nil"/>
            </w:tcBorders>
            <w:noWrap/>
            <w:vAlign w:val="bottom"/>
          </w:tcPr>
          <w:p w14:paraId="2F3DC2B7"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WA</w:t>
            </w:r>
          </w:p>
        </w:tc>
        <w:tc>
          <w:tcPr>
            <w:tcW w:w="1437" w:type="dxa"/>
            <w:tcBorders>
              <w:top w:val="nil"/>
              <w:left w:val="nil"/>
              <w:bottom w:val="nil"/>
              <w:right w:val="nil"/>
            </w:tcBorders>
            <w:shd w:val="clear" w:color="auto" w:fill="auto"/>
            <w:noWrap/>
            <w:vAlign w:val="bottom"/>
          </w:tcPr>
          <w:p w14:paraId="6F63A45E"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476</w:t>
            </w:r>
          </w:p>
        </w:tc>
        <w:tc>
          <w:tcPr>
            <w:tcW w:w="1028" w:type="dxa"/>
            <w:tcBorders>
              <w:top w:val="nil"/>
              <w:left w:val="nil"/>
              <w:bottom w:val="nil"/>
              <w:right w:val="nil"/>
            </w:tcBorders>
            <w:shd w:val="clear" w:color="auto" w:fill="auto"/>
            <w:noWrap/>
            <w:vAlign w:val="bottom"/>
          </w:tcPr>
          <w:p w14:paraId="5CA5ABB3"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$118</w:t>
            </w:r>
          </w:p>
        </w:tc>
        <w:tc>
          <w:tcPr>
            <w:tcW w:w="1028" w:type="dxa"/>
            <w:tcBorders>
              <w:top w:val="nil"/>
              <w:left w:val="nil"/>
              <w:bottom w:val="nil"/>
              <w:right w:val="nil"/>
            </w:tcBorders>
            <w:shd w:val="clear" w:color="auto" w:fill="auto"/>
            <w:noWrap/>
            <w:vAlign w:val="bottom"/>
          </w:tcPr>
          <w:p w14:paraId="5AB8CE1D"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$606</w:t>
            </w:r>
          </w:p>
        </w:tc>
        <w:tc>
          <w:tcPr>
            <w:tcW w:w="1029" w:type="dxa"/>
            <w:tcBorders>
              <w:top w:val="nil"/>
              <w:left w:val="nil"/>
              <w:bottom w:val="nil"/>
              <w:right w:val="single" w:sz="4" w:space="0" w:color="auto"/>
            </w:tcBorders>
            <w:shd w:val="clear" w:color="auto" w:fill="auto"/>
            <w:noWrap/>
            <w:vAlign w:val="bottom"/>
          </w:tcPr>
          <w:p w14:paraId="7EC8117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$488</w:t>
            </w:r>
          </w:p>
        </w:tc>
        <w:tc>
          <w:tcPr>
            <w:tcW w:w="992" w:type="dxa"/>
            <w:tcBorders>
              <w:top w:val="nil"/>
              <w:left w:val="single" w:sz="4" w:space="0" w:color="auto"/>
              <w:bottom w:val="nil"/>
              <w:right w:val="single" w:sz="4" w:space="0" w:color="auto"/>
            </w:tcBorders>
            <w:shd w:val="clear" w:color="auto" w:fill="auto"/>
            <w:vAlign w:val="bottom"/>
          </w:tcPr>
          <w:p w14:paraId="5C51ECE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16.5%</w:t>
            </w:r>
          </w:p>
        </w:tc>
        <w:tc>
          <w:tcPr>
            <w:tcW w:w="709" w:type="dxa"/>
            <w:tcBorders>
              <w:top w:val="nil"/>
              <w:left w:val="single" w:sz="4" w:space="0" w:color="auto"/>
              <w:bottom w:val="nil"/>
              <w:right w:val="single" w:sz="4" w:space="0" w:color="auto"/>
            </w:tcBorders>
            <w:shd w:val="clear" w:color="auto" w:fill="auto"/>
            <w:noWrap/>
            <w:vAlign w:val="bottom"/>
          </w:tcPr>
          <w:p w14:paraId="4DFA0D18"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5.1</w:t>
            </w:r>
          </w:p>
        </w:tc>
        <w:tc>
          <w:tcPr>
            <w:tcW w:w="708" w:type="dxa"/>
            <w:tcBorders>
              <w:top w:val="nil"/>
              <w:left w:val="nil"/>
              <w:bottom w:val="nil"/>
              <w:right w:val="single" w:sz="4" w:space="0" w:color="auto"/>
            </w:tcBorders>
            <w:shd w:val="clear" w:color="auto" w:fill="auto"/>
            <w:vAlign w:val="bottom"/>
          </w:tcPr>
          <w:p w14:paraId="0CD52DE2"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$423</w:t>
            </w:r>
          </w:p>
        </w:tc>
        <w:tc>
          <w:tcPr>
            <w:tcW w:w="709" w:type="dxa"/>
            <w:tcBorders>
              <w:top w:val="nil"/>
              <w:left w:val="single" w:sz="4" w:space="0" w:color="auto"/>
              <w:bottom w:val="nil"/>
              <w:right w:val="single" w:sz="4" w:space="0" w:color="auto"/>
            </w:tcBorders>
            <w:shd w:val="clear" w:color="auto" w:fill="auto"/>
            <w:vAlign w:val="bottom"/>
          </w:tcPr>
          <w:p w14:paraId="694DFA9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4.6</w:t>
            </w:r>
          </w:p>
        </w:tc>
      </w:tr>
      <w:tr w:rsidR="00A37634" w:rsidRPr="00A37634" w14:paraId="3665D915" w14:textId="77777777" w:rsidTr="007C7289">
        <w:trPr>
          <w:trHeight w:val="255"/>
          <w:jc w:val="center"/>
        </w:trPr>
        <w:tc>
          <w:tcPr>
            <w:tcW w:w="1002" w:type="dxa"/>
            <w:gridSpan w:val="2"/>
            <w:tcBorders>
              <w:top w:val="nil"/>
              <w:left w:val="single" w:sz="4" w:space="0" w:color="auto"/>
              <w:bottom w:val="nil"/>
              <w:right w:val="nil"/>
            </w:tcBorders>
            <w:noWrap/>
            <w:vAlign w:val="bottom"/>
          </w:tcPr>
          <w:p w14:paraId="217983AE"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proofErr w:type="spellStart"/>
            <w:r w:rsidRPr="00A37634">
              <w:rPr>
                <w:rFonts w:ascii="Calibri" w:eastAsia="Times New Roman" w:hAnsi="Calibri" w:cs="Calibri"/>
                <w:sz w:val="18"/>
                <w:szCs w:val="18"/>
                <w:lang w:val="en-AU"/>
              </w:rPr>
              <w:t>Tas</w:t>
            </w:r>
            <w:proofErr w:type="spellEnd"/>
          </w:p>
        </w:tc>
        <w:tc>
          <w:tcPr>
            <w:tcW w:w="1437" w:type="dxa"/>
            <w:tcBorders>
              <w:top w:val="nil"/>
              <w:left w:val="nil"/>
              <w:bottom w:val="nil"/>
              <w:right w:val="nil"/>
            </w:tcBorders>
            <w:shd w:val="clear" w:color="auto" w:fill="auto"/>
            <w:noWrap/>
            <w:vAlign w:val="bottom"/>
          </w:tcPr>
          <w:p w14:paraId="4DBD7BF5"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75</w:t>
            </w:r>
          </w:p>
        </w:tc>
        <w:tc>
          <w:tcPr>
            <w:tcW w:w="1028" w:type="dxa"/>
            <w:tcBorders>
              <w:top w:val="nil"/>
              <w:left w:val="nil"/>
              <w:bottom w:val="nil"/>
              <w:right w:val="nil"/>
            </w:tcBorders>
            <w:shd w:val="clear" w:color="auto" w:fill="auto"/>
            <w:noWrap/>
            <w:vAlign w:val="bottom"/>
          </w:tcPr>
          <w:p w14:paraId="7949465C"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$26</w:t>
            </w:r>
          </w:p>
        </w:tc>
        <w:tc>
          <w:tcPr>
            <w:tcW w:w="1028" w:type="dxa"/>
            <w:tcBorders>
              <w:top w:val="nil"/>
              <w:left w:val="nil"/>
              <w:bottom w:val="nil"/>
              <w:right w:val="nil"/>
            </w:tcBorders>
            <w:shd w:val="clear" w:color="auto" w:fill="auto"/>
            <w:noWrap/>
            <w:vAlign w:val="bottom"/>
          </w:tcPr>
          <w:p w14:paraId="0B1D27E5"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$78</w:t>
            </w:r>
          </w:p>
        </w:tc>
        <w:tc>
          <w:tcPr>
            <w:tcW w:w="1029" w:type="dxa"/>
            <w:tcBorders>
              <w:top w:val="nil"/>
              <w:left w:val="nil"/>
              <w:bottom w:val="nil"/>
              <w:right w:val="single" w:sz="4" w:space="0" w:color="auto"/>
            </w:tcBorders>
            <w:shd w:val="clear" w:color="auto" w:fill="auto"/>
            <w:noWrap/>
            <w:vAlign w:val="bottom"/>
          </w:tcPr>
          <w:p w14:paraId="78902207"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$52</w:t>
            </w:r>
          </w:p>
        </w:tc>
        <w:tc>
          <w:tcPr>
            <w:tcW w:w="992" w:type="dxa"/>
            <w:tcBorders>
              <w:top w:val="nil"/>
              <w:left w:val="single" w:sz="4" w:space="0" w:color="auto"/>
              <w:bottom w:val="nil"/>
              <w:right w:val="single" w:sz="4" w:space="0" w:color="auto"/>
            </w:tcBorders>
            <w:shd w:val="clear" w:color="auto" w:fill="auto"/>
            <w:vAlign w:val="bottom"/>
          </w:tcPr>
          <w:p w14:paraId="4C765C54"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1.8%</w:t>
            </w:r>
          </w:p>
        </w:tc>
        <w:tc>
          <w:tcPr>
            <w:tcW w:w="709" w:type="dxa"/>
            <w:tcBorders>
              <w:top w:val="nil"/>
              <w:left w:val="single" w:sz="4" w:space="0" w:color="auto"/>
              <w:bottom w:val="nil"/>
              <w:right w:val="single" w:sz="4" w:space="0" w:color="auto"/>
            </w:tcBorders>
            <w:shd w:val="clear" w:color="auto" w:fill="auto"/>
            <w:noWrap/>
            <w:vAlign w:val="bottom"/>
          </w:tcPr>
          <w:p w14:paraId="73C0F108"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3.0</w:t>
            </w:r>
          </w:p>
        </w:tc>
        <w:tc>
          <w:tcPr>
            <w:tcW w:w="708" w:type="dxa"/>
            <w:tcBorders>
              <w:top w:val="nil"/>
              <w:left w:val="nil"/>
              <w:bottom w:val="nil"/>
              <w:right w:val="single" w:sz="4" w:space="0" w:color="auto"/>
            </w:tcBorders>
            <w:shd w:val="clear" w:color="auto" w:fill="auto"/>
            <w:vAlign w:val="bottom"/>
          </w:tcPr>
          <w:p w14:paraId="4BEBBD0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$38</w:t>
            </w:r>
          </w:p>
        </w:tc>
        <w:tc>
          <w:tcPr>
            <w:tcW w:w="709" w:type="dxa"/>
            <w:tcBorders>
              <w:top w:val="nil"/>
              <w:left w:val="single" w:sz="4" w:space="0" w:color="auto"/>
              <w:bottom w:val="nil"/>
              <w:right w:val="single" w:sz="4" w:space="0" w:color="auto"/>
            </w:tcBorders>
            <w:shd w:val="clear" w:color="auto" w:fill="auto"/>
            <w:vAlign w:val="bottom"/>
          </w:tcPr>
          <w:p w14:paraId="2DBFE94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2.5</w:t>
            </w:r>
          </w:p>
        </w:tc>
      </w:tr>
      <w:tr w:rsidR="00A37634" w:rsidRPr="00A37634" w14:paraId="66A8CEF0" w14:textId="77777777" w:rsidTr="007C7289">
        <w:trPr>
          <w:trHeight w:val="255"/>
          <w:jc w:val="center"/>
        </w:trPr>
        <w:tc>
          <w:tcPr>
            <w:tcW w:w="1002" w:type="dxa"/>
            <w:gridSpan w:val="2"/>
            <w:tcBorders>
              <w:top w:val="nil"/>
              <w:left w:val="single" w:sz="4" w:space="0" w:color="auto"/>
              <w:bottom w:val="nil"/>
              <w:right w:val="nil"/>
            </w:tcBorders>
            <w:noWrap/>
            <w:vAlign w:val="bottom"/>
          </w:tcPr>
          <w:p w14:paraId="7C45D79D"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NT</w:t>
            </w:r>
          </w:p>
        </w:tc>
        <w:tc>
          <w:tcPr>
            <w:tcW w:w="1437" w:type="dxa"/>
            <w:tcBorders>
              <w:top w:val="nil"/>
              <w:left w:val="nil"/>
              <w:bottom w:val="nil"/>
              <w:right w:val="nil"/>
            </w:tcBorders>
            <w:shd w:val="clear" w:color="auto" w:fill="auto"/>
            <w:noWrap/>
            <w:vAlign w:val="bottom"/>
          </w:tcPr>
          <w:p w14:paraId="1E6D8BD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46</w:t>
            </w:r>
          </w:p>
        </w:tc>
        <w:tc>
          <w:tcPr>
            <w:tcW w:w="1028" w:type="dxa"/>
            <w:tcBorders>
              <w:top w:val="nil"/>
              <w:left w:val="nil"/>
              <w:bottom w:val="nil"/>
              <w:right w:val="nil"/>
            </w:tcBorders>
            <w:shd w:val="clear" w:color="auto" w:fill="auto"/>
            <w:noWrap/>
            <w:vAlign w:val="bottom"/>
          </w:tcPr>
          <w:p w14:paraId="6B9A568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$16</w:t>
            </w:r>
          </w:p>
        </w:tc>
        <w:tc>
          <w:tcPr>
            <w:tcW w:w="1028" w:type="dxa"/>
            <w:tcBorders>
              <w:top w:val="nil"/>
              <w:left w:val="nil"/>
              <w:bottom w:val="nil"/>
              <w:right w:val="nil"/>
            </w:tcBorders>
            <w:shd w:val="clear" w:color="auto" w:fill="auto"/>
            <w:noWrap/>
            <w:vAlign w:val="bottom"/>
          </w:tcPr>
          <w:p w14:paraId="1AF54A7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$10</w:t>
            </w:r>
          </w:p>
        </w:tc>
        <w:tc>
          <w:tcPr>
            <w:tcW w:w="1029" w:type="dxa"/>
            <w:tcBorders>
              <w:top w:val="nil"/>
              <w:left w:val="nil"/>
              <w:bottom w:val="nil"/>
              <w:right w:val="single" w:sz="4" w:space="0" w:color="auto"/>
            </w:tcBorders>
            <w:shd w:val="clear" w:color="auto" w:fill="auto"/>
            <w:noWrap/>
            <w:vAlign w:val="bottom"/>
          </w:tcPr>
          <w:p w14:paraId="4F36625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FF0000"/>
                <w:sz w:val="18"/>
                <w:szCs w:val="18"/>
                <w:lang w:val="en-AU"/>
              </w:rPr>
              <w:t>-$6</w:t>
            </w:r>
          </w:p>
        </w:tc>
        <w:tc>
          <w:tcPr>
            <w:tcW w:w="992" w:type="dxa"/>
            <w:tcBorders>
              <w:top w:val="nil"/>
              <w:left w:val="single" w:sz="4" w:space="0" w:color="auto"/>
              <w:bottom w:val="nil"/>
              <w:right w:val="single" w:sz="4" w:space="0" w:color="auto"/>
            </w:tcBorders>
            <w:shd w:val="clear" w:color="auto" w:fill="auto"/>
            <w:vAlign w:val="bottom"/>
          </w:tcPr>
          <w:p w14:paraId="746681E8"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-0.2%</w:t>
            </w:r>
          </w:p>
        </w:tc>
        <w:tc>
          <w:tcPr>
            <w:tcW w:w="709" w:type="dxa"/>
            <w:tcBorders>
              <w:top w:val="nil"/>
              <w:left w:val="single" w:sz="4" w:space="0" w:color="auto"/>
              <w:bottom w:val="nil"/>
              <w:right w:val="single" w:sz="4" w:space="0" w:color="auto"/>
            </w:tcBorders>
            <w:shd w:val="clear" w:color="auto" w:fill="auto"/>
            <w:noWrap/>
            <w:vAlign w:val="bottom"/>
          </w:tcPr>
          <w:p w14:paraId="1B92A23C"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0.6</w:t>
            </w:r>
          </w:p>
        </w:tc>
        <w:tc>
          <w:tcPr>
            <w:tcW w:w="708" w:type="dxa"/>
            <w:tcBorders>
              <w:top w:val="nil"/>
              <w:left w:val="nil"/>
              <w:bottom w:val="nil"/>
              <w:right w:val="single" w:sz="4" w:space="0" w:color="auto"/>
            </w:tcBorders>
            <w:shd w:val="clear" w:color="auto" w:fill="auto"/>
            <w:vAlign w:val="bottom"/>
          </w:tcPr>
          <w:p w14:paraId="6366A28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FF0000"/>
                <w:sz w:val="18"/>
                <w:szCs w:val="18"/>
                <w:lang w:val="en-AU"/>
              </w:rPr>
              <w:t>-$12</w:t>
            </w:r>
          </w:p>
        </w:tc>
        <w:tc>
          <w:tcPr>
            <w:tcW w:w="709" w:type="dxa"/>
            <w:tcBorders>
              <w:top w:val="nil"/>
              <w:left w:val="single" w:sz="4" w:space="0" w:color="auto"/>
              <w:bottom w:val="nil"/>
              <w:right w:val="single" w:sz="4" w:space="0" w:color="auto"/>
            </w:tcBorders>
            <w:shd w:val="clear" w:color="auto" w:fill="auto"/>
            <w:vAlign w:val="bottom"/>
          </w:tcPr>
          <w:p w14:paraId="7374E602"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0.2</w:t>
            </w:r>
          </w:p>
        </w:tc>
      </w:tr>
      <w:tr w:rsidR="00A37634" w:rsidRPr="00A37634" w14:paraId="18E885CC" w14:textId="77777777" w:rsidTr="007C7289">
        <w:trPr>
          <w:trHeight w:val="255"/>
          <w:jc w:val="center"/>
        </w:trPr>
        <w:tc>
          <w:tcPr>
            <w:tcW w:w="1002" w:type="dxa"/>
            <w:gridSpan w:val="2"/>
            <w:tcBorders>
              <w:top w:val="nil"/>
              <w:left w:val="single" w:sz="4" w:space="0" w:color="auto"/>
              <w:bottom w:val="single" w:sz="4" w:space="0" w:color="auto"/>
              <w:right w:val="nil"/>
            </w:tcBorders>
            <w:noWrap/>
            <w:vAlign w:val="bottom"/>
          </w:tcPr>
          <w:p w14:paraId="7517C2E6"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ACT</w:t>
            </w:r>
          </w:p>
        </w:tc>
        <w:tc>
          <w:tcPr>
            <w:tcW w:w="1437" w:type="dxa"/>
            <w:tcBorders>
              <w:top w:val="nil"/>
              <w:left w:val="nil"/>
              <w:bottom w:val="nil"/>
              <w:right w:val="nil"/>
            </w:tcBorders>
            <w:shd w:val="clear" w:color="auto" w:fill="auto"/>
            <w:noWrap/>
            <w:vAlign w:val="bottom"/>
          </w:tcPr>
          <w:p w14:paraId="2B9CD91B"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58</w:t>
            </w:r>
          </w:p>
        </w:tc>
        <w:tc>
          <w:tcPr>
            <w:tcW w:w="1028" w:type="dxa"/>
            <w:tcBorders>
              <w:top w:val="nil"/>
              <w:left w:val="nil"/>
              <w:bottom w:val="nil"/>
              <w:right w:val="nil"/>
            </w:tcBorders>
            <w:shd w:val="clear" w:color="auto" w:fill="auto"/>
            <w:noWrap/>
            <w:vAlign w:val="bottom"/>
          </w:tcPr>
          <w:p w14:paraId="3B41BBD9"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$20</w:t>
            </w:r>
          </w:p>
        </w:tc>
        <w:tc>
          <w:tcPr>
            <w:tcW w:w="1028" w:type="dxa"/>
            <w:tcBorders>
              <w:top w:val="nil"/>
              <w:left w:val="nil"/>
              <w:bottom w:val="nil"/>
              <w:right w:val="nil"/>
            </w:tcBorders>
            <w:shd w:val="clear" w:color="auto" w:fill="auto"/>
            <w:noWrap/>
            <w:vAlign w:val="bottom"/>
          </w:tcPr>
          <w:p w14:paraId="63D041E8"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$24</w:t>
            </w:r>
          </w:p>
        </w:tc>
        <w:tc>
          <w:tcPr>
            <w:tcW w:w="1029" w:type="dxa"/>
            <w:tcBorders>
              <w:top w:val="nil"/>
              <w:left w:val="nil"/>
              <w:bottom w:val="nil"/>
              <w:right w:val="single" w:sz="4" w:space="0" w:color="auto"/>
            </w:tcBorders>
            <w:shd w:val="clear" w:color="auto" w:fill="auto"/>
            <w:noWrap/>
            <w:vAlign w:val="bottom"/>
          </w:tcPr>
          <w:p w14:paraId="477D457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w:t>
            </w:r>
          </w:p>
        </w:tc>
        <w:tc>
          <w:tcPr>
            <w:tcW w:w="992" w:type="dxa"/>
            <w:tcBorders>
              <w:top w:val="nil"/>
              <w:left w:val="single" w:sz="4" w:space="0" w:color="auto"/>
              <w:bottom w:val="nil"/>
              <w:right w:val="single" w:sz="4" w:space="0" w:color="auto"/>
            </w:tcBorders>
            <w:shd w:val="clear" w:color="auto" w:fill="auto"/>
            <w:vAlign w:val="bottom"/>
          </w:tcPr>
          <w:p w14:paraId="2BDE9417"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0.1%</w:t>
            </w:r>
          </w:p>
        </w:tc>
        <w:tc>
          <w:tcPr>
            <w:tcW w:w="709" w:type="dxa"/>
            <w:tcBorders>
              <w:top w:val="nil"/>
              <w:left w:val="single" w:sz="4" w:space="0" w:color="auto"/>
              <w:bottom w:val="nil"/>
              <w:right w:val="single" w:sz="4" w:space="0" w:color="auto"/>
            </w:tcBorders>
            <w:shd w:val="clear" w:color="auto" w:fill="auto"/>
            <w:noWrap/>
            <w:vAlign w:val="bottom"/>
          </w:tcPr>
          <w:p w14:paraId="14E3F021"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1.2</w:t>
            </w:r>
          </w:p>
        </w:tc>
        <w:tc>
          <w:tcPr>
            <w:tcW w:w="708" w:type="dxa"/>
            <w:tcBorders>
              <w:top w:val="nil"/>
              <w:left w:val="nil"/>
              <w:bottom w:val="nil"/>
              <w:right w:val="single" w:sz="4" w:space="0" w:color="auto"/>
            </w:tcBorders>
            <w:shd w:val="clear" w:color="auto" w:fill="auto"/>
            <w:vAlign w:val="bottom"/>
          </w:tcPr>
          <w:p w14:paraId="077FD73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FF0000"/>
                <w:sz w:val="18"/>
                <w:szCs w:val="18"/>
                <w:lang w:val="en-AU"/>
              </w:rPr>
              <w:t>-$5</w:t>
            </w:r>
          </w:p>
        </w:tc>
        <w:tc>
          <w:tcPr>
            <w:tcW w:w="709" w:type="dxa"/>
            <w:tcBorders>
              <w:top w:val="nil"/>
              <w:left w:val="single" w:sz="4" w:space="0" w:color="auto"/>
              <w:bottom w:val="nil"/>
              <w:right w:val="single" w:sz="4" w:space="0" w:color="auto"/>
            </w:tcBorders>
            <w:shd w:val="clear" w:color="auto" w:fill="auto"/>
            <w:vAlign w:val="bottom"/>
          </w:tcPr>
          <w:p w14:paraId="4E6F24ED"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0.8</w:t>
            </w:r>
          </w:p>
        </w:tc>
      </w:tr>
      <w:tr w:rsidR="00A37634" w:rsidRPr="00A37634" w14:paraId="09609950" w14:textId="77777777" w:rsidTr="007C7289">
        <w:trPr>
          <w:trHeight w:val="255"/>
          <w:jc w:val="center"/>
        </w:trPr>
        <w:tc>
          <w:tcPr>
            <w:tcW w:w="1002" w:type="dxa"/>
            <w:gridSpan w:val="2"/>
            <w:tcBorders>
              <w:top w:val="single" w:sz="4" w:space="0" w:color="auto"/>
              <w:left w:val="single" w:sz="4" w:space="0" w:color="auto"/>
              <w:bottom w:val="single" w:sz="4" w:space="0" w:color="auto"/>
              <w:right w:val="nil"/>
            </w:tcBorders>
            <w:noWrap/>
            <w:vAlign w:val="bottom"/>
          </w:tcPr>
          <w:p w14:paraId="2B619397"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Australia</w:t>
            </w:r>
          </w:p>
        </w:tc>
        <w:tc>
          <w:tcPr>
            <w:tcW w:w="1437" w:type="dxa"/>
            <w:tcBorders>
              <w:top w:val="single" w:sz="4" w:space="0" w:color="auto"/>
              <w:left w:val="nil"/>
              <w:bottom w:val="single" w:sz="4" w:space="0" w:color="auto"/>
              <w:right w:val="nil"/>
            </w:tcBorders>
            <w:shd w:val="clear" w:color="auto" w:fill="auto"/>
            <w:noWrap/>
            <w:vAlign w:val="bottom"/>
          </w:tcPr>
          <w:p w14:paraId="5967CF5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3621</w:t>
            </w:r>
          </w:p>
        </w:tc>
        <w:tc>
          <w:tcPr>
            <w:tcW w:w="1028" w:type="dxa"/>
            <w:tcBorders>
              <w:top w:val="single" w:sz="4" w:space="0" w:color="auto"/>
              <w:left w:val="nil"/>
              <w:bottom w:val="single" w:sz="4" w:space="0" w:color="auto"/>
              <w:right w:val="nil"/>
            </w:tcBorders>
            <w:shd w:val="clear" w:color="auto" w:fill="auto"/>
            <w:noWrap/>
            <w:vAlign w:val="bottom"/>
          </w:tcPr>
          <w:p w14:paraId="7E89FB04"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$960</w:t>
            </w:r>
          </w:p>
        </w:tc>
        <w:tc>
          <w:tcPr>
            <w:tcW w:w="1028" w:type="dxa"/>
            <w:tcBorders>
              <w:top w:val="single" w:sz="4" w:space="0" w:color="auto"/>
              <w:left w:val="nil"/>
              <w:bottom w:val="single" w:sz="4" w:space="0" w:color="auto"/>
              <w:right w:val="nil"/>
            </w:tcBorders>
            <w:shd w:val="clear" w:color="auto" w:fill="auto"/>
            <w:noWrap/>
            <w:vAlign w:val="bottom"/>
          </w:tcPr>
          <w:p w14:paraId="0E6FD46C"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$3,926</w:t>
            </w:r>
          </w:p>
        </w:tc>
        <w:tc>
          <w:tcPr>
            <w:tcW w:w="1029" w:type="dxa"/>
            <w:tcBorders>
              <w:top w:val="single" w:sz="4" w:space="0" w:color="auto"/>
              <w:left w:val="nil"/>
              <w:bottom w:val="single" w:sz="4" w:space="0" w:color="auto"/>
              <w:right w:val="single" w:sz="4" w:space="0" w:color="auto"/>
            </w:tcBorders>
            <w:shd w:val="clear" w:color="auto" w:fill="auto"/>
            <w:noWrap/>
            <w:vAlign w:val="bottom"/>
          </w:tcPr>
          <w:p w14:paraId="7334F265"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144119D"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496DE"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4.1</w:t>
            </w:r>
          </w:p>
        </w:tc>
        <w:tc>
          <w:tcPr>
            <w:tcW w:w="708" w:type="dxa"/>
            <w:tcBorders>
              <w:top w:val="single" w:sz="4" w:space="0" w:color="auto"/>
              <w:left w:val="nil"/>
              <w:bottom w:val="single" w:sz="4" w:space="0" w:color="auto"/>
              <w:right w:val="single" w:sz="4" w:space="0" w:color="auto"/>
            </w:tcBorders>
            <w:shd w:val="clear" w:color="auto" w:fill="auto"/>
            <w:vAlign w:val="bottom"/>
          </w:tcPr>
          <w:p w14:paraId="1CFC8C88"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$2,405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FA7F4A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3.5</w:t>
            </w:r>
          </w:p>
        </w:tc>
      </w:tr>
      <w:tr w:rsidR="00A37634" w:rsidRPr="00A37634" w14:paraId="3786A368" w14:textId="77777777" w:rsidTr="007C7289">
        <w:trPr>
          <w:trHeight w:val="255"/>
          <w:jc w:val="center"/>
        </w:trPr>
        <w:tc>
          <w:tcPr>
            <w:tcW w:w="1002" w:type="dxa"/>
            <w:gridSpan w:val="2"/>
            <w:tcBorders>
              <w:top w:val="single" w:sz="4" w:space="0" w:color="auto"/>
              <w:left w:val="single" w:sz="4" w:space="0" w:color="auto"/>
              <w:bottom w:val="single" w:sz="4" w:space="0" w:color="auto"/>
              <w:right w:val="nil"/>
            </w:tcBorders>
            <w:noWrap/>
            <w:vAlign w:val="bottom"/>
          </w:tcPr>
          <w:p w14:paraId="59E636DA"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New Zealand</w:t>
            </w:r>
          </w:p>
        </w:tc>
        <w:tc>
          <w:tcPr>
            <w:tcW w:w="1437" w:type="dxa"/>
            <w:tcBorders>
              <w:top w:val="nil"/>
              <w:left w:val="nil"/>
              <w:bottom w:val="single" w:sz="4" w:space="0" w:color="auto"/>
              <w:right w:val="nil"/>
            </w:tcBorders>
            <w:shd w:val="clear" w:color="auto" w:fill="auto"/>
            <w:noWrap/>
            <w:vAlign w:val="bottom"/>
          </w:tcPr>
          <w:p w14:paraId="6FD32A2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379</w:t>
            </w:r>
          </w:p>
        </w:tc>
        <w:tc>
          <w:tcPr>
            <w:tcW w:w="1028" w:type="dxa"/>
            <w:tcBorders>
              <w:top w:val="nil"/>
              <w:left w:val="nil"/>
              <w:bottom w:val="single" w:sz="4" w:space="0" w:color="auto"/>
              <w:right w:val="nil"/>
            </w:tcBorders>
            <w:shd w:val="clear" w:color="auto" w:fill="auto"/>
            <w:noWrap/>
            <w:vAlign w:val="bottom"/>
          </w:tcPr>
          <w:p w14:paraId="1304F5A9"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$142</w:t>
            </w:r>
          </w:p>
        </w:tc>
        <w:tc>
          <w:tcPr>
            <w:tcW w:w="1028" w:type="dxa"/>
            <w:tcBorders>
              <w:top w:val="nil"/>
              <w:left w:val="nil"/>
              <w:bottom w:val="single" w:sz="4" w:space="0" w:color="auto"/>
              <w:right w:val="nil"/>
            </w:tcBorders>
            <w:shd w:val="clear" w:color="auto" w:fill="auto"/>
            <w:noWrap/>
            <w:vAlign w:val="bottom"/>
          </w:tcPr>
          <w:p w14:paraId="4050FFA1"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$353</w:t>
            </w:r>
          </w:p>
        </w:tc>
        <w:tc>
          <w:tcPr>
            <w:tcW w:w="1029" w:type="dxa"/>
            <w:tcBorders>
              <w:top w:val="nil"/>
              <w:left w:val="nil"/>
              <w:bottom w:val="single" w:sz="4" w:space="0" w:color="auto"/>
              <w:right w:val="single" w:sz="4" w:space="0" w:color="auto"/>
            </w:tcBorders>
            <w:shd w:val="clear" w:color="auto" w:fill="auto"/>
            <w:noWrap/>
            <w:vAlign w:val="bottom"/>
          </w:tcPr>
          <w:p w14:paraId="7E6B95E8"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$211</w:t>
            </w:r>
          </w:p>
        </w:tc>
        <w:tc>
          <w:tcPr>
            <w:tcW w:w="992" w:type="dxa"/>
            <w:tcBorders>
              <w:top w:val="nil"/>
              <w:left w:val="single" w:sz="4" w:space="0" w:color="auto"/>
              <w:bottom w:val="single" w:sz="4" w:space="0" w:color="auto"/>
              <w:right w:val="single" w:sz="4" w:space="0" w:color="auto"/>
            </w:tcBorders>
            <w:shd w:val="clear" w:color="auto" w:fill="auto"/>
            <w:vAlign w:val="bottom"/>
          </w:tcPr>
          <w:p w14:paraId="0062DDFF"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 </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BEB24B9"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2.5</w:t>
            </w:r>
          </w:p>
        </w:tc>
        <w:tc>
          <w:tcPr>
            <w:tcW w:w="708" w:type="dxa"/>
            <w:tcBorders>
              <w:top w:val="nil"/>
              <w:left w:val="nil"/>
              <w:bottom w:val="single" w:sz="4" w:space="0" w:color="auto"/>
              <w:right w:val="single" w:sz="4" w:space="0" w:color="auto"/>
            </w:tcBorders>
            <w:shd w:val="clear" w:color="auto" w:fill="auto"/>
            <w:vAlign w:val="bottom"/>
          </w:tcPr>
          <w:p w14:paraId="36ECCA0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$211</w:t>
            </w:r>
          </w:p>
        </w:tc>
        <w:tc>
          <w:tcPr>
            <w:tcW w:w="709" w:type="dxa"/>
            <w:tcBorders>
              <w:top w:val="nil"/>
              <w:left w:val="single" w:sz="4" w:space="0" w:color="auto"/>
              <w:bottom w:val="single" w:sz="4" w:space="0" w:color="auto"/>
              <w:right w:val="single" w:sz="4" w:space="0" w:color="auto"/>
            </w:tcBorders>
            <w:shd w:val="clear" w:color="auto" w:fill="auto"/>
            <w:vAlign w:val="bottom"/>
          </w:tcPr>
          <w:p w14:paraId="350FBB06"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2.5</w:t>
            </w:r>
          </w:p>
        </w:tc>
      </w:tr>
    </w:tbl>
    <w:p w14:paraId="43379889" w14:textId="77777777" w:rsidR="00A37634" w:rsidRPr="00A37634" w:rsidRDefault="00A37634" w:rsidP="003221FC">
      <w:pPr>
        <w:spacing w:after="0" w:line="278" w:lineRule="auto"/>
        <w:ind w:left="360" w:hanging="218"/>
        <w:jc w:val="center"/>
        <w:rPr>
          <w:rFonts w:ascii="Calibri" w:eastAsia="Cambria" w:hAnsi="Calibri" w:cs="Calibri"/>
          <w:sz w:val="16"/>
          <w:szCs w:val="24"/>
          <w:lang w:val="en-AU"/>
        </w:rPr>
      </w:pPr>
      <w:r w:rsidRPr="00A37634">
        <w:rPr>
          <w:rFonts w:ascii="Calibri" w:eastAsia="Cambria" w:hAnsi="Calibri" w:cs="Calibri"/>
          <w:sz w:val="16"/>
          <w:szCs w:val="24"/>
          <w:lang w:val="en-AU"/>
        </w:rPr>
        <w:t xml:space="preserve">(a) 50% of total </w:t>
      </w:r>
      <w:proofErr w:type="spellStart"/>
      <w:r w:rsidRPr="00A37634">
        <w:rPr>
          <w:rFonts w:ascii="Calibri" w:eastAsia="Cambria" w:hAnsi="Calibri" w:cs="Calibri"/>
          <w:sz w:val="16"/>
          <w:szCs w:val="24"/>
          <w:lang w:val="en-AU"/>
        </w:rPr>
        <w:t>MWe</w:t>
      </w:r>
      <w:proofErr w:type="spellEnd"/>
      <w:r w:rsidRPr="00A37634">
        <w:rPr>
          <w:rFonts w:ascii="Calibri" w:eastAsia="Cambria" w:hAnsi="Calibri" w:cs="Calibri"/>
          <w:sz w:val="16"/>
          <w:szCs w:val="24"/>
          <w:lang w:val="en-AU"/>
        </w:rPr>
        <w:t xml:space="preserve"> of participating DR-capable products. (</w:t>
      </w:r>
      <w:proofErr w:type="gramStart"/>
      <w:r w:rsidRPr="00A37634">
        <w:rPr>
          <w:rFonts w:ascii="Calibri" w:eastAsia="Cambria" w:hAnsi="Calibri" w:cs="Calibri"/>
          <w:sz w:val="16"/>
          <w:szCs w:val="24"/>
          <w:lang w:val="en-AU"/>
        </w:rPr>
        <w:t>b</w:t>
      </w:r>
      <w:proofErr w:type="gramEnd"/>
      <w:r w:rsidRPr="00A37634">
        <w:rPr>
          <w:rFonts w:ascii="Calibri" w:eastAsia="Cambria" w:hAnsi="Calibri" w:cs="Calibri"/>
          <w:sz w:val="16"/>
          <w:szCs w:val="24"/>
          <w:lang w:val="en-AU"/>
        </w:rPr>
        <w:t>) NPV at 7% discount rate for costs and benefits 2021-2035; 6% discount rate for NZ</w:t>
      </w:r>
    </w:p>
    <w:p w14:paraId="46E38BBF" w14:textId="15FBD68A" w:rsidR="00A37634" w:rsidRDefault="00A37634" w:rsidP="00A37634">
      <w:pPr>
        <w:spacing w:after="120" w:line="276" w:lineRule="auto"/>
        <w:rPr>
          <w:rFonts w:ascii="Calibri" w:eastAsia="Calibri" w:hAnsi="Calibri" w:cs="Calibri"/>
          <w:szCs w:val="20"/>
          <w:lang w:val="en-AU"/>
        </w:rPr>
      </w:pPr>
    </w:p>
    <w:p w14:paraId="2274FF45" w14:textId="6696DA04" w:rsidR="00A37634" w:rsidRPr="00A37634" w:rsidRDefault="00A37634" w:rsidP="003221FC">
      <w:pPr>
        <w:spacing w:before="240" w:after="120" w:line="240" w:lineRule="auto"/>
        <w:jc w:val="center"/>
        <w:rPr>
          <w:rFonts w:ascii="Calibri" w:eastAsia="Cambria" w:hAnsi="Calibri" w:cs="Calibri"/>
          <w:b/>
          <w:bCs/>
          <w:sz w:val="20"/>
          <w:szCs w:val="16"/>
          <w:lang w:val="en-AU"/>
        </w:rPr>
      </w:pPr>
      <w:bookmarkStart w:id="82" w:name="_Ref392238878"/>
      <w:bookmarkStart w:id="83" w:name="_Toc11360609"/>
      <w:bookmarkStart w:id="84" w:name="_Toc16500998"/>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7</w:t>
      </w:r>
      <w:r w:rsidRPr="00A37634">
        <w:rPr>
          <w:rFonts w:ascii="Calibri" w:eastAsia="Cambria" w:hAnsi="Calibri" w:cs="Calibri"/>
          <w:b/>
          <w:bCs/>
          <w:noProof/>
          <w:sz w:val="20"/>
          <w:szCs w:val="16"/>
          <w:lang w:val="en-AU"/>
        </w:rPr>
        <w:fldChar w:fldCharType="end"/>
      </w:r>
      <w:bookmarkEnd w:id="82"/>
      <w:r w:rsidRPr="00A37634">
        <w:rPr>
          <w:rFonts w:ascii="Calibri" w:eastAsia="Cambria" w:hAnsi="Calibri" w:cs="Calibri"/>
          <w:b/>
          <w:bCs/>
          <w:sz w:val="20"/>
          <w:szCs w:val="16"/>
          <w:lang w:val="en-AU"/>
        </w:rPr>
        <w:t>. Projected costs and benefits by jurisdiction (high activation)</w:t>
      </w:r>
      <w:bookmarkEnd w:id="83"/>
      <w:bookmarkEnd w:id="84"/>
    </w:p>
    <w:tbl>
      <w:tblPr>
        <w:tblW w:w="8222" w:type="dxa"/>
        <w:jc w:val="center"/>
        <w:tblLayout w:type="fixed"/>
        <w:tblCellMar>
          <w:left w:w="0" w:type="dxa"/>
          <w:right w:w="0" w:type="dxa"/>
        </w:tblCellMar>
        <w:tblLook w:val="0000" w:firstRow="0" w:lastRow="0" w:firstColumn="0" w:lastColumn="0" w:noHBand="0" w:noVBand="0"/>
      </w:tblPr>
      <w:tblGrid>
        <w:gridCol w:w="992"/>
        <w:gridCol w:w="1134"/>
        <w:gridCol w:w="1063"/>
        <w:gridCol w:w="1064"/>
        <w:gridCol w:w="1064"/>
        <w:gridCol w:w="934"/>
        <w:gridCol w:w="567"/>
        <w:gridCol w:w="695"/>
        <w:gridCol w:w="709"/>
      </w:tblGrid>
      <w:tr w:rsidR="00A37634" w:rsidRPr="00A37634" w14:paraId="42A3F38F" w14:textId="77777777" w:rsidTr="007C7289">
        <w:trPr>
          <w:cantSplit/>
          <w:trHeight w:val="533"/>
          <w:tblHeader/>
          <w:jc w:val="center"/>
        </w:trPr>
        <w:tc>
          <w:tcPr>
            <w:tcW w:w="992" w:type="dxa"/>
            <w:vMerge w:val="restart"/>
            <w:tcBorders>
              <w:top w:val="single" w:sz="4" w:space="0" w:color="auto"/>
              <w:left w:val="single" w:sz="4" w:space="0" w:color="auto"/>
              <w:right w:val="nil"/>
            </w:tcBorders>
            <w:noWrap/>
          </w:tcPr>
          <w:p w14:paraId="7D71CE95"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134" w:type="dxa"/>
            <w:vMerge w:val="restart"/>
            <w:tcBorders>
              <w:top w:val="single" w:sz="4" w:space="0" w:color="auto"/>
              <w:left w:val="nil"/>
              <w:right w:val="nil"/>
            </w:tcBorders>
            <w:noWrap/>
          </w:tcPr>
          <w:p w14:paraId="120F2623"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Arial Unicode MS" w:hAnsi="Calibri" w:cs="Calibri"/>
                <w:b/>
                <w:sz w:val="18"/>
                <w:szCs w:val="18"/>
                <w:lang w:val="en-AU"/>
              </w:rPr>
              <w:t xml:space="preserve">Routine DLC Reduction </w:t>
            </w:r>
            <w:r w:rsidRPr="00A37634">
              <w:rPr>
                <w:rFonts w:ascii="Calibri" w:eastAsia="Arial Unicode MS" w:hAnsi="Calibri" w:cs="Calibri"/>
                <w:b/>
                <w:sz w:val="18"/>
                <w:szCs w:val="18"/>
                <w:lang w:val="en-AU"/>
              </w:rPr>
              <w:br/>
              <w:t xml:space="preserve">available SMD </w:t>
            </w:r>
            <w:r w:rsidRPr="00A37634">
              <w:rPr>
                <w:rFonts w:ascii="Calibri" w:eastAsia="Arial Unicode MS" w:hAnsi="Calibri" w:cs="Calibri"/>
                <w:b/>
                <w:sz w:val="18"/>
                <w:szCs w:val="18"/>
                <w:lang w:val="en-AU"/>
              </w:rPr>
              <w:br/>
              <w:t>2035, MW (a)</w:t>
            </w:r>
          </w:p>
        </w:tc>
        <w:tc>
          <w:tcPr>
            <w:tcW w:w="1063" w:type="dxa"/>
            <w:vMerge w:val="restart"/>
            <w:tcBorders>
              <w:top w:val="single" w:sz="4" w:space="0" w:color="auto"/>
              <w:left w:val="nil"/>
              <w:right w:val="nil"/>
            </w:tcBorders>
            <w:noWrap/>
            <w:vAlign w:val="center"/>
          </w:tcPr>
          <w:p w14:paraId="6A36D7DE"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Arial Unicode MS" w:hAnsi="Calibri" w:cs="Calibri"/>
                <w:b/>
                <w:sz w:val="18"/>
                <w:szCs w:val="18"/>
                <w:lang w:val="en-AU"/>
              </w:rPr>
              <w:t>Costs</w:t>
            </w:r>
            <w:r w:rsidRPr="00A37634">
              <w:rPr>
                <w:rFonts w:ascii="Calibri" w:eastAsia="Arial Unicode MS" w:hAnsi="Calibri" w:cs="Calibri"/>
                <w:b/>
                <w:sz w:val="18"/>
                <w:szCs w:val="18"/>
                <w:lang w:val="en-AU"/>
              </w:rPr>
              <w:br/>
              <w:t>$M NPV</w:t>
            </w:r>
            <w:r w:rsidRPr="00A37634">
              <w:rPr>
                <w:rFonts w:ascii="Calibri" w:eastAsia="Arial Unicode MS" w:hAnsi="Calibri" w:cs="Calibri"/>
                <w:b/>
                <w:sz w:val="18"/>
                <w:szCs w:val="18"/>
                <w:lang w:val="en-AU"/>
              </w:rPr>
              <w:br/>
              <w:t>(b)</w:t>
            </w:r>
          </w:p>
          <w:p w14:paraId="5504409B"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64" w:type="dxa"/>
            <w:vMerge w:val="restart"/>
            <w:tcBorders>
              <w:top w:val="single" w:sz="4" w:space="0" w:color="auto"/>
              <w:left w:val="nil"/>
              <w:right w:val="nil"/>
            </w:tcBorders>
            <w:noWrap/>
            <w:vAlign w:val="center"/>
          </w:tcPr>
          <w:p w14:paraId="1F2F55CC"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Arial Unicode MS" w:hAnsi="Calibri" w:cs="Calibri"/>
                <w:b/>
                <w:sz w:val="18"/>
                <w:szCs w:val="18"/>
                <w:lang w:val="en-AU"/>
              </w:rPr>
              <w:t>Benefits</w:t>
            </w:r>
            <w:r w:rsidRPr="00A37634">
              <w:rPr>
                <w:rFonts w:ascii="Calibri" w:eastAsia="Arial Unicode MS" w:hAnsi="Calibri" w:cs="Calibri"/>
                <w:b/>
                <w:sz w:val="18"/>
                <w:szCs w:val="18"/>
                <w:lang w:val="en-AU"/>
              </w:rPr>
              <w:br/>
              <w:t>$M NPV</w:t>
            </w:r>
            <w:r w:rsidRPr="00A37634">
              <w:rPr>
                <w:rFonts w:ascii="Calibri" w:eastAsia="Arial Unicode MS" w:hAnsi="Calibri" w:cs="Calibri"/>
                <w:b/>
                <w:sz w:val="18"/>
                <w:szCs w:val="18"/>
                <w:lang w:val="en-AU"/>
              </w:rPr>
              <w:br/>
              <w:t>(b)</w:t>
            </w:r>
          </w:p>
          <w:p w14:paraId="75FB44A1"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64" w:type="dxa"/>
            <w:vMerge w:val="restart"/>
            <w:tcBorders>
              <w:top w:val="single" w:sz="4" w:space="0" w:color="auto"/>
              <w:left w:val="nil"/>
              <w:right w:val="nil"/>
            </w:tcBorders>
            <w:noWrap/>
            <w:vAlign w:val="center"/>
          </w:tcPr>
          <w:p w14:paraId="4384C64E"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Arial Unicode MS" w:hAnsi="Calibri" w:cs="Calibri"/>
                <w:b/>
                <w:sz w:val="18"/>
                <w:szCs w:val="18"/>
                <w:lang w:val="en-AU"/>
              </w:rPr>
              <w:t>Net</w:t>
            </w:r>
            <w:r w:rsidRPr="00A37634">
              <w:rPr>
                <w:rFonts w:ascii="Calibri" w:eastAsia="Arial Unicode MS" w:hAnsi="Calibri" w:cs="Calibri"/>
                <w:b/>
                <w:sz w:val="18"/>
                <w:szCs w:val="18"/>
                <w:lang w:val="en-AU"/>
              </w:rPr>
              <w:br/>
              <w:t>Benefits</w:t>
            </w:r>
            <w:r w:rsidRPr="00A37634">
              <w:rPr>
                <w:rFonts w:ascii="Calibri" w:eastAsia="Arial Unicode MS" w:hAnsi="Calibri" w:cs="Calibri"/>
                <w:b/>
                <w:sz w:val="18"/>
                <w:szCs w:val="18"/>
                <w:lang w:val="en-AU"/>
              </w:rPr>
              <w:br/>
              <w:t>$M NPV</w:t>
            </w:r>
            <w:r w:rsidRPr="00A37634">
              <w:rPr>
                <w:rFonts w:ascii="Calibri" w:eastAsia="Arial Unicode MS" w:hAnsi="Calibri" w:cs="Calibri"/>
                <w:b/>
                <w:sz w:val="18"/>
                <w:szCs w:val="18"/>
                <w:lang w:val="en-AU"/>
              </w:rPr>
              <w:br/>
              <w:t>(b)</w:t>
            </w:r>
          </w:p>
        </w:tc>
        <w:tc>
          <w:tcPr>
            <w:tcW w:w="934" w:type="dxa"/>
            <w:vMerge w:val="restart"/>
            <w:tcBorders>
              <w:top w:val="single" w:sz="4" w:space="0" w:color="auto"/>
              <w:left w:val="single" w:sz="4" w:space="0" w:color="auto"/>
              <w:right w:val="single" w:sz="4" w:space="0" w:color="auto"/>
            </w:tcBorders>
            <w:vAlign w:val="center"/>
          </w:tcPr>
          <w:p w14:paraId="57B874E1"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Arial Unicode MS" w:hAnsi="Calibri" w:cs="Calibri"/>
                <w:b/>
                <w:sz w:val="18"/>
                <w:szCs w:val="18"/>
                <w:lang w:val="en-AU"/>
              </w:rPr>
              <w:t>% net</w:t>
            </w:r>
            <w:r w:rsidRPr="00A37634">
              <w:rPr>
                <w:rFonts w:ascii="Calibri" w:eastAsia="Arial Unicode MS" w:hAnsi="Calibri" w:cs="Calibri"/>
                <w:b/>
                <w:sz w:val="18"/>
                <w:szCs w:val="18"/>
                <w:lang w:val="en-AU"/>
              </w:rPr>
              <w:br/>
              <w:t xml:space="preserve">national </w:t>
            </w:r>
            <w:r w:rsidRPr="00A37634">
              <w:rPr>
                <w:rFonts w:ascii="Calibri" w:eastAsia="Arial Unicode MS" w:hAnsi="Calibri" w:cs="Calibri"/>
                <w:b/>
                <w:sz w:val="18"/>
                <w:szCs w:val="18"/>
                <w:lang w:val="en-AU"/>
              </w:rPr>
              <w:br/>
              <w:t>benefits</w:t>
            </w:r>
          </w:p>
        </w:tc>
        <w:tc>
          <w:tcPr>
            <w:tcW w:w="567" w:type="dxa"/>
            <w:vMerge w:val="restart"/>
            <w:tcBorders>
              <w:top w:val="single" w:sz="4" w:space="0" w:color="auto"/>
              <w:left w:val="single" w:sz="4" w:space="0" w:color="auto"/>
              <w:right w:val="single" w:sz="4" w:space="0" w:color="auto"/>
            </w:tcBorders>
            <w:noWrap/>
            <w:vAlign w:val="center"/>
          </w:tcPr>
          <w:p w14:paraId="5A68ADB5"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Arial Unicode MS" w:hAnsi="Calibri" w:cs="Calibri"/>
                <w:b/>
                <w:sz w:val="18"/>
                <w:szCs w:val="18"/>
                <w:lang w:val="en-AU"/>
              </w:rPr>
              <w:t>B/C ratio</w:t>
            </w:r>
          </w:p>
        </w:tc>
        <w:tc>
          <w:tcPr>
            <w:tcW w:w="1404" w:type="dxa"/>
            <w:gridSpan w:val="2"/>
            <w:tcBorders>
              <w:top w:val="single" w:sz="4" w:space="0" w:color="auto"/>
              <w:left w:val="single" w:sz="4" w:space="0" w:color="auto"/>
              <w:bottom w:val="single" w:sz="4" w:space="0" w:color="auto"/>
              <w:right w:val="single" w:sz="4" w:space="0" w:color="auto"/>
            </w:tcBorders>
          </w:tcPr>
          <w:p w14:paraId="7CDCEE03"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Without whole-sale benefit</w:t>
            </w:r>
          </w:p>
        </w:tc>
      </w:tr>
      <w:tr w:rsidR="00A37634" w:rsidRPr="00A37634" w14:paraId="6452CD70" w14:textId="77777777" w:rsidTr="007C7289">
        <w:trPr>
          <w:cantSplit/>
          <w:trHeight w:val="532"/>
          <w:tblHeader/>
          <w:jc w:val="center"/>
        </w:trPr>
        <w:tc>
          <w:tcPr>
            <w:tcW w:w="992" w:type="dxa"/>
            <w:vMerge/>
            <w:tcBorders>
              <w:left w:val="single" w:sz="4" w:space="0" w:color="auto"/>
              <w:bottom w:val="single" w:sz="4" w:space="0" w:color="auto"/>
              <w:right w:val="nil"/>
            </w:tcBorders>
            <w:noWrap/>
          </w:tcPr>
          <w:p w14:paraId="26C38234"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134" w:type="dxa"/>
            <w:vMerge/>
            <w:tcBorders>
              <w:left w:val="nil"/>
              <w:bottom w:val="single" w:sz="4" w:space="0" w:color="auto"/>
              <w:right w:val="nil"/>
            </w:tcBorders>
            <w:noWrap/>
          </w:tcPr>
          <w:p w14:paraId="3566C2C8"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63" w:type="dxa"/>
            <w:vMerge/>
            <w:tcBorders>
              <w:left w:val="nil"/>
              <w:bottom w:val="single" w:sz="4" w:space="0" w:color="auto"/>
              <w:right w:val="nil"/>
            </w:tcBorders>
            <w:noWrap/>
            <w:vAlign w:val="center"/>
          </w:tcPr>
          <w:p w14:paraId="424B4DD8"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64" w:type="dxa"/>
            <w:vMerge/>
            <w:tcBorders>
              <w:left w:val="nil"/>
              <w:bottom w:val="single" w:sz="4" w:space="0" w:color="auto"/>
              <w:right w:val="nil"/>
            </w:tcBorders>
            <w:noWrap/>
            <w:vAlign w:val="center"/>
          </w:tcPr>
          <w:p w14:paraId="5DF6337B"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64" w:type="dxa"/>
            <w:vMerge/>
            <w:tcBorders>
              <w:left w:val="nil"/>
              <w:bottom w:val="single" w:sz="4" w:space="0" w:color="auto"/>
              <w:right w:val="nil"/>
            </w:tcBorders>
            <w:noWrap/>
            <w:vAlign w:val="center"/>
          </w:tcPr>
          <w:p w14:paraId="4921D19F"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934" w:type="dxa"/>
            <w:vMerge/>
            <w:tcBorders>
              <w:left w:val="single" w:sz="4" w:space="0" w:color="auto"/>
              <w:bottom w:val="single" w:sz="4" w:space="0" w:color="auto"/>
              <w:right w:val="single" w:sz="4" w:space="0" w:color="auto"/>
            </w:tcBorders>
            <w:vAlign w:val="center"/>
          </w:tcPr>
          <w:p w14:paraId="317395BB"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567" w:type="dxa"/>
            <w:vMerge/>
            <w:tcBorders>
              <w:left w:val="single" w:sz="4" w:space="0" w:color="auto"/>
              <w:bottom w:val="single" w:sz="4" w:space="0" w:color="auto"/>
              <w:right w:val="single" w:sz="4" w:space="0" w:color="auto"/>
            </w:tcBorders>
            <w:noWrap/>
            <w:vAlign w:val="center"/>
          </w:tcPr>
          <w:p w14:paraId="3A440006"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695" w:type="dxa"/>
            <w:tcBorders>
              <w:top w:val="single" w:sz="4" w:space="0" w:color="auto"/>
              <w:left w:val="single" w:sz="4" w:space="0" w:color="auto"/>
              <w:bottom w:val="single" w:sz="4" w:space="0" w:color="auto"/>
              <w:right w:val="single" w:sz="4" w:space="0" w:color="auto"/>
            </w:tcBorders>
          </w:tcPr>
          <w:p w14:paraId="5DC1BEE5"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w:t>
            </w:r>
          </w:p>
        </w:tc>
        <w:tc>
          <w:tcPr>
            <w:tcW w:w="709" w:type="dxa"/>
            <w:tcBorders>
              <w:top w:val="single" w:sz="4" w:space="0" w:color="auto"/>
              <w:left w:val="single" w:sz="4" w:space="0" w:color="auto"/>
              <w:bottom w:val="single" w:sz="4" w:space="0" w:color="auto"/>
              <w:right w:val="single" w:sz="4" w:space="0" w:color="auto"/>
            </w:tcBorders>
          </w:tcPr>
          <w:p w14:paraId="6CC5336D"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B/C ratio</w:t>
            </w:r>
          </w:p>
        </w:tc>
      </w:tr>
      <w:tr w:rsidR="00A37634" w:rsidRPr="00A37634" w14:paraId="3287C49D" w14:textId="77777777" w:rsidTr="007C7289">
        <w:trPr>
          <w:trHeight w:val="255"/>
          <w:jc w:val="center"/>
        </w:trPr>
        <w:tc>
          <w:tcPr>
            <w:tcW w:w="992" w:type="dxa"/>
            <w:tcBorders>
              <w:top w:val="single" w:sz="4" w:space="0" w:color="auto"/>
              <w:left w:val="single" w:sz="4" w:space="0" w:color="auto"/>
              <w:bottom w:val="nil"/>
              <w:right w:val="nil"/>
            </w:tcBorders>
            <w:noWrap/>
            <w:vAlign w:val="bottom"/>
          </w:tcPr>
          <w:p w14:paraId="57A030CE"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NSW</w:t>
            </w:r>
          </w:p>
        </w:tc>
        <w:tc>
          <w:tcPr>
            <w:tcW w:w="1134" w:type="dxa"/>
            <w:tcBorders>
              <w:top w:val="nil"/>
              <w:left w:val="nil"/>
              <w:bottom w:val="nil"/>
              <w:right w:val="nil"/>
            </w:tcBorders>
            <w:shd w:val="clear" w:color="auto" w:fill="auto"/>
            <w:noWrap/>
            <w:vAlign w:val="bottom"/>
          </w:tcPr>
          <w:p w14:paraId="377D36FD"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1453</w:t>
            </w:r>
          </w:p>
        </w:tc>
        <w:tc>
          <w:tcPr>
            <w:tcW w:w="1063" w:type="dxa"/>
            <w:tcBorders>
              <w:top w:val="nil"/>
              <w:left w:val="nil"/>
              <w:bottom w:val="nil"/>
              <w:right w:val="nil"/>
            </w:tcBorders>
            <w:shd w:val="clear" w:color="auto" w:fill="auto"/>
            <w:noWrap/>
            <w:vAlign w:val="bottom"/>
          </w:tcPr>
          <w:p w14:paraId="59B34DD1"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$349</w:t>
            </w:r>
          </w:p>
        </w:tc>
        <w:tc>
          <w:tcPr>
            <w:tcW w:w="1064" w:type="dxa"/>
            <w:tcBorders>
              <w:top w:val="nil"/>
              <w:left w:val="nil"/>
              <w:bottom w:val="nil"/>
              <w:right w:val="nil"/>
            </w:tcBorders>
            <w:shd w:val="clear" w:color="auto" w:fill="auto"/>
            <w:noWrap/>
            <w:vAlign w:val="bottom"/>
          </w:tcPr>
          <w:p w14:paraId="4EBD36D2"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$766</w:t>
            </w:r>
          </w:p>
        </w:tc>
        <w:tc>
          <w:tcPr>
            <w:tcW w:w="1064" w:type="dxa"/>
            <w:tcBorders>
              <w:top w:val="nil"/>
              <w:left w:val="nil"/>
              <w:bottom w:val="nil"/>
              <w:right w:val="single" w:sz="4" w:space="0" w:color="auto"/>
            </w:tcBorders>
            <w:shd w:val="clear" w:color="auto" w:fill="auto"/>
            <w:noWrap/>
            <w:vAlign w:val="bottom"/>
          </w:tcPr>
          <w:p w14:paraId="4BED05B5"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$416</w:t>
            </w:r>
          </w:p>
        </w:tc>
        <w:tc>
          <w:tcPr>
            <w:tcW w:w="934" w:type="dxa"/>
            <w:tcBorders>
              <w:top w:val="nil"/>
              <w:left w:val="single" w:sz="4" w:space="0" w:color="auto"/>
              <w:bottom w:val="nil"/>
              <w:right w:val="single" w:sz="4" w:space="0" w:color="auto"/>
            </w:tcBorders>
            <w:shd w:val="clear" w:color="auto" w:fill="auto"/>
            <w:vAlign w:val="bottom"/>
          </w:tcPr>
          <w:p w14:paraId="5F00CE6A"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9.7%</w:t>
            </w:r>
          </w:p>
        </w:tc>
        <w:tc>
          <w:tcPr>
            <w:tcW w:w="567" w:type="dxa"/>
            <w:tcBorders>
              <w:top w:val="nil"/>
              <w:left w:val="single" w:sz="4" w:space="0" w:color="auto"/>
              <w:bottom w:val="nil"/>
              <w:right w:val="single" w:sz="4" w:space="0" w:color="auto"/>
            </w:tcBorders>
            <w:shd w:val="clear" w:color="auto" w:fill="auto"/>
            <w:noWrap/>
            <w:vAlign w:val="bottom"/>
          </w:tcPr>
          <w:p w14:paraId="3CFB944C"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2.2</w:t>
            </w:r>
          </w:p>
        </w:tc>
        <w:tc>
          <w:tcPr>
            <w:tcW w:w="695" w:type="dxa"/>
            <w:tcBorders>
              <w:top w:val="nil"/>
              <w:left w:val="nil"/>
              <w:bottom w:val="nil"/>
              <w:right w:val="single" w:sz="4" w:space="0" w:color="auto"/>
            </w:tcBorders>
            <w:shd w:val="clear" w:color="auto" w:fill="auto"/>
            <w:vAlign w:val="bottom"/>
          </w:tcPr>
          <w:p w14:paraId="1A74EEA5"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$241</w:t>
            </w:r>
          </w:p>
        </w:tc>
        <w:tc>
          <w:tcPr>
            <w:tcW w:w="709" w:type="dxa"/>
            <w:tcBorders>
              <w:top w:val="nil"/>
              <w:left w:val="single" w:sz="4" w:space="0" w:color="auto"/>
              <w:bottom w:val="nil"/>
              <w:right w:val="single" w:sz="4" w:space="0" w:color="auto"/>
            </w:tcBorders>
            <w:shd w:val="clear" w:color="auto" w:fill="auto"/>
            <w:vAlign w:val="bottom"/>
          </w:tcPr>
          <w:p w14:paraId="12F3EAE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1.7</w:t>
            </w:r>
          </w:p>
        </w:tc>
      </w:tr>
      <w:tr w:rsidR="00A37634" w:rsidRPr="00A37634" w14:paraId="64D2B9AD" w14:textId="77777777" w:rsidTr="007C7289">
        <w:trPr>
          <w:trHeight w:val="255"/>
          <w:jc w:val="center"/>
        </w:trPr>
        <w:tc>
          <w:tcPr>
            <w:tcW w:w="992" w:type="dxa"/>
            <w:tcBorders>
              <w:top w:val="nil"/>
              <w:left w:val="single" w:sz="4" w:space="0" w:color="auto"/>
              <w:bottom w:val="nil"/>
              <w:right w:val="nil"/>
            </w:tcBorders>
            <w:noWrap/>
            <w:vAlign w:val="bottom"/>
          </w:tcPr>
          <w:p w14:paraId="1D8E77F4"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Vic</w:t>
            </w:r>
          </w:p>
        </w:tc>
        <w:tc>
          <w:tcPr>
            <w:tcW w:w="1134" w:type="dxa"/>
            <w:tcBorders>
              <w:top w:val="nil"/>
              <w:left w:val="nil"/>
              <w:bottom w:val="nil"/>
              <w:right w:val="nil"/>
            </w:tcBorders>
            <w:shd w:val="clear" w:color="auto" w:fill="auto"/>
            <w:noWrap/>
            <w:vAlign w:val="bottom"/>
          </w:tcPr>
          <w:p w14:paraId="7D9C98F7"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964</w:t>
            </w:r>
          </w:p>
        </w:tc>
        <w:tc>
          <w:tcPr>
            <w:tcW w:w="1063" w:type="dxa"/>
            <w:tcBorders>
              <w:top w:val="nil"/>
              <w:left w:val="nil"/>
              <w:bottom w:val="nil"/>
              <w:right w:val="nil"/>
            </w:tcBorders>
            <w:shd w:val="clear" w:color="auto" w:fill="auto"/>
            <w:noWrap/>
            <w:vAlign w:val="bottom"/>
          </w:tcPr>
          <w:p w14:paraId="7BA526F3"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$202</w:t>
            </w:r>
          </w:p>
        </w:tc>
        <w:tc>
          <w:tcPr>
            <w:tcW w:w="1064" w:type="dxa"/>
            <w:tcBorders>
              <w:top w:val="nil"/>
              <w:left w:val="nil"/>
              <w:bottom w:val="nil"/>
              <w:right w:val="nil"/>
            </w:tcBorders>
            <w:shd w:val="clear" w:color="auto" w:fill="auto"/>
            <w:noWrap/>
            <w:vAlign w:val="bottom"/>
          </w:tcPr>
          <w:p w14:paraId="09D435C9"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$869</w:t>
            </w:r>
          </w:p>
        </w:tc>
        <w:tc>
          <w:tcPr>
            <w:tcW w:w="1064" w:type="dxa"/>
            <w:tcBorders>
              <w:top w:val="nil"/>
              <w:left w:val="nil"/>
              <w:bottom w:val="nil"/>
              <w:right w:val="single" w:sz="4" w:space="0" w:color="auto"/>
            </w:tcBorders>
            <w:shd w:val="clear" w:color="auto" w:fill="auto"/>
            <w:noWrap/>
            <w:vAlign w:val="bottom"/>
          </w:tcPr>
          <w:p w14:paraId="2D201D1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$667</w:t>
            </w:r>
          </w:p>
        </w:tc>
        <w:tc>
          <w:tcPr>
            <w:tcW w:w="934" w:type="dxa"/>
            <w:tcBorders>
              <w:top w:val="nil"/>
              <w:left w:val="single" w:sz="4" w:space="0" w:color="auto"/>
              <w:bottom w:val="nil"/>
              <w:right w:val="single" w:sz="4" w:space="0" w:color="auto"/>
            </w:tcBorders>
            <w:shd w:val="clear" w:color="auto" w:fill="auto"/>
            <w:vAlign w:val="bottom"/>
          </w:tcPr>
          <w:p w14:paraId="4408B041"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15.6%</w:t>
            </w:r>
          </w:p>
        </w:tc>
        <w:tc>
          <w:tcPr>
            <w:tcW w:w="567" w:type="dxa"/>
            <w:tcBorders>
              <w:top w:val="nil"/>
              <w:left w:val="single" w:sz="4" w:space="0" w:color="auto"/>
              <w:bottom w:val="nil"/>
              <w:right w:val="single" w:sz="4" w:space="0" w:color="auto"/>
            </w:tcBorders>
            <w:shd w:val="clear" w:color="auto" w:fill="auto"/>
            <w:noWrap/>
            <w:vAlign w:val="bottom"/>
          </w:tcPr>
          <w:p w14:paraId="1C5E9099"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4.3</w:t>
            </w:r>
          </w:p>
        </w:tc>
        <w:tc>
          <w:tcPr>
            <w:tcW w:w="695" w:type="dxa"/>
            <w:tcBorders>
              <w:top w:val="nil"/>
              <w:left w:val="nil"/>
              <w:bottom w:val="nil"/>
              <w:right w:val="single" w:sz="4" w:space="0" w:color="auto"/>
            </w:tcBorders>
            <w:shd w:val="clear" w:color="auto" w:fill="auto"/>
            <w:vAlign w:val="bottom"/>
          </w:tcPr>
          <w:p w14:paraId="72DDEF08"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$540</w:t>
            </w:r>
          </w:p>
        </w:tc>
        <w:tc>
          <w:tcPr>
            <w:tcW w:w="709" w:type="dxa"/>
            <w:tcBorders>
              <w:top w:val="nil"/>
              <w:left w:val="single" w:sz="4" w:space="0" w:color="auto"/>
              <w:bottom w:val="nil"/>
              <w:right w:val="single" w:sz="4" w:space="0" w:color="auto"/>
            </w:tcBorders>
            <w:shd w:val="clear" w:color="auto" w:fill="auto"/>
            <w:vAlign w:val="bottom"/>
          </w:tcPr>
          <w:p w14:paraId="4728019D"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3.7</w:t>
            </w:r>
          </w:p>
        </w:tc>
      </w:tr>
      <w:tr w:rsidR="00A37634" w:rsidRPr="00A37634" w14:paraId="79C41BDC" w14:textId="77777777" w:rsidTr="007C7289">
        <w:trPr>
          <w:trHeight w:val="255"/>
          <w:jc w:val="center"/>
        </w:trPr>
        <w:tc>
          <w:tcPr>
            <w:tcW w:w="992" w:type="dxa"/>
            <w:tcBorders>
              <w:top w:val="nil"/>
              <w:left w:val="single" w:sz="4" w:space="0" w:color="auto"/>
              <w:bottom w:val="nil"/>
              <w:right w:val="nil"/>
            </w:tcBorders>
            <w:noWrap/>
            <w:vAlign w:val="bottom"/>
          </w:tcPr>
          <w:p w14:paraId="032A134B"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Qld</w:t>
            </w:r>
          </w:p>
        </w:tc>
        <w:tc>
          <w:tcPr>
            <w:tcW w:w="1134" w:type="dxa"/>
            <w:tcBorders>
              <w:top w:val="nil"/>
              <w:left w:val="nil"/>
              <w:bottom w:val="nil"/>
              <w:right w:val="nil"/>
            </w:tcBorders>
            <w:shd w:val="clear" w:color="auto" w:fill="auto"/>
            <w:noWrap/>
            <w:vAlign w:val="bottom"/>
          </w:tcPr>
          <w:p w14:paraId="0032D7E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1459</w:t>
            </w:r>
          </w:p>
        </w:tc>
        <w:tc>
          <w:tcPr>
            <w:tcW w:w="1063" w:type="dxa"/>
            <w:tcBorders>
              <w:top w:val="nil"/>
              <w:left w:val="nil"/>
              <w:bottom w:val="nil"/>
              <w:right w:val="nil"/>
            </w:tcBorders>
            <w:shd w:val="clear" w:color="auto" w:fill="auto"/>
            <w:noWrap/>
            <w:vAlign w:val="bottom"/>
          </w:tcPr>
          <w:p w14:paraId="399065A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$356</w:t>
            </w:r>
          </w:p>
        </w:tc>
        <w:tc>
          <w:tcPr>
            <w:tcW w:w="1064" w:type="dxa"/>
            <w:tcBorders>
              <w:top w:val="nil"/>
              <w:left w:val="nil"/>
              <w:bottom w:val="nil"/>
              <w:right w:val="nil"/>
            </w:tcBorders>
            <w:shd w:val="clear" w:color="auto" w:fill="auto"/>
            <w:noWrap/>
            <w:vAlign w:val="bottom"/>
          </w:tcPr>
          <w:p w14:paraId="73976CE7"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$2,203</w:t>
            </w:r>
          </w:p>
        </w:tc>
        <w:tc>
          <w:tcPr>
            <w:tcW w:w="1064" w:type="dxa"/>
            <w:tcBorders>
              <w:top w:val="nil"/>
              <w:left w:val="nil"/>
              <w:bottom w:val="nil"/>
              <w:right w:val="single" w:sz="4" w:space="0" w:color="auto"/>
            </w:tcBorders>
            <w:shd w:val="clear" w:color="auto" w:fill="auto"/>
            <w:noWrap/>
            <w:vAlign w:val="bottom"/>
          </w:tcPr>
          <w:p w14:paraId="1339DC4C"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$1,847</w:t>
            </w:r>
          </w:p>
        </w:tc>
        <w:tc>
          <w:tcPr>
            <w:tcW w:w="934" w:type="dxa"/>
            <w:tcBorders>
              <w:top w:val="nil"/>
              <w:left w:val="single" w:sz="4" w:space="0" w:color="auto"/>
              <w:bottom w:val="nil"/>
              <w:right w:val="single" w:sz="4" w:space="0" w:color="auto"/>
            </w:tcBorders>
            <w:shd w:val="clear" w:color="auto" w:fill="auto"/>
            <w:vAlign w:val="bottom"/>
          </w:tcPr>
          <w:p w14:paraId="2DC5052F"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43.2%</w:t>
            </w:r>
          </w:p>
        </w:tc>
        <w:tc>
          <w:tcPr>
            <w:tcW w:w="567" w:type="dxa"/>
            <w:tcBorders>
              <w:top w:val="nil"/>
              <w:left w:val="single" w:sz="4" w:space="0" w:color="auto"/>
              <w:bottom w:val="nil"/>
              <w:right w:val="single" w:sz="4" w:space="0" w:color="auto"/>
            </w:tcBorders>
            <w:shd w:val="clear" w:color="auto" w:fill="auto"/>
            <w:noWrap/>
            <w:vAlign w:val="bottom"/>
          </w:tcPr>
          <w:p w14:paraId="7A64B10A"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6.2</w:t>
            </w:r>
          </w:p>
        </w:tc>
        <w:tc>
          <w:tcPr>
            <w:tcW w:w="695" w:type="dxa"/>
            <w:tcBorders>
              <w:top w:val="nil"/>
              <w:left w:val="nil"/>
              <w:bottom w:val="nil"/>
              <w:right w:val="single" w:sz="4" w:space="0" w:color="auto"/>
            </w:tcBorders>
            <w:shd w:val="clear" w:color="auto" w:fill="auto"/>
            <w:vAlign w:val="bottom"/>
          </w:tcPr>
          <w:p w14:paraId="03E8CC1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$1,672</w:t>
            </w:r>
          </w:p>
        </w:tc>
        <w:tc>
          <w:tcPr>
            <w:tcW w:w="709" w:type="dxa"/>
            <w:tcBorders>
              <w:top w:val="nil"/>
              <w:left w:val="single" w:sz="4" w:space="0" w:color="auto"/>
              <w:bottom w:val="nil"/>
              <w:right w:val="single" w:sz="4" w:space="0" w:color="auto"/>
            </w:tcBorders>
            <w:shd w:val="clear" w:color="auto" w:fill="auto"/>
            <w:vAlign w:val="bottom"/>
          </w:tcPr>
          <w:p w14:paraId="14EA40C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5.7</w:t>
            </w:r>
          </w:p>
        </w:tc>
      </w:tr>
      <w:tr w:rsidR="00A37634" w:rsidRPr="00A37634" w14:paraId="3784766A" w14:textId="77777777" w:rsidTr="007C7289">
        <w:trPr>
          <w:trHeight w:val="255"/>
          <w:jc w:val="center"/>
        </w:trPr>
        <w:tc>
          <w:tcPr>
            <w:tcW w:w="992" w:type="dxa"/>
            <w:tcBorders>
              <w:top w:val="nil"/>
              <w:left w:val="single" w:sz="4" w:space="0" w:color="auto"/>
              <w:bottom w:val="nil"/>
              <w:right w:val="nil"/>
            </w:tcBorders>
            <w:noWrap/>
            <w:vAlign w:val="bottom"/>
          </w:tcPr>
          <w:p w14:paraId="736DB3A4"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SA</w:t>
            </w:r>
          </w:p>
        </w:tc>
        <w:tc>
          <w:tcPr>
            <w:tcW w:w="1134" w:type="dxa"/>
            <w:tcBorders>
              <w:top w:val="nil"/>
              <w:left w:val="nil"/>
              <w:bottom w:val="nil"/>
              <w:right w:val="nil"/>
            </w:tcBorders>
            <w:shd w:val="clear" w:color="auto" w:fill="auto"/>
            <w:noWrap/>
            <w:vAlign w:val="bottom"/>
          </w:tcPr>
          <w:p w14:paraId="529189FF"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393</w:t>
            </w:r>
          </w:p>
        </w:tc>
        <w:tc>
          <w:tcPr>
            <w:tcW w:w="1063" w:type="dxa"/>
            <w:tcBorders>
              <w:top w:val="nil"/>
              <w:left w:val="nil"/>
              <w:bottom w:val="nil"/>
              <w:right w:val="nil"/>
            </w:tcBorders>
            <w:shd w:val="clear" w:color="auto" w:fill="auto"/>
            <w:noWrap/>
            <w:vAlign w:val="bottom"/>
          </w:tcPr>
          <w:p w14:paraId="3467D95F"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$83</w:t>
            </w:r>
          </w:p>
        </w:tc>
        <w:tc>
          <w:tcPr>
            <w:tcW w:w="1064" w:type="dxa"/>
            <w:tcBorders>
              <w:top w:val="nil"/>
              <w:left w:val="nil"/>
              <w:bottom w:val="nil"/>
              <w:right w:val="nil"/>
            </w:tcBorders>
            <w:shd w:val="clear" w:color="auto" w:fill="auto"/>
            <w:noWrap/>
            <w:vAlign w:val="bottom"/>
          </w:tcPr>
          <w:p w14:paraId="0F0AF445"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$666</w:t>
            </w:r>
          </w:p>
        </w:tc>
        <w:tc>
          <w:tcPr>
            <w:tcW w:w="1064" w:type="dxa"/>
            <w:tcBorders>
              <w:top w:val="nil"/>
              <w:left w:val="nil"/>
              <w:bottom w:val="nil"/>
              <w:right w:val="single" w:sz="4" w:space="0" w:color="auto"/>
            </w:tcBorders>
            <w:shd w:val="clear" w:color="auto" w:fill="auto"/>
            <w:noWrap/>
            <w:vAlign w:val="bottom"/>
          </w:tcPr>
          <w:p w14:paraId="3249BDFB"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$582</w:t>
            </w:r>
          </w:p>
        </w:tc>
        <w:tc>
          <w:tcPr>
            <w:tcW w:w="934" w:type="dxa"/>
            <w:tcBorders>
              <w:top w:val="nil"/>
              <w:left w:val="single" w:sz="4" w:space="0" w:color="auto"/>
              <w:bottom w:val="nil"/>
              <w:right w:val="single" w:sz="4" w:space="0" w:color="auto"/>
            </w:tcBorders>
            <w:shd w:val="clear" w:color="auto" w:fill="auto"/>
            <w:vAlign w:val="bottom"/>
          </w:tcPr>
          <w:p w14:paraId="520A0187"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13.6%</w:t>
            </w:r>
          </w:p>
        </w:tc>
        <w:tc>
          <w:tcPr>
            <w:tcW w:w="567" w:type="dxa"/>
            <w:tcBorders>
              <w:top w:val="nil"/>
              <w:left w:val="single" w:sz="4" w:space="0" w:color="auto"/>
              <w:bottom w:val="nil"/>
              <w:right w:val="single" w:sz="4" w:space="0" w:color="auto"/>
            </w:tcBorders>
            <w:shd w:val="clear" w:color="auto" w:fill="auto"/>
            <w:noWrap/>
            <w:vAlign w:val="bottom"/>
          </w:tcPr>
          <w:p w14:paraId="64E96C7C"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8.0</w:t>
            </w:r>
          </w:p>
        </w:tc>
        <w:tc>
          <w:tcPr>
            <w:tcW w:w="695" w:type="dxa"/>
            <w:tcBorders>
              <w:top w:val="nil"/>
              <w:left w:val="nil"/>
              <w:bottom w:val="nil"/>
              <w:right w:val="single" w:sz="4" w:space="0" w:color="auto"/>
            </w:tcBorders>
            <w:shd w:val="clear" w:color="auto" w:fill="auto"/>
            <w:vAlign w:val="bottom"/>
          </w:tcPr>
          <w:p w14:paraId="69F3C615"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$538</w:t>
            </w:r>
          </w:p>
        </w:tc>
        <w:tc>
          <w:tcPr>
            <w:tcW w:w="709" w:type="dxa"/>
            <w:tcBorders>
              <w:top w:val="nil"/>
              <w:left w:val="single" w:sz="4" w:space="0" w:color="auto"/>
              <w:bottom w:val="nil"/>
              <w:right w:val="single" w:sz="4" w:space="0" w:color="auto"/>
            </w:tcBorders>
            <w:shd w:val="clear" w:color="auto" w:fill="auto"/>
            <w:vAlign w:val="bottom"/>
          </w:tcPr>
          <w:p w14:paraId="4803093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7.5</w:t>
            </w:r>
          </w:p>
        </w:tc>
      </w:tr>
      <w:tr w:rsidR="00A37634" w:rsidRPr="00A37634" w14:paraId="2C7AEF02" w14:textId="77777777" w:rsidTr="007C7289">
        <w:trPr>
          <w:trHeight w:val="255"/>
          <w:jc w:val="center"/>
        </w:trPr>
        <w:tc>
          <w:tcPr>
            <w:tcW w:w="992" w:type="dxa"/>
            <w:tcBorders>
              <w:top w:val="nil"/>
              <w:left w:val="single" w:sz="4" w:space="0" w:color="auto"/>
              <w:bottom w:val="nil"/>
              <w:right w:val="nil"/>
            </w:tcBorders>
            <w:noWrap/>
            <w:vAlign w:val="bottom"/>
          </w:tcPr>
          <w:p w14:paraId="6FBFA3A3"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WA</w:t>
            </w:r>
          </w:p>
        </w:tc>
        <w:tc>
          <w:tcPr>
            <w:tcW w:w="1134" w:type="dxa"/>
            <w:tcBorders>
              <w:top w:val="nil"/>
              <w:left w:val="nil"/>
              <w:bottom w:val="nil"/>
              <w:right w:val="nil"/>
            </w:tcBorders>
            <w:shd w:val="clear" w:color="auto" w:fill="auto"/>
            <w:noWrap/>
            <w:vAlign w:val="bottom"/>
          </w:tcPr>
          <w:p w14:paraId="25F589F8"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671</w:t>
            </w:r>
          </w:p>
        </w:tc>
        <w:tc>
          <w:tcPr>
            <w:tcW w:w="1063" w:type="dxa"/>
            <w:tcBorders>
              <w:top w:val="nil"/>
              <w:left w:val="nil"/>
              <w:bottom w:val="nil"/>
              <w:right w:val="nil"/>
            </w:tcBorders>
            <w:shd w:val="clear" w:color="auto" w:fill="auto"/>
            <w:noWrap/>
            <w:vAlign w:val="bottom"/>
          </w:tcPr>
          <w:p w14:paraId="57BABC58"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$148</w:t>
            </w:r>
          </w:p>
        </w:tc>
        <w:tc>
          <w:tcPr>
            <w:tcW w:w="1064" w:type="dxa"/>
            <w:tcBorders>
              <w:top w:val="nil"/>
              <w:left w:val="nil"/>
              <w:bottom w:val="nil"/>
              <w:right w:val="nil"/>
            </w:tcBorders>
            <w:shd w:val="clear" w:color="auto" w:fill="auto"/>
            <w:noWrap/>
            <w:vAlign w:val="bottom"/>
          </w:tcPr>
          <w:p w14:paraId="31D86039"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$835</w:t>
            </w:r>
          </w:p>
        </w:tc>
        <w:tc>
          <w:tcPr>
            <w:tcW w:w="1064" w:type="dxa"/>
            <w:tcBorders>
              <w:top w:val="nil"/>
              <w:left w:val="nil"/>
              <w:bottom w:val="nil"/>
              <w:right w:val="single" w:sz="4" w:space="0" w:color="auto"/>
            </w:tcBorders>
            <w:shd w:val="clear" w:color="auto" w:fill="auto"/>
            <w:noWrap/>
            <w:vAlign w:val="bottom"/>
          </w:tcPr>
          <w:p w14:paraId="54F045E5"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$686</w:t>
            </w:r>
          </w:p>
        </w:tc>
        <w:tc>
          <w:tcPr>
            <w:tcW w:w="934" w:type="dxa"/>
            <w:tcBorders>
              <w:top w:val="nil"/>
              <w:left w:val="single" w:sz="4" w:space="0" w:color="auto"/>
              <w:bottom w:val="nil"/>
              <w:right w:val="single" w:sz="4" w:space="0" w:color="auto"/>
            </w:tcBorders>
            <w:shd w:val="clear" w:color="auto" w:fill="auto"/>
            <w:vAlign w:val="bottom"/>
          </w:tcPr>
          <w:p w14:paraId="20B63E35"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16.1%</w:t>
            </w:r>
          </w:p>
        </w:tc>
        <w:tc>
          <w:tcPr>
            <w:tcW w:w="567" w:type="dxa"/>
            <w:tcBorders>
              <w:top w:val="nil"/>
              <w:left w:val="single" w:sz="4" w:space="0" w:color="auto"/>
              <w:bottom w:val="nil"/>
              <w:right w:val="single" w:sz="4" w:space="0" w:color="auto"/>
            </w:tcBorders>
            <w:shd w:val="clear" w:color="auto" w:fill="auto"/>
            <w:noWrap/>
            <w:vAlign w:val="bottom"/>
          </w:tcPr>
          <w:p w14:paraId="0A7D2CD5"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5.6</w:t>
            </w:r>
          </w:p>
        </w:tc>
        <w:tc>
          <w:tcPr>
            <w:tcW w:w="695" w:type="dxa"/>
            <w:tcBorders>
              <w:top w:val="nil"/>
              <w:left w:val="nil"/>
              <w:bottom w:val="nil"/>
              <w:right w:val="single" w:sz="4" w:space="0" w:color="auto"/>
            </w:tcBorders>
            <w:shd w:val="clear" w:color="auto" w:fill="auto"/>
            <w:vAlign w:val="bottom"/>
          </w:tcPr>
          <w:p w14:paraId="7F2D95FB"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$612</w:t>
            </w:r>
          </w:p>
        </w:tc>
        <w:tc>
          <w:tcPr>
            <w:tcW w:w="709" w:type="dxa"/>
            <w:tcBorders>
              <w:top w:val="nil"/>
              <w:left w:val="single" w:sz="4" w:space="0" w:color="auto"/>
              <w:bottom w:val="nil"/>
              <w:right w:val="single" w:sz="4" w:space="0" w:color="auto"/>
            </w:tcBorders>
            <w:shd w:val="clear" w:color="auto" w:fill="auto"/>
            <w:vAlign w:val="bottom"/>
          </w:tcPr>
          <w:p w14:paraId="12DFBDA4"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5.1</w:t>
            </w:r>
          </w:p>
        </w:tc>
      </w:tr>
      <w:tr w:rsidR="00A37634" w:rsidRPr="00A37634" w14:paraId="4C509BE9" w14:textId="77777777" w:rsidTr="007C7289">
        <w:trPr>
          <w:trHeight w:val="255"/>
          <w:jc w:val="center"/>
        </w:trPr>
        <w:tc>
          <w:tcPr>
            <w:tcW w:w="992" w:type="dxa"/>
            <w:tcBorders>
              <w:top w:val="nil"/>
              <w:left w:val="single" w:sz="4" w:space="0" w:color="auto"/>
              <w:bottom w:val="nil"/>
              <w:right w:val="nil"/>
            </w:tcBorders>
            <w:noWrap/>
            <w:vAlign w:val="bottom"/>
          </w:tcPr>
          <w:p w14:paraId="032FDC93"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proofErr w:type="spellStart"/>
            <w:r w:rsidRPr="00A37634">
              <w:rPr>
                <w:rFonts w:ascii="Calibri" w:eastAsia="Times New Roman" w:hAnsi="Calibri" w:cs="Calibri"/>
                <w:sz w:val="18"/>
                <w:szCs w:val="18"/>
                <w:lang w:val="en-AU"/>
              </w:rPr>
              <w:t>Tas</w:t>
            </w:r>
            <w:proofErr w:type="spellEnd"/>
          </w:p>
        </w:tc>
        <w:tc>
          <w:tcPr>
            <w:tcW w:w="1134" w:type="dxa"/>
            <w:tcBorders>
              <w:top w:val="nil"/>
              <w:left w:val="nil"/>
              <w:bottom w:val="nil"/>
              <w:right w:val="nil"/>
            </w:tcBorders>
            <w:shd w:val="clear" w:color="auto" w:fill="auto"/>
            <w:noWrap/>
            <w:vAlign w:val="bottom"/>
          </w:tcPr>
          <w:p w14:paraId="5E2D9365"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106</w:t>
            </w:r>
          </w:p>
        </w:tc>
        <w:tc>
          <w:tcPr>
            <w:tcW w:w="1063" w:type="dxa"/>
            <w:tcBorders>
              <w:top w:val="nil"/>
              <w:left w:val="nil"/>
              <w:bottom w:val="nil"/>
              <w:right w:val="nil"/>
            </w:tcBorders>
            <w:shd w:val="clear" w:color="auto" w:fill="auto"/>
            <w:noWrap/>
            <w:vAlign w:val="bottom"/>
          </w:tcPr>
          <w:p w14:paraId="157C790A"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$31</w:t>
            </w:r>
          </w:p>
        </w:tc>
        <w:tc>
          <w:tcPr>
            <w:tcW w:w="1064" w:type="dxa"/>
            <w:tcBorders>
              <w:top w:val="nil"/>
              <w:left w:val="nil"/>
              <w:bottom w:val="nil"/>
              <w:right w:val="nil"/>
            </w:tcBorders>
            <w:shd w:val="clear" w:color="auto" w:fill="auto"/>
            <w:noWrap/>
            <w:vAlign w:val="bottom"/>
          </w:tcPr>
          <w:p w14:paraId="633C3BF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$104</w:t>
            </w:r>
          </w:p>
        </w:tc>
        <w:tc>
          <w:tcPr>
            <w:tcW w:w="1064" w:type="dxa"/>
            <w:tcBorders>
              <w:top w:val="nil"/>
              <w:left w:val="nil"/>
              <w:bottom w:val="nil"/>
              <w:right w:val="single" w:sz="4" w:space="0" w:color="auto"/>
            </w:tcBorders>
            <w:shd w:val="clear" w:color="auto" w:fill="auto"/>
            <w:noWrap/>
            <w:vAlign w:val="bottom"/>
          </w:tcPr>
          <w:p w14:paraId="18D54993"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$73</w:t>
            </w:r>
          </w:p>
        </w:tc>
        <w:tc>
          <w:tcPr>
            <w:tcW w:w="934" w:type="dxa"/>
            <w:tcBorders>
              <w:top w:val="nil"/>
              <w:left w:val="single" w:sz="4" w:space="0" w:color="auto"/>
              <w:bottom w:val="nil"/>
              <w:right w:val="single" w:sz="4" w:space="0" w:color="auto"/>
            </w:tcBorders>
            <w:shd w:val="clear" w:color="auto" w:fill="auto"/>
            <w:vAlign w:val="bottom"/>
          </w:tcPr>
          <w:p w14:paraId="497453E2"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1.7%</w:t>
            </w:r>
          </w:p>
        </w:tc>
        <w:tc>
          <w:tcPr>
            <w:tcW w:w="567" w:type="dxa"/>
            <w:tcBorders>
              <w:top w:val="nil"/>
              <w:left w:val="single" w:sz="4" w:space="0" w:color="auto"/>
              <w:bottom w:val="nil"/>
              <w:right w:val="single" w:sz="4" w:space="0" w:color="auto"/>
            </w:tcBorders>
            <w:shd w:val="clear" w:color="auto" w:fill="auto"/>
            <w:noWrap/>
            <w:vAlign w:val="bottom"/>
          </w:tcPr>
          <w:p w14:paraId="0EC2E9E2"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3.4</w:t>
            </w:r>
          </w:p>
        </w:tc>
        <w:tc>
          <w:tcPr>
            <w:tcW w:w="695" w:type="dxa"/>
            <w:tcBorders>
              <w:top w:val="nil"/>
              <w:left w:val="nil"/>
              <w:bottom w:val="nil"/>
              <w:right w:val="single" w:sz="4" w:space="0" w:color="auto"/>
            </w:tcBorders>
            <w:shd w:val="clear" w:color="auto" w:fill="auto"/>
            <w:vAlign w:val="bottom"/>
          </w:tcPr>
          <w:p w14:paraId="6693425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$58</w:t>
            </w:r>
          </w:p>
        </w:tc>
        <w:tc>
          <w:tcPr>
            <w:tcW w:w="709" w:type="dxa"/>
            <w:tcBorders>
              <w:top w:val="nil"/>
              <w:left w:val="single" w:sz="4" w:space="0" w:color="auto"/>
              <w:bottom w:val="nil"/>
              <w:right w:val="single" w:sz="4" w:space="0" w:color="auto"/>
            </w:tcBorders>
            <w:shd w:val="clear" w:color="auto" w:fill="auto"/>
            <w:vAlign w:val="bottom"/>
          </w:tcPr>
          <w:p w14:paraId="3A64E922"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2.9</w:t>
            </w:r>
          </w:p>
        </w:tc>
      </w:tr>
      <w:tr w:rsidR="00A37634" w:rsidRPr="00A37634" w14:paraId="6A5ED262" w14:textId="77777777" w:rsidTr="007C7289">
        <w:trPr>
          <w:trHeight w:val="255"/>
          <w:jc w:val="center"/>
        </w:trPr>
        <w:tc>
          <w:tcPr>
            <w:tcW w:w="992" w:type="dxa"/>
            <w:tcBorders>
              <w:top w:val="nil"/>
              <w:left w:val="single" w:sz="4" w:space="0" w:color="auto"/>
              <w:bottom w:val="nil"/>
              <w:right w:val="nil"/>
            </w:tcBorders>
            <w:noWrap/>
            <w:vAlign w:val="bottom"/>
          </w:tcPr>
          <w:p w14:paraId="4B7A1C53"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NT</w:t>
            </w:r>
          </w:p>
        </w:tc>
        <w:tc>
          <w:tcPr>
            <w:tcW w:w="1134" w:type="dxa"/>
            <w:tcBorders>
              <w:top w:val="nil"/>
              <w:left w:val="nil"/>
              <w:bottom w:val="nil"/>
              <w:right w:val="nil"/>
            </w:tcBorders>
            <w:shd w:val="clear" w:color="auto" w:fill="auto"/>
            <w:noWrap/>
            <w:vAlign w:val="bottom"/>
          </w:tcPr>
          <w:p w14:paraId="269D7E7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65</w:t>
            </w:r>
          </w:p>
        </w:tc>
        <w:tc>
          <w:tcPr>
            <w:tcW w:w="1063" w:type="dxa"/>
            <w:tcBorders>
              <w:top w:val="nil"/>
              <w:left w:val="nil"/>
              <w:bottom w:val="nil"/>
              <w:right w:val="nil"/>
            </w:tcBorders>
            <w:shd w:val="clear" w:color="auto" w:fill="auto"/>
            <w:noWrap/>
            <w:vAlign w:val="bottom"/>
          </w:tcPr>
          <w:p w14:paraId="0309345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$20</w:t>
            </w:r>
          </w:p>
        </w:tc>
        <w:tc>
          <w:tcPr>
            <w:tcW w:w="1064" w:type="dxa"/>
            <w:tcBorders>
              <w:top w:val="nil"/>
              <w:left w:val="nil"/>
              <w:bottom w:val="nil"/>
              <w:right w:val="nil"/>
            </w:tcBorders>
            <w:shd w:val="clear" w:color="auto" w:fill="auto"/>
            <w:noWrap/>
            <w:vAlign w:val="bottom"/>
          </w:tcPr>
          <w:p w14:paraId="132974F4"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$12</w:t>
            </w:r>
          </w:p>
        </w:tc>
        <w:tc>
          <w:tcPr>
            <w:tcW w:w="1064" w:type="dxa"/>
            <w:tcBorders>
              <w:top w:val="nil"/>
              <w:left w:val="nil"/>
              <w:bottom w:val="nil"/>
              <w:right w:val="single" w:sz="4" w:space="0" w:color="auto"/>
            </w:tcBorders>
            <w:shd w:val="clear" w:color="auto" w:fill="auto"/>
            <w:noWrap/>
            <w:vAlign w:val="bottom"/>
          </w:tcPr>
          <w:p w14:paraId="3878607A"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FF0000"/>
                <w:sz w:val="18"/>
                <w:szCs w:val="18"/>
                <w:lang w:val="en-AU"/>
              </w:rPr>
              <w:t>-$8</w:t>
            </w:r>
          </w:p>
        </w:tc>
        <w:tc>
          <w:tcPr>
            <w:tcW w:w="934" w:type="dxa"/>
            <w:tcBorders>
              <w:top w:val="nil"/>
              <w:left w:val="single" w:sz="4" w:space="0" w:color="auto"/>
              <w:bottom w:val="nil"/>
              <w:right w:val="single" w:sz="4" w:space="0" w:color="auto"/>
            </w:tcBorders>
            <w:shd w:val="clear" w:color="auto" w:fill="auto"/>
            <w:vAlign w:val="bottom"/>
          </w:tcPr>
          <w:p w14:paraId="7D19FCC3"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-0.2%</w:t>
            </w:r>
          </w:p>
        </w:tc>
        <w:tc>
          <w:tcPr>
            <w:tcW w:w="567" w:type="dxa"/>
            <w:tcBorders>
              <w:top w:val="nil"/>
              <w:left w:val="single" w:sz="4" w:space="0" w:color="auto"/>
              <w:bottom w:val="nil"/>
              <w:right w:val="single" w:sz="4" w:space="0" w:color="auto"/>
            </w:tcBorders>
            <w:shd w:val="clear" w:color="auto" w:fill="auto"/>
            <w:noWrap/>
            <w:vAlign w:val="bottom"/>
          </w:tcPr>
          <w:p w14:paraId="6902B9E0"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0.6</w:t>
            </w:r>
          </w:p>
        </w:tc>
        <w:tc>
          <w:tcPr>
            <w:tcW w:w="695" w:type="dxa"/>
            <w:tcBorders>
              <w:top w:val="nil"/>
              <w:left w:val="nil"/>
              <w:bottom w:val="nil"/>
              <w:right w:val="single" w:sz="4" w:space="0" w:color="auto"/>
            </w:tcBorders>
            <w:shd w:val="clear" w:color="auto" w:fill="auto"/>
            <w:vAlign w:val="bottom"/>
          </w:tcPr>
          <w:p w14:paraId="28A1BC1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FF0000"/>
                <w:sz w:val="18"/>
                <w:szCs w:val="18"/>
                <w:lang w:val="en-AU"/>
              </w:rPr>
              <w:t>-$15</w:t>
            </w:r>
          </w:p>
        </w:tc>
        <w:tc>
          <w:tcPr>
            <w:tcW w:w="709" w:type="dxa"/>
            <w:tcBorders>
              <w:top w:val="nil"/>
              <w:left w:val="single" w:sz="4" w:space="0" w:color="auto"/>
              <w:bottom w:val="nil"/>
              <w:right w:val="single" w:sz="4" w:space="0" w:color="auto"/>
            </w:tcBorders>
            <w:shd w:val="clear" w:color="auto" w:fill="auto"/>
            <w:vAlign w:val="bottom"/>
          </w:tcPr>
          <w:p w14:paraId="5FB97F8B"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0.3</w:t>
            </w:r>
          </w:p>
        </w:tc>
      </w:tr>
      <w:tr w:rsidR="00A37634" w:rsidRPr="00A37634" w14:paraId="681AA732" w14:textId="77777777" w:rsidTr="007C7289">
        <w:trPr>
          <w:trHeight w:val="255"/>
          <w:jc w:val="center"/>
        </w:trPr>
        <w:tc>
          <w:tcPr>
            <w:tcW w:w="992" w:type="dxa"/>
            <w:tcBorders>
              <w:top w:val="nil"/>
              <w:left w:val="single" w:sz="4" w:space="0" w:color="auto"/>
              <w:bottom w:val="single" w:sz="4" w:space="0" w:color="auto"/>
              <w:right w:val="nil"/>
            </w:tcBorders>
            <w:noWrap/>
            <w:vAlign w:val="bottom"/>
          </w:tcPr>
          <w:p w14:paraId="52B9E01A"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ACT</w:t>
            </w:r>
          </w:p>
        </w:tc>
        <w:tc>
          <w:tcPr>
            <w:tcW w:w="1134" w:type="dxa"/>
            <w:tcBorders>
              <w:top w:val="nil"/>
              <w:left w:val="nil"/>
              <w:bottom w:val="nil"/>
              <w:right w:val="nil"/>
            </w:tcBorders>
            <w:shd w:val="clear" w:color="auto" w:fill="auto"/>
            <w:noWrap/>
            <w:vAlign w:val="bottom"/>
          </w:tcPr>
          <w:p w14:paraId="3FD731DE"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80</w:t>
            </w:r>
          </w:p>
        </w:tc>
        <w:tc>
          <w:tcPr>
            <w:tcW w:w="1063" w:type="dxa"/>
            <w:tcBorders>
              <w:top w:val="nil"/>
              <w:left w:val="nil"/>
              <w:bottom w:val="single" w:sz="4" w:space="0" w:color="auto"/>
              <w:right w:val="nil"/>
            </w:tcBorders>
            <w:shd w:val="clear" w:color="auto" w:fill="auto"/>
            <w:noWrap/>
            <w:vAlign w:val="bottom"/>
          </w:tcPr>
          <w:p w14:paraId="3DA0E51E"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$23</w:t>
            </w:r>
          </w:p>
        </w:tc>
        <w:tc>
          <w:tcPr>
            <w:tcW w:w="1064" w:type="dxa"/>
            <w:tcBorders>
              <w:top w:val="nil"/>
              <w:left w:val="nil"/>
              <w:bottom w:val="single" w:sz="4" w:space="0" w:color="auto"/>
              <w:right w:val="nil"/>
            </w:tcBorders>
            <w:shd w:val="clear" w:color="auto" w:fill="auto"/>
            <w:noWrap/>
            <w:vAlign w:val="bottom"/>
          </w:tcPr>
          <w:p w14:paraId="60829713"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$31</w:t>
            </w:r>
          </w:p>
        </w:tc>
        <w:tc>
          <w:tcPr>
            <w:tcW w:w="1064" w:type="dxa"/>
            <w:tcBorders>
              <w:top w:val="nil"/>
              <w:left w:val="nil"/>
              <w:bottom w:val="single" w:sz="4" w:space="0" w:color="auto"/>
              <w:right w:val="single" w:sz="4" w:space="0" w:color="auto"/>
            </w:tcBorders>
            <w:shd w:val="clear" w:color="auto" w:fill="auto"/>
            <w:noWrap/>
            <w:vAlign w:val="bottom"/>
          </w:tcPr>
          <w:p w14:paraId="0CEA9251"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$8</w:t>
            </w:r>
          </w:p>
        </w:tc>
        <w:tc>
          <w:tcPr>
            <w:tcW w:w="934" w:type="dxa"/>
            <w:tcBorders>
              <w:top w:val="nil"/>
              <w:left w:val="single" w:sz="4" w:space="0" w:color="auto"/>
              <w:bottom w:val="single" w:sz="4" w:space="0" w:color="auto"/>
              <w:right w:val="single" w:sz="4" w:space="0" w:color="auto"/>
            </w:tcBorders>
            <w:shd w:val="clear" w:color="auto" w:fill="auto"/>
            <w:vAlign w:val="bottom"/>
          </w:tcPr>
          <w:p w14:paraId="1DFBDBCF"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622C5862"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1.3</w:t>
            </w:r>
          </w:p>
        </w:tc>
        <w:tc>
          <w:tcPr>
            <w:tcW w:w="695" w:type="dxa"/>
            <w:tcBorders>
              <w:top w:val="nil"/>
              <w:left w:val="nil"/>
              <w:bottom w:val="nil"/>
              <w:right w:val="single" w:sz="4" w:space="0" w:color="auto"/>
            </w:tcBorders>
            <w:shd w:val="clear" w:color="auto" w:fill="auto"/>
            <w:vAlign w:val="bottom"/>
          </w:tcPr>
          <w:p w14:paraId="5A478CAE"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FF0000"/>
                <w:sz w:val="18"/>
                <w:szCs w:val="18"/>
                <w:lang w:val="en-AU"/>
              </w:rPr>
              <w:t>-$2</w:t>
            </w:r>
          </w:p>
        </w:tc>
        <w:tc>
          <w:tcPr>
            <w:tcW w:w="709" w:type="dxa"/>
            <w:tcBorders>
              <w:top w:val="nil"/>
              <w:left w:val="single" w:sz="4" w:space="0" w:color="auto"/>
              <w:bottom w:val="nil"/>
              <w:right w:val="single" w:sz="4" w:space="0" w:color="auto"/>
            </w:tcBorders>
            <w:shd w:val="clear" w:color="auto" w:fill="auto"/>
            <w:vAlign w:val="bottom"/>
          </w:tcPr>
          <w:p w14:paraId="05ECCA54"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0.9</w:t>
            </w:r>
          </w:p>
        </w:tc>
      </w:tr>
      <w:tr w:rsidR="00A37634" w:rsidRPr="00A37634" w14:paraId="2E9E3225" w14:textId="77777777" w:rsidTr="007C7289">
        <w:trPr>
          <w:trHeight w:val="255"/>
          <w:jc w:val="center"/>
        </w:trPr>
        <w:tc>
          <w:tcPr>
            <w:tcW w:w="992" w:type="dxa"/>
            <w:tcBorders>
              <w:top w:val="single" w:sz="4" w:space="0" w:color="auto"/>
              <w:left w:val="single" w:sz="4" w:space="0" w:color="auto"/>
              <w:bottom w:val="single" w:sz="4" w:space="0" w:color="auto"/>
              <w:right w:val="nil"/>
            </w:tcBorders>
            <w:noWrap/>
            <w:vAlign w:val="bottom"/>
          </w:tcPr>
          <w:p w14:paraId="618D0938"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Australia</w:t>
            </w:r>
          </w:p>
        </w:tc>
        <w:tc>
          <w:tcPr>
            <w:tcW w:w="1134" w:type="dxa"/>
            <w:tcBorders>
              <w:top w:val="single" w:sz="4" w:space="0" w:color="auto"/>
              <w:left w:val="nil"/>
              <w:bottom w:val="single" w:sz="4" w:space="0" w:color="auto"/>
              <w:right w:val="nil"/>
            </w:tcBorders>
            <w:shd w:val="clear" w:color="auto" w:fill="auto"/>
            <w:noWrap/>
            <w:vAlign w:val="bottom"/>
          </w:tcPr>
          <w:p w14:paraId="7AA7A44C"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5190</w:t>
            </w:r>
          </w:p>
        </w:tc>
        <w:tc>
          <w:tcPr>
            <w:tcW w:w="1063" w:type="dxa"/>
            <w:tcBorders>
              <w:top w:val="single" w:sz="4" w:space="0" w:color="auto"/>
              <w:left w:val="nil"/>
              <w:bottom w:val="single" w:sz="4" w:space="0" w:color="auto"/>
              <w:right w:val="nil"/>
            </w:tcBorders>
            <w:shd w:val="clear" w:color="auto" w:fill="auto"/>
            <w:noWrap/>
            <w:vAlign w:val="bottom"/>
          </w:tcPr>
          <w:p w14:paraId="0C56FA96"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$1,213</w:t>
            </w:r>
          </w:p>
        </w:tc>
        <w:tc>
          <w:tcPr>
            <w:tcW w:w="1064" w:type="dxa"/>
            <w:tcBorders>
              <w:top w:val="single" w:sz="4" w:space="0" w:color="auto"/>
              <w:left w:val="nil"/>
              <w:bottom w:val="single" w:sz="4" w:space="0" w:color="auto"/>
              <w:right w:val="nil"/>
            </w:tcBorders>
            <w:shd w:val="clear" w:color="auto" w:fill="auto"/>
            <w:noWrap/>
            <w:vAlign w:val="bottom"/>
          </w:tcPr>
          <w:p w14:paraId="7FD81372"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$5,484</w:t>
            </w:r>
          </w:p>
        </w:tc>
        <w:tc>
          <w:tcPr>
            <w:tcW w:w="1064" w:type="dxa"/>
            <w:tcBorders>
              <w:top w:val="single" w:sz="4" w:space="0" w:color="auto"/>
              <w:left w:val="nil"/>
              <w:bottom w:val="single" w:sz="4" w:space="0" w:color="auto"/>
              <w:right w:val="single" w:sz="4" w:space="0" w:color="auto"/>
            </w:tcBorders>
            <w:shd w:val="clear" w:color="auto" w:fill="auto"/>
            <w:noWrap/>
            <w:vAlign w:val="bottom"/>
          </w:tcPr>
          <w:p w14:paraId="1F6EFD25"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$4,271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14:paraId="7FF22A5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E2FE9"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4.5</w:t>
            </w:r>
          </w:p>
        </w:tc>
        <w:tc>
          <w:tcPr>
            <w:tcW w:w="695" w:type="dxa"/>
            <w:tcBorders>
              <w:top w:val="single" w:sz="4" w:space="0" w:color="auto"/>
              <w:left w:val="nil"/>
              <w:bottom w:val="single" w:sz="4" w:space="0" w:color="auto"/>
              <w:right w:val="single" w:sz="4" w:space="0" w:color="auto"/>
            </w:tcBorders>
            <w:shd w:val="clear" w:color="auto" w:fill="auto"/>
            <w:vAlign w:val="bottom"/>
          </w:tcPr>
          <w:p w14:paraId="3A90A00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$3,644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958616B"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4.0</w:t>
            </w:r>
          </w:p>
        </w:tc>
      </w:tr>
      <w:tr w:rsidR="00A37634" w:rsidRPr="00A37634" w14:paraId="1E925017" w14:textId="77777777" w:rsidTr="007C7289">
        <w:trPr>
          <w:trHeight w:val="255"/>
          <w:jc w:val="center"/>
        </w:trPr>
        <w:tc>
          <w:tcPr>
            <w:tcW w:w="992" w:type="dxa"/>
            <w:tcBorders>
              <w:top w:val="single" w:sz="4" w:space="0" w:color="auto"/>
              <w:left w:val="single" w:sz="4" w:space="0" w:color="auto"/>
              <w:bottom w:val="single" w:sz="4" w:space="0" w:color="auto"/>
              <w:right w:val="nil"/>
            </w:tcBorders>
            <w:noWrap/>
            <w:vAlign w:val="bottom"/>
          </w:tcPr>
          <w:p w14:paraId="05F67AFB" w14:textId="77777777" w:rsidR="00A37634" w:rsidRPr="00A37634" w:rsidRDefault="00A37634" w:rsidP="00A37634">
            <w:pPr>
              <w:tabs>
                <w:tab w:val="left" w:pos="3293"/>
              </w:tabs>
              <w:spacing w:before="60" w:after="60" w:line="240" w:lineRule="auto"/>
              <w:ind w:left="35"/>
              <w:rPr>
                <w:rFonts w:ascii="Calibri" w:eastAsia="Arial Unicode MS" w:hAnsi="Calibri" w:cs="Calibri"/>
                <w:sz w:val="18"/>
                <w:szCs w:val="18"/>
                <w:lang w:val="en-AU"/>
              </w:rPr>
            </w:pPr>
            <w:r w:rsidRPr="00A37634">
              <w:rPr>
                <w:rFonts w:ascii="Calibri" w:eastAsia="Times New Roman" w:hAnsi="Calibri" w:cs="Calibri"/>
                <w:sz w:val="18"/>
                <w:szCs w:val="18"/>
                <w:lang w:val="en-AU"/>
              </w:rPr>
              <w:t>New Zealand</w:t>
            </w:r>
          </w:p>
        </w:tc>
        <w:tc>
          <w:tcPr>
            <w:tcW w:w="1134" w:type="dxa"/>
            <w:tcBorders>
              <w:top w:val="nil"/>
              <w:left w:val="nil"/>
              <w:bottom w:val="single" w:sz="4" w:space="0" w:color="auto"/>
              <w:right w:val="nil"/>
            </w:tcBorders>
            <w:shd w:val="clear" w:color="auto" w:fill="auto"/>
            <w:noWrap/>
            <w:vAlign w:val="bottom"/>
          </w:tcPr>
          <w:p w14:paraId="5BD891E0"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Arial Unicode MS" w:hAnsi="Calibri" w:cs="Calibri"/>
                <w:sz w:val="18"/>
                <w:szCs w:val="18"/>
                <w:lang w:val="en-AU"/>
              </w:rPr>
              <w:t>534</w:t>
            </w:r>
          </w:p>
        </w:tc>
        <w:tc>
          <w:tcPr>
            <w:tcW w:w="1063" w:type="dxa"/>
            <w:tcBorders>
              <w:top w:val="single" w:sz="4" w:space="0" w:color="auto"/>
              <w:left w:val="nil"/>
              <w:bottom w:val="single" w:sz="4" w:space="0" w:color="auto"/>
              <w:right w:val="nil"/>
            </w:tcBorders>
            <w:shd w:val="clear" w:color="auto" w:fill="auto"/>
            <w:noWrap/>
            <w:vAlign w:val="bottom"/>
          </w:tcPr>
          <w:p w14:paraId="1E611C0A"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$168</w:t>
            </w:r>
          </w:p>
        </w:tc>
        <w:tc>
          <w:tcPr>
            <w:tcW w:w="1064" w:type="dxa"/>
            <w:tcBorders>
              <w:top w:val="single" w:sz="4" w:space="0" w:color="auto"/>
              <w:left w:val="nil"/>
              <w:bottom w:val="single" w:sz="4" w:space="0" w:color="auto"/>
              <w:right w:val="nil"/>
            </w:tcBorders>
            <w:shd w:val="clear" w:color="auto" w:fill="auto"/>
            <w:noWrap/>
            <w:vAlign w:val="bottom"/>
          </w:tcPr>
          <w:p w14:paraId="0E7D610F"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$495</w:t>
            </w:r>
          </w:p>
        </w:tc>
        <w:tc>
          <w:tcPr>
            <w:tcW w:w="1064" w:type="dxa"/>
            <w:tcBorders>
              <w:top w:val="single" w:sz="4" w:space="0" w:color="auto"/>
              <w:left w:val="nil"/>
              <w:bottom w:val="single" w:sz="4" w:space="0" w:color="auto"/>
              <w:right w:val="single" w:sz="4" w:space="0" w:color="auto"/>
            </w:tcBorders>
            <w:shd w:val="clear" w:color="auto" w:fill="auto"/>
            <w:noWrap/>
            <w:vAlign w:val="bottom"/>
          </w:tcPr>
          <w:p w14:paraId="7B01437A"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$327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14:paraId="7A86A703" w14:textId="77777777" w:rsidR="00A37634" w:rsidRPr="00A37634" w:rsidRDefault="00A37634" w:rsidP="00A37634">
            <w:pPr>
              <w:tabs>
                <w:tab w:val="left" w:pos="3293"/>
              </w:tabs>
              <w:spacing w:before="60" w:after="60" w:line="240" w:lineRule="auto"/>
              <w:ind w:left="35"/>
              <w:jc w:val="right"/>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21C7F" w14:textId="77777777" w:rsidR="00A37634" w:rsidRPr="00A37634" w:rsidRDefault="00A37634" w:rsidP="00A37634">
            <w:pPr>
              <w:tabs>
                <w:tab w:val="left" w:pos="3293"/>
              </w:tabs>
              <w:spacing w:before="60" w:after="60" w:line="240" w:lineRule="auto"/>
              <w:ind w:left="35"/>
              <w:jc w:val="center"/>
              <w:rPr>
                <w:rFonts w:ascii="Calibri" w:eastAsia="Arial Unicode MS" w:hAnsi="Calibri" w:cs="Calibri"/>
                <w:sz w:val="18"/>
                <w:szCs w:val="18"/>
                <w:lang w:val="en-AU"/>
              </w:rPr>
            </w:pPr>
            <w:r w:rsidRPr="00A37634">
              <w:rPr>
                <w:rFonts w:ascii="Calibri" w:eastAsia="Times New Roman" w:hAnsi="Calibri" w:cs="Calibri"/>
                <w:color w:val="000000"/>
                <w:sz w:val="18"/>
                <w:szCs w:val="18"/>
                <w:lang w:val="en-AU"/>
              </w:rPr>
              <w:t>2.9</w:t>
            </w:r>
          </w:p>
        </w:tc>
        <w:tc>
          <w:tcPr>
            <w:tcW w:w="695" w:type="dxa"/>
            <w:tcBorders>
              <w:top w:val="nil"/>
              <w:left w:val="nil"/>
              <w:bottom w:val="single" w:sz="4" w:space="0" w:color="auto"/>
              <w:right w:val="single" w:sz="4" w:space="0" w:color="auto"/>
            </w:tcBorders>
            <w:shd w:val="clear" w:color="auto" w:fill="auto"/>
            <w:vAlign w:val="bottom"/>
          </w:tcPr>
          <w:p w14:paraId="23CBF81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$327</w:t>
            </w:r>
          </w:p>
        </w:tc>
        <w:tc>
          <w:tcPr>
            <w:tcW w:w="709" w:type="dxa"/>
            <w:tcBorders>
              <w:top w:val="nil"/>
              <w:left w:val="single" w:sz="4" w:space="0" w:color="auto"/>
              <w:bottom w:val="single" w:sz="4" w:space="0" w:color="auto"/>
              <w:right w:val="single" w:sz="4" w:space="0" w:color="auto"/>
            </w:tcBorders>
            <w:shd w:val="clear" w:color="auto" w:fill="auto"/>
            <w:vAlign w:val="bottom"/>
          </w:tcPr>
          <w:p w14:paraId="62F9A74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color w:val="000000"/>
                <w:sz w:val="18"/>
                <w:szCs w:val="18"/>
                <w:lang w:val="en-AU"/>
              </w:rPr>
            </w:pPr>
            <w:r w:rsidRPr="00A37634">
              <w:rPr>
                <w:rFonts w:ascii="Calibri" w:eastAsia="Times New Roman" w:hAnsi="Calibri" w:cs="Calibri"/>
                <w:color w:val="000000"/>
                <w:sz w:val="18"/>
                <w:szCs w:val="18"/>
                <w:lang w:val="en-AU"/>
              </w:rPr>
              <w:t>2.9</w:t>
            </w:r>
          </w:p>
        </w:tc>
      </w:tr>
    </w:tbl>
    <w:p w14:paraId="6E175646" w14:textId="77777777" w:rsidR="00A37634" w:rsidRPr="00A37634" w:rsidRDefault="00A37634" w:rsidP="00A37634">
      <w:pPr>
        <w:spacing w:after="0" w:line="278" w:lineRule="auto"/>
        <w:jc w:val="center"/>
        <w:rPr>
          <w:rFonts w:ascii="Calibri" w:eastAsia="Cambria" w:hAnsi="Calibri" w:cs="Calibri"/>
          <w:sz w:val="16"/>
          <w:szCs w:val="24"/>
          <w:lang w:val="en-AU"/>
        </w:rPr>
      </w:pPr>
      <w:r w:rsidRPr="00A37634">
        <w:rPr>
          <w:rFonts w:ascii="Calibri" w:eastAsia="Cambria" w:hAnsi="Calibri" w:cs="Calibri"/>
          <w:sz w:val="16"/>
          <w:szCs w:val="24"/>
          <w:lang w:val="en-AU"/>
        </w:rPr>
        <w:t xml:space="preserve">(a) 50% of total </w:t>
      </w:r>
      <w:proofErr w:type="spellStart"/>
      <w:r w:rsidRPr="00A37634">
        <w:rPr>
          <w:rFonts w:ascii="Calibri" w:eastAsia="Cambria" w:hAnsi="Calibri" w:cs="Calibri"/>
          <w:sz w:val="16"/>
          <w:szCs w:val="24"/>
          <w:lang w:val="en-AU"/>
        </w:rPr>
        <w:t>MWe</w:t>
      </w:r>
      <w:proofErr w:type="spellEnd"/>
      <w:r w:rsidRPr="00A37634">
        <w:rPr>
          <w:rFonts w:ascii="Calibri" w:eastAsia="Cambria" w:hAnsi="Calibri" w:cs="Calibri"/>
          <w:sz w:val="16"/>
          <w:szCs w:val="24"/>
          <w:lang w:val="en-AU"/>
        </w:rPr>
        <w:t xml:space="preserve"> of participating DR-capable products. (</w:t>
      </w:r>
      <w:proofErr w:type="gramStart"/>
      <w:r w:rsidRPr="00A37634">
        <w:rPr>
          <w:rFonts w:ascii="Calibri" w:eastAsia="Cambria" w:hAnsi="Calibri" w:cs="Calibri"/>
          <w:sz w:val="16"/>
          <w:szCs w:val="24"/>
          <w:lang w:val="en-AU"/>
        </w:rPr>
        <w:t>b</w:t>
      </w:r>
      <w:proofErr w:type="gramEnd"/>
      <w:r w:rsidRPr="00A37634">
        <w:rPr>
          <w:rFonts w:ascii="Calibri" w:eastAsia="Cambria" w:hAnsi="Calibri" w:cs="Calibri"/>
          <w:sz w:val="16"/>
          <w:szCs w:val="24"/>
          <w:lang w:val="en-AU"/>
        </w:rPr>
        <w:t>) NPV at 7% discount rate for costs and benefits 2021-2035; 6% discount rate for NZ.</w:t>
      </w:r>
    </w:p>
    <w:p w14:paraId="7DED2D07" w14:textId="77777777" w:rsidR="003221FC" w:rsidRDefault="003221FC">
      <w:pPr>
        <w:rPr>
          <w:rFonts w:ascii="Calibri" w:eastAsia="Cambria" w:hAnsi="Calibri" w:cs="Calibri"/>
          <w:b/>
          <w:bCs/>
          <w:sz w:val="20"/>
          <w:szCs w:val="16"/>
          <w:lang w:val="en-AU"/>
        </w:rPr>
      </w:pPr>
      <w:bookmarkStart w:id="85" w:name="_Ref14778898"/>
      <w:bookmarkStart w:id="86" w:name="_Toc16500999"/>
      <w:bookmarkStart w:id="87" w:name="_Hlk14778817"/>
      <w:r>
        <w:rPr>
          <w:rFonts w:ascii="Calibri" w:eastAsia="Cambria" w:hAnsi="Calibri" w:cs="Calibri"/>
          <w:b/>
          <w:bCs/>
          <w:sz w:val="20"/>
          <w:szCs w:val="16"/>
          <w:lang w:val="en-AU"/>
        </w:rPr>
        <w:br w:type="page"/>
      </w:r>
    </w:p>
    <w:p w14:paraId="1055A60E" w14:textId="2E1BE8CF" w:rsidR="00A37634" w:rsidRPr="00A37634" w:rsidRDefault="00A37634" w:rsidP="00A37634">
      <w:pPr>
        <w:spacing w:before="240" w:after="120" w:line="240" w:lineRule="auto"/>
        <w:jc w:val="center"/>
        <w:rPr>
          <w:rFonts w:ascii="Calibri" w:eastAsia="Cambria" w:hAnsi="Calibri" w:cs="Calibri"/>
          <w:b/>
          <w:bCs/>
          <w:sz w:val="20"/>
          <w:szCs w:val="16"/>
          <w:lang w:val="en-AU"/>
        </w:rPr>
      </w:pPr>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8</w:t>
      </w:r>
      <w:r w:rsidRPr="00A37634">
        <w:rPr>
          <w:rFonts w:ascii="Calibri" w:eastAsia="Cambria" w:hAnsi="Calibri" w:cs="Calibri"/>
          <w:b/>
          <w:bCs/>
          <w:noProof/>
          <w:sz w:val="20"/>
          <w:szCs w:val="16"/>
          <w:lang w:val="en-AU"/>
        </w:rPr>
        <w:fldChar w:fldCharType="end"/>
      </w:r>
      <w:bookmarkEnd w:id="85"/>
      <w:r w:rsidRPr="00A37634">
        <w:rPr>
          <w:rFonts w:ascii="Calibri" w:eastAsia="Cambria" w:hAnsi="Calibri" w:cs="Calibri"/>
          <w:b/>
          <w:bCs/>
          <w:sz w:val="20"/>
          <w:szCs w:val="16"/>
          <w:lang w:val="en-AU"/>
        </w:rPr>
        <w:t>. Projected costs and benefits by appliance, Australia (low activation)</w:t>
      </w:r>
      <w:bookmarkEnd w:id="86"/>
    </w:p>
    <w:tbl>
      <w:tblPr>
        <w:tblW w:w="8651" w:type="dxa"/>
        <w:jc w:val="center"/>
        <w:tblLayout w:type="fixed"/>
        <w:tblCellMar>
          <w:left w:w="0" w:type="dxa"/>
          <w:right w:w="0" w:type="dxa"/>
        </w:tblCellMar>
        <w:tblLook w:val="0000" w:firstRow="0" w:lastRow="0" w:firstColumn="0" w:lastColumn="0" w:noHBand="0" w:noVBand="0"/>
      </w:tblPr>
      <w:tblGrid>
        <w:gridCol w:w="1271"/>
        <w:gridCol w:w="1104"/>
        <w:gridCol w:w="1089"/>
        <w:gridCol w:w="1089"/>
        <w:gridCol w:w="1089"/>
        <w:gridCol w:w="874"/>
        <w:gridCol w:w="709"/>
        <w:gridCol w:w="786"/>
        <w:gridCol w:w="640"/>
      </w:tblGrid>
      <w:tr w:rsidR="00A37634" w:rsidRPr="00A37634" w14:paraId="44526232" w14:textId="77777777" w:rsidTr="007C7289">
        <w:trPr>
          <w:cantSplit/>
          <w:trHeight w:val="533"/>
          <w:tblHeader/>
          <w:jc w:val="center"/>
        </w:trPr>
        <w:tc>
          <w:tcPr>
            <w:tcW w:w="1271" w:type="dxa"/>
            <w:vMerge w:val="restart"/>
            <w:tcBorders>
              <w:top w:val="single" w:sz="4" w:space="0" w:color="auto"/>
              <w:left w:val="single" w:sz="4" w:space="0" w:color="auto"/>
              <w:right w:val="single" w:sz="4" w:space="0" w:color="auto"/>
            </w:tcBorders>
            <w:noWrap/>
          </w:tcPr>
          <w:p w14:paraId="40D02CD8"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104" w:type="dxa"/>
            <w:vMerge w:val="restart"/>
            <w:tcBorders>
              <w:top w:val="single" w:sz="4" w:space="0" w:color="auto"/>
              <w:left w:val="single" w:sz="4" w:space="0" w:color="auto"/>
              <w:right w:val="nil"/>
            </w:tcBorders>
            <w:noWrap/>
          </w:tcPr>
          <w:p w14:paraId="0D55386F"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 xml:space="preserve">Routine DLC Reduction available SMD 2035, </w:t>
            </w:r>
            <w:proofErr w:type="spellStart"/>
            <w:r w:rsidRPr="00A37634">
              <w:rPr>
                <w:rFonts w:ascii="Calibri" w:eastAsia="Times New Roman" w:hAnsi="Calibri" w:cs="Calibri"/>
                <w:b/>
                <w:sz w:val="18"/>
                <w:szCs w:val="18"/>
                <w:lang w:val="en-AU"/>
              </w:rPr>
              <w:t>MWe</w:t>
            </w:r>
            <w:proofErr w:type="spellEnd"/>
            <w:r w:rsidRPr="00A37634">
              <w:rPr>
                <w:rFonts w:ascii="Calibri" w:eastAsia="Times New Roman" w:hAnsi="Calibri" w:cs="Calibri"/>
                <w:b/>
                <w:sz w:val="18"/>
                <w:szCs w:val="18"/>
                <w:lang w:val="en-AU"/>
              </w:rPr>
              <w:t xml:space="preserve"> (a)</w:t>
            </w:r>
          </w:p>
        </w:tc>
        <w:tc>
          <w:tcPr>
            <w:tcW w:w="1089" w:type="dxa"/>
            <w:vMerge w:val="restart"/>
            <w:tcBorders>
              <w:top w:val="single" w:sz="4" w:space="0" w:color="auto"/>
              <w:left w:val="nil"/>
              <w:right w:val="nil"/>
            </w:tcBorders>
            <w:noWrap/>
          </w:tcPr>
          <w:p w14:paraId="1962A543"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Costs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786AB1E2"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3037344C"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50DE1190"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7254A5DD"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tc>
        <w:tc>
          <w:tcPr>
            <w:tcW w:w="874" w:type="dxa"/>
            <w:vMerge w:val="restart"/>
            <w:tcBorders>
              <w:top w:val="single" w:sz="4" w:space="0" w:color="auto"/>
              <w:left w:val="single" w:sz="4" w:space="0" w:color="auto"/>
              <w:right w:val="single" w:sz="4" w:space="0" w:color="auto"/>
            </w:tcBorders>
          </w:tcPr>
          <w:p w14:paraId="346C0659"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 xml:space="preserve">% net </w:t>
            </w:r>
            <w:r w:rsidRPr="00A37634">
              <w:rPr>
                <w:rFonts w:ascii="Calibri" w:eastAsia="Times New Roman" w:hAnsi="Calibri" w:cs="Calibri"/>
                <w:b/>
                <w:sz w:val="18"/>
                <w:szCs w:val="18"/>
                <w:lang w:val="en-AU"/>
              </w:rPr>
              <w:br/>
              <w:t>national</w:t>
            </w:r>
            <w:r w:rsidRPr="00A37634">
              <w:rPr>
                <w:rFonts w:ascii="Calibri" w:eastAsia="Times New Roman" w:hAnsi="Calibri" w:cs="Calibri"/>
                <w:b/>
                <w:sz w:val="18"/>
                <w:szCs w:val="18"/>
                <w:lang w:val="en-AU"/>
              </w:rPr>
              <w:br/>
              <w:t>benefits</w:t>
            </w:r>
          </w:p>
        </w:tc>
        <w:tc>
          <w:tcPr>
            <w:tcW w:w="709" w:type="dxa"/>
            <w:vMerge w:val="restart"/>
            <w:tcBorders>
              <w:top w:val="single" w:sz="4" w:space="0" w:color="auto"/>
              <w:left w:val="single" w:sz="4" w:space="0" w:color="auto"/>
              <w:right w:val="single" w:sz="4" w:space="0" w:color="auto"/>
            </w:tcBorders>
            <w:noWrap/>
          </w:tcPr>
          <w:p w14:paraId="2F3C4FF0"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B/C ratio</w:t>
            </w:r>
          </w:p>
        </w:tc>
        <w:tc>
          <w:tcPr>
            <w:tcW w:w="1426" w:type="dxa"/>
            <w:gridSpan w:val="2"/>
            <w:tcBorders>
              <w:top w:val="single" w:sz="4" w:space="0" w:color="auto"/>
              <w:left w:val="single" w:sz="4" w:space="0" w:color="auto"/>
              <w:bottom w:val="single" w:sz="4" w:space="0" w:color="auto"/>
              <w:right w:val="single" w:sz="4" w:space="0" w:color="auto"/>
            </w:tcBorders>
          </w:tcPr>
          <w:p w14:paraId="37D3683B"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Without whole-sale price benefit</w:t>
            </w:r>
          </w:p>
        </w:tc>
      </w:tr>
      <w:tr w:rsidR="00A37634" w:rsidRPr="00A37634" w14:paraId="1AA1F344" w14:textId="77777777" w:rsidTr="007C7289">
        <w:trPr>
          <w:cantSplit/>
          <w:trHeight w:val="532"/>
          <w:tblHeader/>
          <w:jc w:val="center"/>
        </w:trPr>
        <w:tc>
          <w:tcPr>
            <w:tcW w:w="1271" w:type="dxa"/>
            <w:vMerge/>
            <w:tcBorders>
              <w:left w:val="single" w:sz="4" w:space="0" w:color="auto"/>
              <w:bottom w:val="single" w:sz="4" w:space="0" w:color="auto"/>
              <w:right w:val="single" w:sz="4" w:space="0" w:color="auto"/>
            </w:tcBorders>
            <w:noWrap/>
          </w:tcPr>
          <w:p w14:paraId="278DEBF0"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104" w:type="dxa"/>
            <w:vMerge/>
            <w:tcBorders>
              <w:left w:val="single" w:sz="4" w:space="0" w:color="auto"/>
              <w:bottom w:val="single" w:sz="4" w:space="0" w:color="auto"/>
              <w:right w:val="nil"/>
            </w:tcBorders>
            <w:noWrap/>
          </w:tcPr>
          <w:p w14:paraId="0AA10C84"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5F69CB84"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78B15D31"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475123A0"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874" w:type="dxa"/>
            <w:vMerge/>
            <w:tcBorders>
              <w:left w:val="single" w:sz="4" w:space="0" w:color="auto"/>
              <w:bottom w:val="single" w:sz="4" w:space="0" w:color="auto"/>
              <w:right w:val="single" w:sz="4" w:space="0" w:color="auto"/>
            </w:tcBorders>
          </w:tcPr>
          <w:p w14:paraId="0ED090A9"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709" w:type="dxa"/>
            <w:vMerge/>
            <w:tcBorders>
              <w:left w:val="single" w:sz="4" w:space="0" w:color="auto"/>
              <w:bottom w:val="single" w:sz="4" w:space="0" w:color="auto"/>
              <w:right w:val="single" w:sz="4" w:space="0" w:color="auto"/>
            </w:tcBorders>
            <w:noWrap/>
          </w:tcPr>
          <w:p w14:paraId="724A6D92"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786" w:type="dxa"/>
            <w:tcBorders>
              <w:top w:val="single" w:sz="4" w:space="0" w:color="auto"/>
              <w:left w:val="single" w:sz="4" w:space="0" w:color="auto"/>
              <w:bottom w:val="single" w:sz="4" w:space="0" w:color="auto"/>
              <w:right w:val="single" w:sz="4" w:space="0" w:color="auto"/>
            </w:tcBorders>
          </w:tcPr>
          <w:p w14:paraId="2C5A7380"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w:t>
            </w:r>
          </w:p>
        </w:tc>
        <w:tc>
          <w:tcPr>
            <w:tcW w:w="640" w:type="dxa"/>
            <w:tcBorders>
              <w:top w:val="single" w:sz="4" w:space="0" w:color="auto"/>
              <w:left w:val="single" w:sz="4" w:space="0" w:color="auto"/>
              <w:bottom w:val="single" w:sz="4" w:space="0" w:color="auto"/>
              <w:right w:val="single" w:sz="4" w:space="0" w:color="auto"/>
            </w:tcBorders>
          </w:tcPr>
          <w:p w14:paraId="250DB9E9"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B/C ratio</w:t>
            </w:r>
          </w:p>
        </w:tc>
      </w:tr>
      <w:tr w:rsidR="00A37634" w:rsidRPr="00A37634" w14:paraId="1F7E4E8F" w14:textId="77777777" w:rsidTr="007C7289">
        <w:trPr>
          <w:trHeight w:val="255"/>
          <w:jc w:val="center"/>
        </w:trPr>
        <w:tc>
          <w:tcPr>
            <w:tcW w:w="1271" w:type="dxa"/>
            <w:tcBorders>
              <w:top w:val="single" w:sz="4" w:space="0" w:color="auto"/>
              <w:left w:val="single" w:sz="4" w:space="0" w:color="auto"/>
              <w:bottom w:val="nil"/>
              <w:right w:val="single" w:sz="4" w:space="0" w:color="auto"/>
            </w:tcBorders>
            <w:noWrap/>
          </w:tcPr>
          <w:p w14:paraId="51FE4674"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 xml:space="preserve">Air </w:t>
            </w:r>
            <w:proofErr w:type="spellStart"/>
            <w:r w:rsidRPr="00A37634">
              <w:rPr>
                <w:rFonts w:ascii="Calibri" w:eastAsia="Times New Roman" w:hAnsi="Calibri" w:cs="Calibri"/>
                <w:sz w:val="18"/>
                <w:szCs w:val="18"/>
                <w:lang w:val="en-AU"/>
              </w:rPr>
              <w:t>Conds</w:t>
            </w:r>
            <w:proofErr w:type="spellEnd"/>
          </w:p>
        </w:tc>
        <w:tc>
          <w:tcPr>
            <w:tcW w:w="1104" w:type="dxa"/>
            <w:tcBorders>
              <w:top w:val="nil"/>
              <w:left w:val="single" w:sz="4" w:space="0" w:color="auto"/>
              <w:bottom w:val="nil"/>
              <w:right w:val="nil"/>
            </w:tcBorders>
            <w:shd w:val="clear" w:color="auto" w:fill="auto"/>
            <w:noWrap/>
          </w:tcPr>
          <w:p w14:paraId="22E1A64F"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1709</w:t>
            </w:r>
          </w:p>
        </w:tc>
        <w:tc>
          <w:tcPr>
            <w:tcW w:w="1089" w:type="dxa"/>
            <w:tcBorders>
              <w:top w:val="nil"/>
              <w:left w:val="nil"/>
              <w:bottom w:val="nil"/>
              <w:right w:val="nil"/>
            </w:tcBorders>
            <w:shd w:val="clear" w:color="auto" w:fill="auto"/>
            <w:noWrap/>
          </w:tcPr>
          <w:p w14:paraId="45B5FA31"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$277</w:t>
            </w:r>
          </w:p>
        </w:tc>
        <w:tc>
          <w:tcPr>
            <w:tcW w:w="1089" w:type="dxa"/>
            <w:tcBorders>
              <w:top w:val="nil"/>
              <w:left w:val="nil"/>
              <w:bottom w:val="nil"/>
              <w:right w:val="nil"/>
            </w:tcBorders>
            <w:shd w:val="clear" w:color="auto" w:fill="auto"/>
            <w:noWrap/>
          </w:tcPr>
          <w:p w14:paraId="714C0D4E"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$1,818</w:t>
            </w:r>
          </w:p>
        </w:tc>
        <w:tc>
          <w:tcPr>
            <w:tcW w:w="1089" w:type="dxa"/>
            <w:tcBorders>
              <w:top w:val="nil"/>
              <w:left w:val="nil"/>
              <w:bottom w:val="nil"/>
              <w:right w:val="single" w:sz="4" w:space="0" w:color="auto"/>
            </w:tcBorders>
            <w:shd w:val="clear" w:color="auto" w:fill="auto"/>
            <w:noWrap/>
          </w:tcPr>
          <w:p w14:paraId="0DA74B9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$1,541</w:t>
            </w:r>
          </w:p>
        </w:tc>
        <w:tc>
          <w:tcPr>
            <w:tcW w:w="874" w:type="dxa"/>
            <w:tcBorders>
              <w:top w:val="nil"/>
              <w:left w:val="single" w:sz="4" w:space="0" w:color="auto"/>
              <w:bottom w:val="nil"/>
              <w:right w:val="single" w:sz="4" w:space="0" w:color="auto"/>
            </w:tcBorders>
            <w:shd w:val="clear" w:color="auto" w:fill="auto"/>
          </w:tcPr>
          <w:p w14:paraId="660AD89C"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68.2%</w:t>
            </w:r>
          </w:p>
        </w:tc>
        <w:tc>
          <w:tcPr>
            <w:tcW w:w="709" w:type="dxa"/>
            <w:tcBorders>
              <w:top w:val="nil"/>
              <w:left w:val="single" w:sz="4" w:space="0" w:color="auto"/>
              <w:bottom w:val="nil"/>
              <w:right w:val="single" w:sz="4" w:space="0" w:color="auto"/>
            </w:tcBorders>
            <w:shd w:val="clear" w:color="auto" w:fill="auto"/>
            <w:noWrap/>
          </w:tcPr>
          <w:p w14:paraId="4924B7D5"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6.6</w:t>
            </w:r>
          </w:p>
        </w:tc>
        <w:tc>
          <w:tcPr>
            <w:tcW w:w="786" w:type="dxa"/>
            <w:tcBorders>
              <w:top w:val="nil"/>
              <w:left w:val="nil"/>
              <w:bottom w:val="nil"/>
              <w:right w:val="single" w:sz="4" w:space="0" w:color="auto"/>
            </w:tcBorders>
            <w:shd w:val="clear" w:color="auto" w:fill="auto"/>
            <w:vAlign w:val="bottom"/>
          </w:tcPr>
          <w:p w14:paraId="20AD3415"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$1,222</w:t>
            </w:r>
          </w:p>
        </w:tc>
        <w:tc>
          <w:tcPr>
            <w:tcW w:w="640" w:type="dxa"/>
            <w:tcBorders>
              <w:top w:val="nil"/>
              <w:left w:val="single" w:sz="4" w:space="0" w:color="auto"/>
              <w:bottom w:val="nil"/>
              <w:right w:val="single" w:sz="4" w:space="0" w:color="auto"/>
            </w:tcBorders>
            <w:shd w:val="clear" w:color="auto" w:fill="auto"/>
            <w:vAlign w:val="bottom"/>
          </w:tcPr>
          <w:p w14:paraId="2FB3CAF8"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5.4</w:t>
            </w:r>
          </w:p>
        </w:tc>
      </w:tr>
      <w:tr w:rsidR="00A37634" w:rsidRPr="00A37634" w14:paraId="5A907CF2" w14:textId="77777777" w:rsidTr="007C7289">
        <w:trPr>
          <w:trHeight w:val="255"/>
          <w:jc w:val="center"/>
        </w:trPr>
        <w:tc>
          <w:tcPr>
            <w:tcW w:w="1271" w:type="dxa"/>
            <w:tcBorders>
              <w:top w:val="nil"/>
              <w:left w:val="single" w:sz="4" w:space="0" w:color="auto"/>
              <w:bottom w:val="nil"/>
              <w:right w:val="single" w:sz="4" w:space="0" w:color="auto"/>
            </w:tcBorders>
            <w:noWrap/>
          </w:tcPr>
          <w:p w14:paraId="4B987BD8"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PP Controllers</w:t>
            </w:r>
          </w:p>
        </w:tc>
        <w:tc>
          <w:tcPr>
            <w:tcW w:w="1104" w:type="dxa"/>
            <w:tcBorders>
              <w:top w:val="nil"/>
              <w:left w:val="single" w:sz="4" w:space="0" w:color="auto"/>
              <w:bottom w:val="nil"/>
              <w:right w:val="nil"/>
            </w:tcBorders>
            <w:shd w:val="clear" w:color="auto" w:fill="auto"/>
            <w:noWrap/>
          </w:tcPr>
          <w:p w14:paraId="33D3FAA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136</w:t>
            </w:r>
          </w:p>
        </w:tc>
        <w:tc>
          <w:tcPr>
            <w:tcW w:w="1089" w:type="dxa"/>
            <w:tcBorders>
              <w:top w:val="nil"/>
              <w:left w:val="nil"/>
              <w:bottom w:val="nil"/>
              <w:right w:val="nil"/>
            </w:tcBorders>
            <w:shd w:val="clear" w:color="auto" w:fill="auto"/>
            <w:noWrap/>
          </w:tcPr>
          <w:p w14:paraId="66433201"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$80</w:t>
            </w:r>
          </w:p>
        </w:tc>
        <w:tc>
          <w:tcPr>
            <w:tcW w:w="1089" w:type="dxa"/>
            <w:tcBorders>
              <w:top w:val="nil"/>
              <w:left w:val="nil"/>
              <w:bottom w:val="nil"/>
              <w:right w:val="nil"/>
            </w:tcBorders>
            <w:shd w:val="clear" w:color="auto" w:fill="auto"/>
            <w:noWrap/>
          </w:tcPr>
          <w:p w14:paraId="3AE234B1"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$204</w:t>
            </w:r>
          </w:p>
        </w:tc>
        <w:tc>
          <w:tcPr>
            <w:tcW w:w="1089" w:type="dxa"/>
            <w:tcBorders>
              <w:top w:val="nil"/>
              <w:left w:val="nil"/>
              <w:bottom w:val="nil"/>
              <w:right w:val="single" w:sz="4" w:space="0" w:color="auto"/>
            </w:tcBorders>
            <w:shd w:val="clear" w:color="auto" w:fill="auto"/>
            <w:noWrap/>
          </w:tcPr>
          <w:p w14:paraId="130C4C76"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$124</w:t>
            </w:r>
          </w:p>
        </w:tc>
        <w:tc>
          <w:tcPr>
            <w:tcW w:w="874" w:type="dxa"/>
            <w:tcBorders>
              <w:top w:val="nil"/>
              <w:left w:val="single" w:sz="4" w:space="0" w:color="auto"/>
              <w:bottom w:val="nil"/>
              <w:right w:val="single" w:sz="4" w:space="0" w:color="auto"/>
            </w:tcBorders>
            <w:shd w:val="clear" w:color="auto" w:fill="auto"/>
          </w:tcPr>
          <w:p w14:paraId="59DDFC6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5.5%</w:t>
            </w:r>
          </w:p>
        </w:tc>
        <w:tc>
          <w:tcPr>
            <w:tcW w:w="709" w:type="dxa"/>
            <w:tcBorders>
              <w:top w:val="nil"/>
              <w:left w:val="single" w:sz="4" w:space="0" w:color="auto"/>
              <w:bottom w:val="nil"/>
              <w:right w:val="single" w:sz="4" w:space="0" w:color="auto"/>
            </w:tcBorders>
            <w:shd w:val="clear" w:color="auto" w:fill="auto"/>
            <w:noWrap/>
          </w:tcPr>
          <w:p w14:paraId="34288B0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2.5</w:t>
            </w:r>
          </w:p>
        </w:tc>
        <w:tc>
          <w:tcPr>
            <w:tcW w:w="786" w:type="dxa"/>
            <w:tcBorders>
              <w:top w:val="nil"/>
              <w:left w:val="nil"/>
              <w:bottom w:val="nil"/>
              <w:right w:val="single" w:sz="4" w:space="0" w:color="auto"/>
            </w:tcBorders>
            <w:shd w:val="clear" w:color="auto" w:fill="auto"/>
            <w:vAlign w:val="bottom"/>
          </w:tcPr>
          <w:p w14:paraId="126976D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$115</w:t>
            </w:r>
          </w:p>
        </w:tc>
        <w:tc>
          <w:tcPr>
            <w:tcW w:w="640" w:type="dxa"/>
            <w:tcBorders>
              <w:top w:val="nil"/>
              <w:left w:val="single" w:sz="4" w:space="0" w:color="auto"/>
              <w:bottom w:val="nil"/>
              <w:right w:val="single" w:sz="4" w:space="0" w:color="auto"/>
            </w:tcBorders>
            <w:shd w:val="clear" w:color="auto" w:fill="auto"/>
            <w:vAlign w:val="bottom"/>
          </w:tcPr>
          <w:p w14:paraId="72FFCE0B"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2.4</w:t>
            </w:r>
          </w:p>
        </w:tc>
      </w:tr>
      <w:tr w:rsidR="00A37634" w:rsidRPr="00A37634" w14:paraId="06EFEB4C" w14:textId="77777777" w:rsidTr="007C7289">
        <w:trPr>
          <w:trHeight w:val="255"/>
          <w:jc w:val="center"/>
        </w:trPr>
        <w:tc>
          <w:tcPr>
            <w:tcW w:w="1271" w:type="dxa"/>
            <w:tcBorders>
              <w:top w:val="nil"/>
              <w:left w:val="single" w:sz="4" w:space="0" w:color="auto"/>
              <w:bottom w:val="nil"/>
              <w:right w:val="single" w:sz="4" w:space="0" w:color="auto"/>
            </w:tcBorders>
            <w:noWrap/>
          </w:tcPr>
          <w:p w14:paraId="741640FA"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Water heaters</w:t>
            </w:r>
          </w:p>
        </w:tc>
        <w:tc>
          <w:tcPr>
            <w:tcW w:w="1104" w:type="dxa"/>
            <w:tcBorders>
              <w:top w:val="nil"/>
              <w:left w:val="single" w:sz="4" w:space="0" w:color="auto"/>
              <w:bottom w:val="nil"/>
              <w:right w:val="nil"/>
            </w:tcBorders>
            <w:shd w:val="clear" w:color="auto" w:fill="auto"/>
            <w:noWrap/>
          </w:tcPr>
          <w:p w14:paraId="14C7BAB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157</w:t>
            </w:r>
          </w:p>
        </w:tc>
        <w:tc>
          <w:tcPr>
            <w:tcW w:w="1089" w:type="dxa"/>
            <w:tcBorders>
              <w:top w:val="nil"/>
              <w:left w:val="nil"/>
              <w:bottom w:val="nil"/>
              <w:right w:val="nil"/>
            </w:tcBorders>
            <w:shd w:val="clear" w:color="auto" w:fill="auto"/>
            <w:noWrap/>
          </w:tcPr>
          <w:p w14:paraId="4D520C8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$311</w:t>
            </w:r>
          </w:p>
        </w:tc>
        <w:tc>
          <w:tcPr>
            <w:tcW w:w="1089" w:type="dxa"/>
            <w:tcBorders>
              <w:top w:val="nil"/>
              <w:left w:val="nil"/>
              <w:bottom w:val="nil"/>
              <w:right w:val="nil"/>
            </w:tcBorders>
            <w:shd w:val="clear" w:color="auto" w:fill="auto"/>
            <w:noWrap/>
          </w:tcPr>
          <w:p w14:paraId="5FB6F33A"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$432</w:t>
            </w:r>
          </w:p>
        </w:tc>
        <w:tc>
          <w:tcPr>
            <w:tcW w:w="1089" w:type="dxa"/>
            <w:tcBorders>
              <w:top w:val="nil"/>
              <w:left w:val="nil"/>
              <w:bottom w:val="nil"/>
              <w:right w:val="single" w:sz="4" w:space="0" w:color="auto"/>
            </w:tcBorders>
            <w:shd w:val="clear" w:color="auto" w:fill="auto"/>
            <w:noWrap/>
          </w:tcPr>
          <w:p w14:paraId="089DD8A8"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$121</w:t>
            </w:r>
          </w:p>
        </w:tc>
        <w:tc>
          <w:tcPr>
            <w:tcW w:w="874" w:type="dxa"/>
            <w:tcBorders>
              <w:top w:val="nil"/>
              <w:left w:val="single" w:sz="4" w:space="0" w:color="auto"/>
              <w:bottom w:val="nil"/>
              <w:right w:val="single" w:sz="4" w:space="0" w:color="auto"/>
            </w:tcBorders>
            <w:shd w:val="clear" w:color="auto" w:fill="auto"/>
          </w:tcPr>
          <w:p w14:paraId="2A8D5DAE"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5.3%</w:t>
            </w:r>
          </w:p>
        </w:tc>
        <w:tc>
          <w:tcPr>
            <w:tcW w:w="709" w:type="dxa"/>
            <w:tcBorders>
              <w:top w:val="nil"/>
              <w:left w:val="single" w:sz="4" w:space="0" w:color="auto"/>
              <w:bottom w:val="nil"/>
              <w:right w:val="single" w:sz="4" w:space="0" w:color="auto"/>
            </w:tcBorders>
            <w:shd w:val="clear" w:color="auto" w:fill="auto"/>
            <w:noWrap/>
          </w:tcPr>
          <w:p w14:paraId="0C4F9BF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1.4</w:t>
            </w:r>
          </w:p>
        </w:tc>
        <w:tc>
          <w:tcPr>
            <w:tcW w:w="786" w:type="dxa"/>
            <w:tcBorders>
              <w:top w:val="nil"/>
              <w:left w:val="nil"/>
              <w:bottom w:val="nil"/>
              <w:right w:val="single" w:sz="4" w:space="0" w:color="auto"/>
            </w:tcBorders>
            <w:shd w:val="clear" w:color="auto" w:fill="auto"/>
            <w:vAlign w:val="bottom"/>
          </w:tcPr>
          <w:p w14:paraId="651F8F66"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$112</w:t>
            </w:r>
          </w:p>
        </w:tc>
        <w:tc>
          <w:tcPr>
            <w:tcW w:w="640" w:type="dxa"/>
            <w:tcBorders>
              <w:top w:val="nil"/>
              <w:left w:val="single" w:sz="4" w:space="0" w:color="auto"/>
              <w:bottom w:val="nil"/>
              <w:right w:val="single" w:sz="4" w:space="0" w:color="auto"/>
            </w:tcBorders>
            <w:shd w:val="clear" w:color="auto" w:fill="auto"/>
            <w:vAlign w:val="bottom"/>
          </w:tcPr>
          <w:p w14:paraId="06CD2422"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1.4</w:t>
            </w:r>
          </w:p>
        </w:tc>
      </w:tr>
      <w:tr w:rsidR="00A37634" w:rsidRPr="00A37634" w14:paraId="1DAE1AAB" w14:textId="77777777" w:rsidTr="007C7289">
        <w:trPr>
          <w:trHeight w:val="255"/>
          <w:jc w:val="center"/>
        </w:trPr>
        <w:tc>
          <w:tcPr>
            <w:tcW w:w="1271" w:type="dxa"/>
            <w:tcBorders>
              <w:top w:val="nil"/>
              <w:left w:val="single" w:sz="4" w:space="0" w:color="auto"/>
              <w:bottom w:val="nil"/>
              <w:right w:val="single" w:sz="4" w:space="0" w:color="auto"/>
            </w:tcBorders>
            <w:noWrap/>
          </w:tcPr>
          <w:p w14:paraId="3D2265E7"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EV chargers</w:t>
            </w:r>
          </w:p>
        </w:tc>
        <w:tc>
          <w:tcPr>
            <w:tcW w:w="1104" w:type="dxa"/>
            <w:tcBorders>
              <w:top w:val="nil"/>
              <w:left w:val="single" w:sz="4" w:space="0" w:color="auto"/>
              <w:bottom w:val="nil"/>
              <w:right w:val="nil"/>
            </w:tcBorders>
            <w:shd w:val="clear" w:color="auto" w:fill="auto"/>
            <w:noWrap/>
          </w:tcPr>
          <w:p w14:paraId="6BAC1799"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242</w:t>
            </w:r>
          </w:p>
        </w:tc>
        <w:tc>
          <w:tcPr>
            <w:tcW w:w="1089" w:type="dxa"/>
            <w:tcBorders>
              <w:top w:val="nil"/>
              <w:left w:val="nil"/>
              <w:bottom w:val="nil"/>
              <w:right w:val="nil"/>
            </w:tcBorders>
            <w:shd w:val="clear" w:color="auto" w:fill="auto"/>
            <w:noWrap/>
          </w:tcPr>
          <w:p w14:paraId="441229C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$171</w:t>
            </w:r>
          </w:p>
        </w:tc>
        <w:tc>
          <w:tcPr>
            <w:tcW w:w="1089" w:type="dxa"/>
            <w:tcBorders>
              <w:top w:val="nil"/>
              <w:left w:val="nil"/>
              <w:bottom w:val="nil"/>
              <w:right w:val="nil"/>
            </w:tcBorders>
            <w:shd w:val="clear" w:color="auto" w:fill="auto"/>
            <w:noWrap/>
          </w:tcPr>
          <w:p w14:paraId="07D90E50"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$647</w:t>
            </w:r>
          </w:p>
        </w:tc>
        <w:tc>
          <w:tcPr>
            <w:tcW w:w="1089" w:type="dxa"/>
            <w:tcBorders>
              <w:top w:val="nil"/>
              <w:left w:val="nil"/>
              <w:bottom w:val="nil"/>
              <w:right w:val="single" w:sz="4" w:space="0" w:color="auto"/>
            </w:tcBorders>
            <w:shd w:val="clear" w:color="auto" w:fill="auto"/>
            <w:noWrap/>
          </w:tcPr>
          <w:p w14:paraId="2D06B8D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$475</w:t>
            </w:r>
          </w:p>
        </w:tc>
        <w:tc>
          <w:tcPr>
            <w:tcW w:w="874" w:type="dxa"/>
            <w:tcBorders>
              <w:top w:val="nil"/>
              <w:left w:val="single" w:sz="4" w:space="0" w:color="auto"/>
              <w:bottom w:val="nil"/>
              <w:right w:val="single" w:sz="4" w:space="0" w:color="auto"/>
            </w:tcBorders>
            <w:shd w:val="clear" w:color="auto" w:fill="auto"/>
          </w:tcPr>
          <w:p w14:paraId="75ED6578"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21.0%</w:t>
            </w:r>
          </w:p>
        </w:tc>
        <w:tc>
          <w:tcPr>
            <w:tcW w:w="709" w:type="dxa"/>
            <w:tcBorders>
              <w:top w:val="nil"/>
              <w:left w:val="single" w:sz="4" w:space="0" w:color="auto"/>
              <w:bottom w:val="nil"/>
              <w:right w:val="single" w:sz="4" w:space="0" w:color="auto"/>
            </w:tcBorders>
            <w:shd w:val="clear" w:color="auto" w:fill="auto"/>
            <w:noWrap/>
          </w:tcPr>
          <w:p w14:paraId="2F5A9F3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3.8</w:t>
            </w:r>
          </w:p>
        </w:tc>
        <w:tc>
          <w:tcPr>
            <w:tcW w:w="786" w:type="dxa"/>
            <w:tcBorders>
              <w:top w:val="nil"/>
              <w:left w:val="nil"/>
              <w:bottom w:val="nil"/>
              <w:right w:val="single" w:sz="4" w:space="0" w:color="auto"/>
            </w:tcBorders>
            <w:shd w:val="clear" w:color="auto" w:fill="auto"/>
            <w:vAlign w:val="bottom"/>
          </w:tcPr>
          <w:p w14:paraId="429B975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$313</w:t>
            </w:r>
          </w:p>
        </w:tc>
        <w:tc>
          <w:tcPr>
            <w:tcW w:w="640" w:type="dxa"/>
            <w:tcBorders>
              <w:top w:val="nil"/>
              <w:left w:val="single" w:sz="4" w:space="0" w:color="auto"/>
              <w:bottom w:val="nil"/>
              <w:right w:val="single" w:sz="4" w:space="0" w:color="auto"/>
            </w:tcBorders>
            <w:shd w:val="clear" w:color="auto" w:fill="auto"/>
            <w:vAlign w:val="bottom"/>
          </w:tcPr>
          <w:p w14:paraId="6609B69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2.8</w:t>
            </w:r>
          </w:p>
        </w:tc>
      </w:tr>
      <w:tr w:rsidR="00A37634" w:rsidRPr="00A37634" w14:paraId="790EE971" w14:textId="77777777" w:rsidTr="007C7289">
        <w:trPr>
          <w:trHeight w:val="255"/>
          <w:jc w:val="center"/>
        </w:trPr>
        <w:tc>
          <w:tcPr>
            <w:tcW w:w="1271" w:type="dxa"/>
            <w:tcBorders>
              <w:top w:val="single" w:sz="4" w:space="0" w:color="auto"/>
              <w:left w:val="single" w:sz="4" w:space="0" w:color="auto"/>
              <w:bottom w:val="single" w:sz="4" w:space="0" w:color="auto"/>
              <w:right w:val="single" w:sz="4" w:space="0" w:color="auto"/>
            </w:tcBorders>
            <w:noWrap/>
          </w:tcPr>
          <w:p w14:paraId="3B41CFDD"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All products</w:t>
            </w:r>
          </w:p>
        </w:tc>
        <w:tc>
          <w:tcPr>
            <w:tcW w:w="1104" w:type="dxa"/>
            <w:tcBorders>
              <w:top w:val="single" w:sz="4" w:space="0" w:color="auto"/>
              <w:left w:val="single" w:sz="4" w:space="0" w:color="auto"/>
              <w:bottom w:val="single" w:sz="4" w:space="0" w:color="auto"/>
              <w:right w:val="nil"/>
            </w:tcBorders>
            <w:shd w:val="clear" w:color="auto" w:fill="auto"/>
            <w:noWrap/>
          </w:tcPr>
          <w:p w14:paraId="66D01E89"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2243</w:t>
            </w:r>
          </w:p>
        </w:tc>
        <w:tc>
          <w:tcPr>
            <w:tcW w:w="1089" w:type="dxa"/>
            <w:tcBorders>
              <w:top w:val="single" w:sz="4" w:space="0" w:color="auto"/>
              <w:left w:val="nil"/>
              <w:bottom w:val="single" w:sz="4" w:space="0" w:color="auto"/>
              <w:right w:val="nil"/>
            </w:tcBorders>
            <w:shd w:val="clear" w:color="auto" w:fill="auto"/>
            <w:noWrap/>
          </w:tcPr>
          <w:p w14:paraId="59305206"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$839</w:t>
            </w:r>
          </w:p>
        </w:tc>
        <w:tc>
          <w:tcPr>
            <w:tcW w:w="1089" w:type="dxa"/>
            <w:tcBorders>
              <w:top w:val="single" w:sz="4" w:space="0" w:color="auto"/>
              <w:left w:val="nil"/>
              <w:bottom w:val="single" w:sz="4" w:space="0" w:color="auto"/>
              <w:right w:val="nil"/>
            </w:tcBorders>
            <w:shd w:val="clear" w:color="auto" w:fill="auto"/>
            <w:noWrap/>
          </w:tcPr>
          <w:p w14:paraId="2DC78B5E"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$3,100</w:t>
            </w:r>
          </w:p>
        </w:tc>
        <w:tc>
          <w:tcPr>
            <w:tcW w:w="1089" w:type="dxa"/>
            <w:tcBorders>
              <w:top w:val="single" w:sz="4" w:space="0" w:color="auto"/>
              <w:left w:val="nil"/>
              <w:bottom w:val="single" w:sz="4" w:space="0" w:color="auto"/>
              <w:right w:val="single" w:sz="4" w:space="0" w:color="auto"/>
            </w:tcBorders>
            <w:shd w:val="clear" w:color="auto" w:fill="auto"/>
            <w:noWrap/>
          </w:tcPr>
          <w:p w14:paraId="5B3A7129"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$2,261</w:t>
            </w: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6C140DD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863795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3.7</w:t>
            </w:r>
          </w:p>
        </w:tc>
        <w:tc>
          <w:tcPr>
            <w:tcW w:w="786" w:type="dxa"/>
            <w:tcBorders>
              <w:top w:val="single" w:sz="4" w:space="0" w:color="auto"/>
              <w:left w:val="nil"/>
              <w:bottom w:val="single" w:sz="4" w:space="0" w:color="auto"/>
              <w:right w:val="single" w:sz="4" w:space="0" w:color="auto"/>
            </w:tcBorders>
            <w:shd w:val="clear" w:color="auto" w:fill="auto"/>
            <w:vAlign w:val="bottom"/>
          </w:tcPr>
          <w:p w14:paraId="7B33249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$1,762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tcPr>
          <w:p w14:paraId="740EDBB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3.1</w:t>
            </w:r>
          </w:p>
        </w:tc>
      </w:tr>
    </w:tbl>
    <w:p w14:paraId="4C1E93A7" w14:textId="77777777" w:rsidR="00A37634" w:rsidRPr="00A37634" w:rsidRDefault="00A37634" w:rsidP="00A37634">
      <w:pPr>
        <w:spacing w:after="0" w:line="278" w:lineRule="auto"/>
        <w:jc w:val="center"/>
        <w:rPr>
          <w:rFonts w:ascii="Calibri" w:eastAsia="Cambria" w:hAnsi="Calibri" w:cs="Calibri"/>
          <w:sz w:val="16"/>
          <w:szCs w:val="24"/>
          <w:lang w:val="en-AU"/>
        </w:rPr>
      </w:pPr>
      <w:r w:rsidRPr="00A37634">
        <w:rPr>
          <w:rFonts w:ascii="Calibri" w:eastAsia="Cambria" w:hAnsi="Calibri" w:cs="Calibri"/>
          <w:sz w:val="16"/>
          <w:szCs w:val="24"/>
          <w:lang w:val="en-AU"/>
        </w:rPr>
        <w:t xml:space="preserve">(a) 50% of total </w:t>
      </w:r>
      <w:proofErr w:type="spellStart"/>
      <w:r w:rsidRPr="00A37634">
        <w:rPr>
          <w:rFonts w:ascii="Calibri" w:eastAsia="Cambria" w:hAnsi="Calibri" w:cs="Calibri"/>
          <w:sz w:val="16"/>
          <w:szCs w:val="24"/>
          <w:lang w:val="en-AU"/>
        </w:rPr>
        <w:t>MWe</w:t>
      </w:r>
      <w:proofErr w:type="spellEnd"/>
      <w:r w:rsidRPr="00A37634">
        <w:rPr>
          <w:rFonts w:ascii="Calibri" w:eastAsia="Cambria" w:hAnsi="Calibri" w:cs="Calibri"/>
          <w:sz w:val="16"/>
          <w:szCs w:val="24"/>
          <w:lang w:val="en-AU"/>
        </w:rPr>
        <w:t xml:space="preserve"> of participating DR-capable products. (</w:t>
      </w:r>
      <w:proofErr w:type="gramStart"/>
      <w:r w:rsidRPr="00A37634">
        <w:rPr>
          <w:rFonts w:ascii="Calibri" w:eastAsia="Cambria" w:hAnsi="Calibri" w:cs="Calibri"/>
          <w:sz w:val="16"/>
          <w:szCs w:val="24"/>
          <w:lang w:val="en-AU"/>
        </w:rPr>
        <w:t>b</w:t>
      </w:r>
      <w:proofErr w:type="gramEnd"/>
      <w:r w:rsidRPr="00A37634">
        <w:rPr>
          <w:rFonts w:ascii="Calibri" w:eastAsia="Cambria" w:hAnsi="Calibri" w:cs="Calibri"/>
          <w:sz w:val="16"/>
          <w:szCs w:val="24"/>
          <w:lang w:val="en-AU"/>
        </w:rPr>
        <w:t xml:space="preserve">) NPV at 7% discount rate for costs and benefits 2021-2035 </w:t>
      </w:r>
    </w:p>
    <w:p w14:paraId="44977C0D" w14:textId="77777777" w:rsidR="00BB0627" w:rsidRDefault="00BB0627" w:rsidP="00A37634">
      <w:pPr>
        <w:spacing w:before="240" w:after="120" w:line="240" w:lineRule="auto"/>
        <w:jc w:val="center"/>
        <w:rPr>
          <w:rFonts w:ascii="Calibri" w:eastAsia="Cambria" w:hAnsi="Calibri" w:cs="Calibri"/>
          <w:b/>
          <w:bCs/>
          <w:sz w:val="20"/>
          <w:szCs w:val="16"/>
          <w:lang w:val="en-AU"/>
        </w:rPr>
      </w:pPr>
      <w:bookmarkStart w:id="88" w:name="_Ref14778901"/>
      <w:bookmarkStart w:id="89" w:name="_Toc16501000"/>
      <w:bookmarkStart w:id="90" w:name="_Hlk14778715"/>
    </w:p>
    <w:p w14:paraId="4C135465" w14:textId="5979681F" w:rsidR="00A37634" w:rsidRPr="00A37634" w:rsidRDefault="00A37634" w:rsidP="00A37634">
      <w:pPr>
        <w:spacing w:before="240" w:after="120" w:line="240" w:lineRule="auto"/>
        <w:jc w:val="center"/>
        <w:rPr>
          <w:rFonts w:ascii="Calibri" w:eastAsia="Cambria" w:hAnsi="Calibri" w:cs="Calibri"/>
          <w:b/>
          <w:bCs/>
          <w:sz w:val="20"/>
          <w:szCs w:val="16"/>
          <w:lang w:val="en-AU"/>
        </w:rPr>
      </w:pPr>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9</w:t>
      </w:r>
      <w:r w:rsidRPr="00A37634">
        <w:rPr>
          <w:rFonts w:ascii="Calibri" w:eastAsia="Cambria" w:hAnsi="Calibri" w:cs="Calibri"/>
          <w:b/>
          <w:bCs/>
          <w:noProof/>
          <w:sz w:val="20"/>
          <w:szCs w:val="16"/>
          <w:lang w:val="en-AU"/>
        </w:rPr>
        <w:fldChar w:fldCharType="end"/>
      </w:r>
      <w:bookmarkEnd w:id="88"/>
      <w:r w:rsidRPr="00A37634">
        <w:rPr>
          <w:rFonts w:ascii="Calibri" w:eastAsia="Cambria" w:hAnsi="Calibri" w:cs="Calibri"/>
          <w:b/>
          <w:bCs/>
          <w:sz w:val="20"/>
          <w:szCs w:val="16"/>
          <w:lang w:val="en-AU"/>
        </w:rPr>
        <w:t>. Projected costs and benefits by appliance, Australia (medium activation)</w:t>
      </w:r>
      <w:bookmarkEnd w:id="89"/>
    </w:p>
    <w:bookmarkEnd w:id="90"/>
    <w:tbl>
      <w:tblPr>
        <w:tblW w:w="8651" w:type="dxa"/>
        <w:jc w:val="center"/>
        <w:tblLayout w:type="fixed"/>
        <w:tblCellMar>
          <w:left w:w="0" w:type="dxa"/>
          <w:right w:w="0" w:type="dxa"/>
        </w:tblCellMar>
        <w:tblLook w:val="0000" w:firstRow="0" w:lastRow="0" w:firstColumn="0" w:lastColumn="0" w:noHBand="0" w:noVBand="0"/>
      </w:tblPr>
      <w:tblGrid>
        <w:gridCol w:w="1271"/>
        <w:gridCol w:w="1104"/>
        <w:gridCol w:w="1089"/>
        <w:gridCol w:w="1089"/>
        <w:gridCol w:w="1089"/>
        <w:gridCol w:w="874"/>
        <w:gridCol w:w="709"/>
        <w:gridCol w:w="786"/>
        <w:gridCol w:w="640"/>
      </w:tblGrid>
      <w:tr w:rsidR="00A37634" w:rsidRPr="00A37634" w14:paraId="215C68B5" w14:textId="77777777" w:rsidTr="007C7289">
        <w:trPr>
          <w:cantSplit/>
          <w:trHeight w:val="533"/>
          <w:tblHeader/>
          <w:jc w:val="center"/>
        </w:trPr>
        <w:tc>
          <w:tcPr>
            <w:tcW w:w="1271" w:type="dxa"/>
            <w:vMerge w:val="restart"/>
            <w:tcBorders>
              <w:top w:val="single" w:sz="4" w:space="0" w:color="auto"/>
              <w:left w:val="single" w:sz="4" w:space="0" w:color="auto"/>
              <w:right w:val="nil"/>
            </w:tcBorders>
            <w:noWrap/>
          </w:tcPr>
          <w:p w14:paraId="1C9981A8"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104" w:type="dxa"/>
            <w:vMerge w:val="restart"/>
            <w:tcBorders>
              <w:top w:val="single" w:sz="4" w:space="0" w:color="auto"/>
              <w:left w:val="nil"/>
              <w:right w:val="nil"/>
            </w:tcBorders>
            <w:noWrap/>
          </w:tcPr>
          <w:p w14:paraId="480FD123"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 xml:space="preserve">Routine DLC Reduction available SMD 2035, </w:t>
            </w:r>
            <w:proofErr w:type="spellStart"/>
            <w:r w:rsidRPr="00A37634">
              <w:rPr>
                <w:rFonts w:ascii="Calibri" w:eastAsia="Times New Roman" w:hAnsi="Calibri" w:cs="Calibri"/>
                <w:b/>
                <w:sz w:val="18"/>
                <w:szCs w:val="18"/>
                <w:lang w:val="en-AU"/>
              </w:rPr>
              <w:t>MWe</w:t>
            </w:r>
            <w:proofErr w:type="spellEnd"/>
            <w:r w:rsidRPr="00A37634">
              <w:rPr>
                <w:rFonts w:ascii="Calibri" w:eastAsia="Times New Roman" w:hAnsi="Calibri" w:cs="Calibri"/>
                <w:b/>
                <w:sz w:val="18"/>
                <w:szCs w:val="18"/>
                <w:lang w:val="en-AU"/>
              </w:rPr>
              <w:t xml:space="preserve"> (a)</w:t>
            </w:r>
          </w:p>
        </w:tc>
        <w:tc>
          <w:tcPr>
            <w:tcW w:w="1089" w:type="dxa"/>
            <w:vMerge w:val="restart"/>
            <w:tcBorders>
              <w:top w:val="single" w:sz="4" w:space="0" w:color="auto"/>
              <w:left w:val="nil"/>
              <w:right w:val="nil"/>
            </w:tcBorders>
            <w:noWrap/>
          </w:tcPr>
          <w:p w14:paraId="21D71404"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Costs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5327B14C"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34C99444"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3449BE82"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0C1E57D9"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tc>
        <w:tc>
          <w:tcPr>
            <w:tcW w:w="874" w:type="dxa"/>
            <w:vMerge w:val="restart"/>
            <w:tcBorders>
              <w:top w:val="single" w:sz="4" w:space="0" w:color="auto"/>
              <w:left w:val="single" w:sz="4" w:space="0" w:color="auto"/>
              <w:right w:val="single" w:sz="4" w:space="0" w:color="auto"/>
            </w:tcBorders>
          </w:tcPr>
          <w:p w14:paraId="031CD26A"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 xml:space="preserve">% net </w:t>
            </w:r>
            <w:r w:rsidRPr="00A37634">
              <w:rPr>
                <w:rFonts w:ascii="Calibri" w:eastAsia="Times New Roman" w:hAnsi="Calibri" w:cs="Calibri"/>
                <w:b/>
                <w:sz w:val="18"/>
                <w:szCs w:val="18"/>
                <w:lang w:val="en-AU"/>
              </w:rPr>
              <w:br/>
              <w:t>national</w:t>
            </w:r>
            <w:r w:rsidRPr="00A37634">
              <w:rPr>
                <w:rFonts w:ascii="Calibri" w:eastAsia="Times New Roman" w:hAnsi="Calibri" w:cs="Calibri"/>
                <w:b/>
                <w:sz w:val="18"/>
                <w:szCs w:val="18"/>
                <w:lang w:val="en-AU"/>
              </w:rPr>
              <w:br/>
              <w:t>benefits</w:t>
            </w:r>
          </w:p>
        </w:tc>
        <w:tc>
          <w:tcPr>
            <w:tcW w:w="709" w:type="dxa"/>
            <w:vMerge w:val="restart"/>
            <w:tcBorders>
              <w:top w:val="single" w:sz="4" w:space="0" w:color="auto"/>
              <w:left w:val="single" w:sz="4" w:space="0" w:color="auto"/>
              <w:right w:val="single" w:sz="4" w:space="0" w:color="auto"/>
            </w:tcBorders>
            <w:noWrap/>
          </w:tcPr>
          <w:p w14:paraId="03C0D0ED"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B/C ratio</w:t>
            </w:r>
          </w:p>
        </w:tc>
        <w:tc>
          <w:tcPr>
            <w:tcW w:w="1426" w:type="dxa"/>
            <w:gridSpan w:val="2"/>
            <w:tcBorders>
              <w:top w:val="single" w:sz="4" w:space="0" w:color="auto"/>
              <w:left w:val="single" w:sz="4" w:space="0" w:color="auto"/>
              <w:bottom w:val="single" w:sz="4" w:space="0" w:color="auto"/>
              <w:right w:val="single" w:sz="4" w:space="0" w:color="auto"/>
            </w:tcBorders>
          </w:tcPr>
          <w:p w14:paraId="171BD238"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Without whole-sale price benefit</w:t>
            </w:r>
          </w:p>
        </w:tc>
      </w:tr>
      <w:tr w:rsidR="00A37634" w:rsidRPr="00A37634" w14:paraId="28EBEB31" w14:textId="77777777" w:rsidTr="007C7289">
        <w:trPr>
          <w:cantSplit/>
          <w:trHeight w:val="532"/>
          <w:tblHeader/>
          <w:jc w:val="center"/>
        </w:trPr>
        <w:tc>
          <w:tcPr>
            <w:tcW w:w="1271" w:type="dxa"/>
            <w:vMerge/>
            <w:tcBorders>
              <w:left w:val="single" w:sz="4" w:space="0" w:color="auto"/>
              <w:bottom w:val="single" w:sz="4" w:space="0" w:color="auto"/>
              <w:right w:val="nil"/>
            </w:tcBorders>
            <w:noWrap/>
          </w:tcPr>
          <w:p w14:paraId="71299F16"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104" w:type="dxa"/>
            <w:vMerge/>
            <w:tcBorders>
              <w:left w:val="nil"/>
              <w:bottom w:val="single" w:sz="4" w:space="0" w:color="auto"/>
              <w:right w:val="nil"/>
            </w:tcBorders>
            <w:noWrap/>
          </w:tcPr>
          <w:p w14:paraId="64C90171"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0E494A9C"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2CBFEE22"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5A1F4F50"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874" w:type="dxa"/>
            <w:vMerge/>
            <w:tcBorders>
              <w:left w:val="single" w:sz="4" w:space="0" w:color="auto"/>
              <w:bottom w:val="single" w:sz="4" w:space="0" w:color="auto"/>
              <w:right w:val="single" w:sz="4" w:space="0" w:color="auto"/>
            </w:tcBorders>
          </w:tcPr>
          <w:p w14:paraId="7E329C68"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709" w:type="dxa"/>
            <w:vMerge/>
            <w:tcBorders>
              <w:left w:val="single" w:sz="4" w:space="0" w:color="auto"/>
              <w:bottom w:val="single" w:sz="4" w:space="0" w:color="auto"/>
              <w:right w:val="single" w:sz="4" w:space="0" w:color="auto"/>
            </w:tcBorders>
            <w:noWrap/>
          </w:tcPr>
          <w:p w14:paraId="76A734A5"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786" w:type="dxa"/>
            <w:tcBorders>
              <w:top w:val="single" w:sz="4" w:space="0" w:color="auto"/>
              <w:left w:val="single" w:sz="4" w:space="0" w:color="auto"/>
              <w:bottom w:val="single" w:sz="4" w:space="0" w:color="auto"/>
              <w:right w:val="single" w:sz="4" w:space="0" w:color="auto"/>
            </w:tcBorders>
          </w:tcPr>
          <w:p w14:paraId="079B8951"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w:t>
            </w:r>
          </w:p>
        </w:tc>
        <w:tc>
          <w:tcPr>
            <w:tcW w:w="640" w:type="dxa"/>
            <w:tcBorders>
              <w:top w:val="single" w:sz="4" w:space="0" w:color="auto"/>
              <w:left w:val="single" w:sz="4" w:space="0" w:color="auto"/>
              <w:bottom w:val="single" w:sz="4" w:space="0" w:color="auto"/>
              <w:right w:val="single" w:sz="4" w:space="0" w:color="auto"/>
            </w:tcBorders>
          </w:tcPr>
          <w:p w14:paraId="74EFA723"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B/C ratio</w:t>
            </w:r>
          </w:p>
        </w:tc>
      </w:tr>
      <w:tr w:rsidR="00A37634" w:rsidRPr="00A37634" w14:paraId="364D217D" w14:textId="77777777" w:rsidTr="007C7289">
        <w:trPr>
          <w:trHeight w:val="255"/>
          <w:jc w:val="center"/>
        </w:trPr>
        <w:tc>
          <w:tcPr>
            <w:tcW w:w="1271" w:type="dxa"/>
            <w:tcBorders>
              <w:top w:val="single" w:sz="4" w:space="0" w:color="auto"/>
              <w:left w:val="single" w:sz="4" w:space="0" w:color="auto"/>
              <w:bottom w:val="nil"/>
              <w:right w:val="nil"/>
            </w:tcBorders>
            <w:noWrap/>
          </w:tcPr>
          <w:p w14:paraId="7DAA8BD7"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 xml:space="preserve">Air </w:t>
            </w:r>
            <w:proofErr w:type="spellStart"/>
            <w:r w:rsidRPr="00A37634">
              <w:rPr>
                <w:rFonts w:ascii="Calibri" w:eastAsia="Times New Roman" w:hAnsi="Calibri" w:cs="Calibri"/>
                <w:sz w:val="18"/>
                <w:szCs w:val="18"/>
                <w:lang w:val="en-AU"/>
              </w:rPr>
              <w:t>Conds</w:t>
            </w:r>
            <w:proofErr w:type="spellEnd"/>
          </w:p>
        </w:tc>
        <w:tc>
          <w:tcPr>
            <w:tcW w:w="1104" w:type="dxa"/>
            <w:tcBorders>
              <w:top w:val="nil"/>
              <w:left w:val="single" w:sz="4" w:space="0" w:color="auto"/>
              <w:bottom w:val="nil"/>
              <w:right w:val="nil"/>
            </w:tcBorders>
            <w:shd w:val="clear" w:color="auto" w:fill="auto"/>
            <w:noWrap/>
            <w:vAlign w:val="bottom"/>
          </w:tcPr>
          <w:p w14:paraId="12C3BD88"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2164</w:t>
            </w:r>
          </w:p>
        </w:tc>
        <w:tc>
          <w:tcPr>
            <w:tcW w:w="1089" w:type="dxa"/>
            <w:tcBorders>
              <w:top w:val="nil"/>
              <w:left w:val="nil"/>
              <w:bottom w:val="nil"/>
              <w:right w:val="nil"/>
            </w:tcBorders>
            <w:shd w:val="clear" w:color="auto" w:fill="auto"/>
            <w:noWrap/>
            <w:vAlign w:val="bottom"/>
          </w:tcPr>
          <w:p w14:paraId="7A4AB8C9"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$335</w:t>
            </w:r>
          </w:p>
        </w:tc>
        <w:tc>
          <w:tcPr>
            <w:tcW w:w="1089" w:type="dxa"/>
            <w:tcBorders>
              <w:top w:val="nil"/>
              <w:left w:val="nil"/>
              <w:bottom w:val="nil"/>
              <w:right w:val="nil"/>
            </w:tcBorders>
            <w:shd w:val="clear" w:color="auto" w:fill="auto"/>
            <w:noWrap/>
            <w:vAlign w:val="bottom"/>
          </w:tcPr>
          <w:p w14:paraId="1F9FE19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$2,167</w:t>
            </w:r>
          </w:p>
        </w:tc>
        <w:tc>
          <w:tcPr>
            <w:tcW w:w="1089" w:type="dxa"/>
            <w:tcBorders>
              <w:top w:val="nil"/>
              <w:left w:val="nil"/>
              <w:bottom w:val="nil"/>
              <w:right w:val="single" w:sz="4" w:space="0" w:color="auto"/>
            </w:tcBorders>
            <w:shd w:val="clear" w:color="auto" w:fill="auto"/>
            <w:noWrap/>
            <w:vAlign w:val="bottom"/>
          </w:tcPr>
          <w:p w14:paraId="539D5CE7"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$1,832</w:t>
            </w:r>
          </w:p>
        </w:tc>
        <w:tc>
          <w:tcPr>
            <w:tcW w:w="874" w:type="dxa"/>
            <w:tcBorders>
              <w:top w:val="nil"/>
              <w:left w:val="single" w:sz="4" w:space="0" w:color="auto"/>
              <w:bottom w:val="nil"/>
              <w:right w:val="single" w:sz="4" w:space="0" w:color="auto"/>
            </w:tcBorders>
            <w:shd w:val="clear" w:color="auto" w:fill="auto"/>
            <w:vAlign w:val="bottom"/>
          </w:tcPr>
          <w:p w14:paraId="5701F2F7"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61.8%</w:t>
            </w:r>
          </w:p>
        </w:tc>
        <w:tc>
          <w:tcPr>
            <w:tcW w:w="709" w:type="dxa"/>
            <w:tcBorders>
              <w:top w:val="nil"/>
              <w:left w:val="single" w:sz="4" w:space="0" w:color="auto"/>
              <w:bottom w:val="nil"/>
              <w:right w:val="single" w:sz="4" w:space="0" w:color="auto"/>
            </w:tcBorders>
            <w:shd w:val="clear" w:color="auto" w:fill="auto"/>
            <w:noWrap/>
            <w:vAlign w:val="bottom"/>
          </w:tcPr>
          <w:p w14:paraId="00D2E0E6"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6.5</w:t>
            </w:r>
          </w:p>
        </w:tc>
        <w:tc>
          <w:tcPr>
            <w:tcW w:w="786" w:type="dxa"/>
            <w:tcBorders>
              <w:top w:val="nil"/>
              <w:left w:val="nil"/>
              <w:bottom w:val="nil"/>
              <w:right w:val="single" w:sz="4" w:space="0" w:color="auto"/>
            </w:tcBorders>
            <w:shd w:val="clear" w:color="auto" w:fill="auto"/>
            <w:vAlign w:val="bottom"/>
          </w:tcPr>
          <w:p w14:paraId="350A920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$1,511</w:t>
            </w:r>
          </w:p>
        </w:tc>
        <w:tc>
          <w:tcPr>
            <w:tcW w:w="640" w:type="dxa"/>
            <w:tcBorders>
              <w:top w:val="nil"/>
              <w:left w:val="single" w:sz="4" w:space="0" w:color="auto"/>
              <w:bottom w:val="nil"/>
              <w:right w:val="single" w:sz="4" w:space="0" w:color="auto"/>
            </w:tcBorders>
            <w:shd w:val="clear" w:color="auto" w:fill="auto"/>
            <w:vAlign w:val="bottom"/>
          </w:tcPr>
          <w:p w14:paraId="718FD78D"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5.5</w:t>
            </w:r>
          </w:p>
        </w:tc>
      </w:tr>
      <w:tr w:rsidR="00A37634" w:rsidRPr="00A37634" w14:paraId="1E70A076" w14:textId="77777777" w:rsidTr="007C7289">
        <w:trPr>
          <w:trHeight w:val="255"/>
          <w:jc w:val="center"/>
        </w:trPr>
        <w:tc>
          <w:tcPr>
            <w:tcW w:w="1271" w:type="dxa"/>
            <w:tcBorders>
              <w:top w:val="nil"/>
              <w:left w:val="single" w:sz="4" w:space="0" w:color="auto"/>
              <w:bottom w:val="nil"/>
              <w:right w:val="nil"/>
            </w:tcBorders>
            <w:noWrap/>
          </w:tcPr>
          <w:p w14:paraId="480A91CD"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PP Controllers</w:t>
            </w:r>
          </w:p>
        </w:tc>
        <w:tc>
          <w:tcPr>
            <w:tcW w:w="1104" w:type="dxa"/>
            <w:tcBorders>
              <w:top w:val="nil"/>
              <w:left w:val="single" w:sz="4" w:space="0" w:color="auto"/>
              <w:bottom w:val="nil"/>
              <w:right w:val="nil"/>
            </w:tcBorders>
            <w:shd w:val="clear" w:color="auto" w:fill="auto"/>
            <w:noWrap/>
            <w:vAlign w:val="bottom"/>
          </w:tcPr>
          <w:p w14:paraId="588833B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354</w:t>
            </w:r>
          </w:p>
        </w:tc>
        <w:tc>
          <w:tcPr>
            <w:tcW w:w="1089" w:type="dxa"/>
            <w:tcBorders>
              <w:top w:val="nil"/>
              <w:left w:val="nil"/>
              <w:bottom w:val="nil"/>
              <w:right w:val="nil"/>
            </w:tcBorders>
            <w:shd w:val="clear" w:color="auto" w:fill="auto"/>
            <w:noWrap/>
            <w:vAlign w:val="bottom"/>
          </w:tcPr>
          <w:p w14:paraId="7C3425C7"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$94</w:t>
            </w:r>
          </w:p>
        </w:tc>
        <w:tc>
          <w:tcPr>
            <w:tcW w:w="1089" w:type="dxa"/>
            <w:tcBorders>
              <w:top w:val="nil"/>
              <w:left w:val="nil"/>
              <w:bottom w:val="nil"/>
              <w:right w:val="nil"/>
            </w:tcBorders>
            <w:shd w:val="clear" w:color="auto" w:fill="auto"/>
            <w:noWrap/>
            <w:vAlign w:val="bottom"/>
          </w:tcPr>
          <w:p w14:paraId="779A35A1"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$266</w:t>
            </w:r>
          </w:p>
        </w:tc>
        <w:tc>
          <w:tcPr>
            <w:tcW w:w="1089" w:type="dxa"/>
            <w:tcBorders>
              <w:top w:val="nil"/>
              <w:left w:val="nil"/>
              <w:bottom w:val="nil"/>
              <w:right w:val="single" w:sz="4" w:space="0" w:color="auto"/>
            </w:tcBorders>
            <w:shd w:val="clear" w:color="auto" w:fill="auto"/>
            <w:noWrap/>
            <w:vAlign w:val="bottom"/>
          </w:tcPr>
          <w:p w14:paraId="720868E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$172</w:t>
            </w:r>
          </w:p>
        </w:tc>
        <w:tc>
          <w:tcPr>
            <w:tcW w:w="874" w:type="dxa"/>
            <w:tcBorders>
              <w:top w:val="nil"/>
              <w:left w:val="single" w:sz="4" w:space="0" w:color="auto"/>
              <w:bottom w:val="nil"/>
              <w:right w:val="single" w:sz="4" w:space="0" w:color="auto"/>
            </w:tcBorders>
            <w:shd w:val="clear" w:color="auto" w:fill="auto"/>
            <w:vAlign w:val="bottom"/>
          </w:tcPr>
          <w:p w14:paraId="47AC88A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5.8%</w:t>
            </w:r>
          </w:p>
        </w:tc>
        <w:tc>
          <w:tcPr>
            <w:tcW w:w="709" w:type="dxa"/>
            <w:tcBorders>
              <w:top w:val="nil"/>
              <w:left w:val="single" w:sz="4" w:space="0" w:color="auto"/>
              <w:bottom w:val="nil"/>
              <w:right w:val="single" w:sz="4" w:space="0" w:color="auto"/>
            </w:tcBorders>
            <w:shd w:val="clear" w:color="auto" w:fill="auto"/>
            <w:noWrap/>
            <w:vAlign w:val="bottom"/>
          </w:tcPr>
          <w:p w14:paraId="4102834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2.8</w:t>
            </w:r>
          </w:p>
        </w:tc>
        <w:tc>
          <w:tcPr>
            <w:tcW w:w="786" w:type="dxa"/>
            <w:tcBorders>
              <w:top w:val="nil"/>
              <w:left w:val="nil"/>
              <w:bottom w:val="nil"/>
              <w:right w:val="single" w:sz="4" w:space="0" w:color="auto"/>
            </w:tcBorders>
            <w:shd w:val="clear" w:color="auto" w:fill="auto"/>
            <w:vAlign w:val="bottom"/>
          </w:tcPr>
          <w:p w14:paraId="1873C94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$160</w:t>
            </w:r>
          </w:p>
        </w:tc>
        <w:tc>
          <w:tcPr>
            <w:tcW w:w="640" w:type="dxa"/>
            <w:tcBorders>
              <w:top w:val="nil"/>
              <w:left w:val="single" w:sz="4" w:space="0" w:color="auto"/>
              <w:bottom w:val="nil"/>
              <w:right w:val="single" w:sz="4" w:space="0" w:color="auto"/>
            </w:tcBorders>
            <w:shd w:val="clear" w:color="auto" w:fill="auto"/>
            <w:vAlign w:val="bottom"/>
          </w:tcPr>
          <w:p w14:paraId="2CFDC4B8"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2.7</w:t>
            </w:r>
          </w:p>
        </w:tc>
      </w:tr>
      <w:tr w:rsidR="00A37634" w:rsidRPr="00A37634" w14:paraId="4CA94498" w14:textId="77777777" w:rsidTr="007C7289">
        <w:trPr>
          <w:trHeight w:val="255"/>
          <w:jc w:val="center"/>
        </w:trPr>
        <w:tc>
          <w:tcPr>
            <w:tcW w:w="1271" w:type="dxa"/>
            <w:tcBorders>
              <w:top w:val="nil"/>
              <w:left w:val="single" w:sz="4" w:space="0" w:color="auto"/>
              <w:bottom w:val="nil"/>
              <w:right w:val="nil"/>
            </w:tcBorders>
            <w:noWrap/>
          </w:tcPr>
          <w:p w14:paraId="61C88BA2"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Water heaters</w:t>
            </w:r>
          </w:p>
        </w:tc>
        <w:tc>
          <w:tcPr>
            <w:tcW w:w="1104" w:type="dxa"/>
            <w:tcBorders>
              <w:top w:val="nil"/>
              <w:left w:val="single" w:sz="4" w:space="0" w:color="auto"/>
              <w:bottom w:val="nil"/>
              <w:right w:val="nil"/>
            </w:tcBorders>
            <w:shd w:val="clear" w:color="auto" w:fill="auto"/>
            <w:noWrap/>
            <w:vAlign w:val="bottom"/>
          </w:tcPr>
          <w:p w14:paraId="65A1AB9A"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467</w:t>
            </w:r>
          </w:p>
        </w:tc>
        <w:tc>
          <w:tcPr>
            <w:tcW w:w="1089" w:type="dxa"/>
            <w:tcBorders>
              <w:top w:val="nil"/>
              <w:left w:val="nil"/>
              <w:bottom w:val="nil"/>
              <w:right w:val="nil"/>
            </w:tcBorders>
            <w:shd w:val="clear" w:color="auto" w:fill="auto"/>
            <w:noWrap/>
            <w:vAlign w:val="bottom"/>
          </w:tcPr>
          <w:p w14:paraId="0641266A"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$341</w:t>
            </w:r>
          </w:p>
        </w:tc>
        <w:tc>
          <w:tcPr>
            <w:tcW w:w="1089" w:type="dxa"/>
            <w:tcBorders>
              <w:top w:val="nil"/>
              <w:left w:val="nil"/>
              <w:bottom w:val="nil"/>
              <w:right w:val="nil"/>
            </w:tcBorders>
            <w:shd w:val="clear" w:color="auto" w:fill="auto"/>
            <w:noWrap/>
            <w:vAlign w:val="bottom"/>
          </w:tcPr>
          <w:p w14:paraId="0C6B6077"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$642</w:t>
            </w:r>
          </w:p>
        </w:tc>
        <w:tc>
          <w:tcPr>
            <w:tcW w:w="1089" w:type="dxa"/>
            <w:tcBorders>
              <w:top w:val="nil"/>
              <w:left w:val="nil"/>
              <w:bottom w:val="nil"/>
              <w:right w:val="single" w:sz="4" w:space="0" w:color="auto"/>
            </w:tcBorders>
            <w:shd w:val="clear" w:color="auto" w:fill="auto"/>
            <w:noWrap/>
            <w:vAlign w:val="bottom"/>
          </w:tcPr>
          <w:p w14:paraId="0E60724D"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$301</w:t>
            </w:r>
          </w:p>
        </w:tc>
        <w:tc>
          <w:tcPr>
            <w:tcW w:w="874" w:type="dxa"/>
            <w:tcBorders>
              <w:top w:val="nil"/>
              <w:left w:val="single" w:sz="4" w:space="0" w:color="auto"/>
              <w:bottom w:val="nil"/>
              <w:right w:val="single" w:sz="4" w:space="0" w:color="auto"/>
            </w:tcBorders>
            <w:shd w:val="clear" w:color="auto" w:fill="auto"/>
            <w:vAlign w:val="bottom"/>
          </w:tcPr>
          <w:p w14:paraId="250DA8E0"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10.2%</w:t>
            </w:r>
          </w:p>
        </w:tc>
        <w:tc>
          <w:tcPr>
            <w:tcW w:w="709" w:type="dxa"/>
            <w:tcBorders>
              <w:top w:val="nil"/>
              <w:left w:val="single" w:sz="4" w:space="0" w:color="auto"/>
              <w:bottom w:val="nil"/>
              <w:right w:val="single" w:sz="4" w:space="0" w:color="auto"/>
            </w:tcBorders>
            <w:shd w:val="clear" w:color="auto" w:fill="auto"/>
            <w:noWrap/>
            <w:vAlign w:val="bottom"/>
          </w:tcPr>
          <w:p w14:paraId="181455F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1.9</w:t>
            </w:r>
          </w:p>
        </w:tc>
        <w:tc>
          <w:tcPr>
            <w:tcW w:w="786" w:type="dxa"/>
            <w:tcBorders>
              <w:top w:val="nil"/>
              <w:left w:val="nil"/>
              <w:bottom w:val="nil"/>
              <w:right w:val="single" w:sz="4" w:space="0" w:color="auto"/>
            </w:tcBorders>
            <w:shd w:val="clear" w:color="auto" w:fill="auto"/>
            <w:vAlign w:val="bottom"/>
          </w:tcPr>
          <w:p w14:paraId="5F33C916"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$288</w:t>
            </w:r>
          </w:p>
        </w:tc>
        <w:tc>
          <w:tcPr>
            <w:tcW w:w="640" w:type="dxa"/>
            <w:tcBorders>
              <w:top w:val="nil"/>
              <w:left w:val="single" w:sz="4" w:space="0" w:color="auto"/>
              <w:bottom w:val="nil"/>
              <w:right w:val="single" w:sz="4" w:space="0" w:color="auto"/>
            </w:tcBorders>
            <w:shd w:val="clear" w:color="auto" w:fill="auto"/>
            <w:vAlign w:val="bottom"/>
          </w:tcPr>
          <w:p w14:paraId="60B64CB2"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1.8</w:t>
            </w:r>
          </w:p>
        </w:tc>
      </w:tr>
      <w:tr w:rsidR="00A37634" w:rsidRPr="00A37634" w14:paraId="399E168B" w14:textId="77777777" w:rsidTr="007C7289">
        <w:trPr>
          <w:trHeight w:val="255"/>
          <w:jc w:val="center"/>
        </w:trPr>
        <w:tc>
          <w:tcPr>
            <w:tcW w:w="1271" w:type="dxa"/>
            <w:tcBorders>
              <w:top w:val="nil"/>
              <w:left w:val="single" w:sz="4" w:space="0" w:color="auto"/>
              <w:bottom w:val="nil"/>
              <w:right w:val="nil"/>
            </w:tcBorders>
            <w:noWrap/>
          </w:tcPr>
          <w:p w14:paraId="14B965B2"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EV chargers</w:t>
            </w:r>
          </w:p>
        </w:tc>
        <w:tc>
          <w:tcPr>
            <w:tcW w:w="1104" w:type="dxa"/>
            <w:tcBorders>
              <w:top w:val="nil"/>
              <w:left w:val="single" w:sz="4" w:space="0" w:color="auto"/>
              <w:bottom w:val="nil"/>
              <w:right w:val="nil"/>
            </w:tcBorders>
            <w:shd w:val="clear" w:color="auto" w:fill="auto"/>
            <w:noWrap/>
            <w:vAlign w:val="bottom"/>
          </w:tcPr>
          <w:p w14:paraId="277F156A"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637</w:t>
            </w:r>
          </w:p>
        </w:tc>
        <w:tc>
          <w:tcPr>
            <w:tcW w:w="1089" w:type="dxa"/>
            <w:tcBorders>
              <w:top w:val="nil"/>
              <w:left w:val="nil"/>
              <w:bottom w:val="nil"/>
              <w:right w:val="nil"/>
            </w:tcBorders>
            <w:shd w:val="clear" w:color="auto" w:fill="auto"/>
            <w:noWrap/>
            <w:vAlign w:val="bottom"/>
          </w:tcPr>
          <w:p w14:paraId="51653C61"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$191</w:t>
            </w:r>
          </w:p>
        </w:tc>
        <w:tc>
          <w:tcPr>
            <w:tcW w:w="1089" w:type="dxa"/>
            <w:tcBorders>
              <w:top w:val="nil"/>
              <w:left w:val="nil"/>
              <w:bottom w:val="nil"/>
              <w:right w:val="nil"/>
            </w:tcBorders>
            <w:shd w:val="clear" w:color="auto" w:fill="auto"/>
            <w:noWrap/>
            <w:vAlign w:val="bottom"/>
          </w:tcPr>
          <w:p w14:paraId="33CA29E9"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$851</w:t>
            </w:r>
          </w:p>
        </w:tc>
        <w:tc>
          <w:tcPr>
            <w:tcW w:w="1089" w:type="dxa"/>
            <w:tcBorders>
              <w:top w:val="nil"/>
              <w:left w:val="nil"/>
              <w:bottom w:val="nil"/>
              <w:right w:val="single" w:sz="4" w:space="0" w:color="auto"/>
            </w:tcBorders>
            <w:shd w:val="clear" w:color="auto" w:fill="auto"/>
            <w:noWrap/>
            <w:vAlign w:val="bottom"/>
          </w:tcPr>
          <w:p w14:paraId="6DB68CDC"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$660</w:t>
            </w:r>
          </w:p>
        </w:tc>
        <w:tc>
          <w:tcPr>
            <w:tcW w:w="874" w:type="dxa"/>
            <w:tcBorders>
              <w:top w:val="nil"/>
              <w:left w:val="single" w:sz="4" w:space="0" w:color="auto"/>
              <w:bottom w:val="nil"/>
              <w:right w:val="single" w:sz="4" w:space="0" w:color="auto"/>
            </w:tcBorders>
            <w:shd w:val="clear" w:color="auto" w:fill="auto"/>
            <w:vAlign w:val="bottom"/>
          </w:tcPr>
          <w:p w14:paraId="0F46BD20"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22.2%</w:t>
            </w:r>
          </w:p>
        </w:tc>
        <w:tc>
          <w:tcPr>
            <w:tcW w:w="709" w:type="dxa"/>
            <w:tcBorders>
              <w:top w:val="nil"/>
              <w:left w:val="single" w:sz="4" w:space="0" w:color="auto"/>
              <w:bottom w:val="nil"/>
              <w:right w:val="single" w:sz="4" w:space="0" w:color="auto"/>
            </w:tcBorders>
            <w:shd w:val="clear" w:color="auto" w:fill="auto"/>
            <w:noWrap/>
            <w:vAlign w:val="bottom"/>
          </w:tcPr>
          <w:p w14:paraId="27D2290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4.5</w:t>
            </w:r>
          </w:p>
        </w:tc>
        <w:tc>
          <w:tcPr>
            <w:tcW w:w="786" w:type="dxa"/>
            <w:tcBorders>
              <w:top w:val="nil"/>
              <w:left w:val="nil"/>
              <w:bottom w:val="nil"/>
              <w:right w:val="single" w:sz="4" w:space="0" w:color="auto"/>
            </w:tcBorders>
            <w:shd w:val="clear" w:color="auto" w:fill="auto"/>
            <w:vAlign w:val="bottom"/>
          </w:tcPr>
          <w:p w14:paraId="447BBD9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$446</w:t>
            </w:r>
          </w:p>
        </w:tc>
        <w:tc>
          <w:tcPr>
            <w:tcW w:w="640" w:type="dxa"/>
            <w:tcBorders>
              <w:top w:val="nil"/>
              <w:left w:val="single" w:sz="4" w:space="0" w:color="auto"/>
              <w:bottom w:val="nil"/>
              <w:right w:val="single" w:sz="4" w:space="0" w:color="auto"/>
            </w:tcBorders>
            <w:shd w:val="clear" w:color="auto" w:fill="auto"/>
            <w:vAlign w:val="bottom"/>
          </w:tcPr>
          <w:p w14:paraId="5A2431F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3.3</w:t>
            </w:r>
          </w:p>
        </w:tc>
      </w:tr>
      <w:tr w:rsidR="00A37634" w:rsidRPr="00A37634" w14:paraId="0355B035" w14:textId="77777777" w:rsidTr="007C7289">
        <w:trPr>
          <w:trHeight w:val="255"/>
          <w:jc w:val="center"/>
        </w:trPr>
        <w:tc>
          <w:tcPr>
            <w:tcW w:w="1271" w:type="dxa"/>
            <w:tcBorders>
              <w:top w:val="single" w:sz="4" w:space="0" w:color="auto"/>
              <w:left w:val="single" w:sz="4" w:space="0" w:color="auto"/>
              <w:bottom w:val="single" w:sz="4" w:space="0" w:color="auto"/>
              <w:right w:val="nil"/>
            </w:tcBorders>
            <w:noWrap/>
          </w:tcPr>
          <w:p w14:paraId="00D39A5B"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All products</w:t>
            </w:r>
          </w:p>
        </w:tc>
        <w:tc>
          <w:tcPr>
            <w:tcW w:w="1104" w:type="dxa"/>
            <w:tcBorders>
              <w:top w:val="single" w:sz="4" w:space="0" w:color="auto"/>
              <w:left w:val="single" w:sz="4" w:space="0" w:color="auto"/>
              <w:bottom w:val="single" w:sz="4" w:space="0" w:color="auto"/>
              <w:right w:val="nil"/>
            </w:tcBorders>
            <w:shd w:val="clear" w:color="auto" w:fill="auto"/>
            <w:noWrap/>
            <w:vAlign w:val="bottom"/>
          </w:tcPr>
          <w:p w14:paraId="50D54FF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3621</w:t>
            </w:r>
          </w:p>
        </w:tc>
        <w:tc>
          <w:tcPr>
            <w:tcW w:w="1089" w:type="dxa"/>
            <w:tcBorders>
              <w:top w:val="single" w:sz="4" w:space="0" w:color="auto"/>
              <w:left w:val="nil"/>
              <w:bottom w:val="single" w:sz="4" w:space="0" w:color="auto"/>
              <w:right w:val="nil"/>
            </w:tcBorders>
            <w:shd w:val="clear" w:color="auto" w:fill="auto"/>
            <w:noWrap/>
            <w:vAlign w:val="bottom"/>
          </w:tcPr>
          <w:p w14:paraId="226914A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$960</w:t>
            </w:r>
          </w:p>
        </w:tc>
        <w:tc>
          <w:tcPr>
            <w:tcW w:w="1089" w:type="dxa"/>
            <w:tcBorders>
              <w:top w:val="single" w:sz="4" w:space="0" w:color="auto"/>
              <w:left w:val="nil"/>
              <w:bottom w:val="single" w:sz="4" w:space="0" w:color="auto"/>
              <w:right w:val="nil"/>
            </w:tcBorders>
            <w:shd w:val="clear" w:color="auto" w:fill="auto"/>
            <w:noWrap/>
            <w:vAlign w:val="bottom"/>
          </w:tcPr>
          <w:p w14:paraId="3449A41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$3,926</w:t>
            </w:r>
          </w:p>
        </w:tc>
        <w:tc>
          <w:tcPr>
            <w:tcW w:w="1089" w:type="dxa"/>
            <w:tcBorders>
              <w:top w:val="single" w:sz="4" w:space="0" w:color="auto"/>
              <w:left w:val="nil"/>
              <w:bottom w:val="single" w:sz="4" w:space="0" w:color="auto"/>
              <w:right w:val="single" w:sz="4" w:space="0" w:color="auto"/>
            </w:tcBorders>
            <w:shd w:val="clear" w:color="auto" w:fill="auto"/>
            <w:noWrap/>
            <w:vAlign w:val="bottom"/>
          </w:tcPr>
          <w:p w14:paraId="08287E91"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$2,965</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14:paraId="148C385A"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A869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4.1</w:t>
            </w:r>
          </w:p>
        </w:tc>
        <w:tc>
          <w:tcPr>
            <w:tcW w:w="786" w:type="dxa"/>
            <w:tcBorders>
              <w:top w:val="single" w:sz="4" w:space="0" w:color="auto"/>
              <w:left w:val="nil"/>
              <w:bottom w:val="single" w:sz="4" w:space="0" w:color="auto"/>
              <w:right w:val="single" w:sz="4" w:space="0" w:color="auto"/>
            </w:tcBorders>
            <w:shd w:val="clear" w:color="auto" w:fill="auto"/>
            <w:vAlign w:val="bottom"/>
          </w:tcPr>
          <w:p w14:paraId="45EA745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$2,405</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tcPr>
          <w:p w14:paraId="4E7F43B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3.5</w:t>
            </w:r>
          </w:p>
        </w:tc>
      </w:tr>
    </w:tbl>
    <w:p w14:paraId="095583E0" w14:textId="77777777" w:rsidR="00A37634" w:rsidRPr="00A37634" w:rsidRDefault="00A37634" w:rsidP="00A37634">
      <w:pPr>
        <w:spacing w:after="0" w:line="278" w:lineRule="auto"/>
        <w:jc w:val="center"/>
        <w:rPr>
          <w:rFonts w:ascii="Calibri" w:eastAsia="Cambria" w:hAnsi="Calibri" w:cs="Calibri"/>
          <w:sz w:val="16"/>
          <w:szCs w:val="24"/>
          <w:lang w:val="en-AU"/>
        </w:rPr>
      </w:pPr>
      <w:r w:rsidRPr="00A37634">
        <w:rPr>
          <w:rFonts w:ascii="Calibri" w:eastAsia="Cambria" w:hAnsi="Calibri" w:cs="Calibri"/>
          <w:sz w:val="16"/>
          <w:szCs w:val="24"/>
          <w:lang w:val="en-AU"/>
        </w:rPr>
        <w:t xml:space="preserve">(a) 50% of total </w:t>
      </w:r>
      <w:proofErr w:type="spellStart"/>
      <w:r w:rsidRPr="00A37634">
        <w:rPr>
          <w:rFonts w:ascii="Calibri" w:eastAsia="Cambria" w:hAnsi="Calibri" w:cs="Calibri"/>
          <w:sz w:val="16"/>
          <w:szCs w:val="24"/>
          <w:lang w:val="en-AU"/>
        </w:rPr>
        <w:t>MWe</w:t>
      </w:r>
      <w:proofErr w:type="spellEnd"/>
      <w:r w:rsidRPr="00A37634">
        <w:rPr>
          <w:rFonts w:ascii="Calibri" w:eastAsia="Cambria" w:hAnsi="Calibri" w:cs="Calibri"/>
          <w:sz w:val="16"/>
          <w:szCs w:val="24"/>
          <w:lang w:val="en-AU"/>
        </w:rPr>
        <w:t xml:space="preserve"> of participating DR-capable products. (</w:t>
      </w:r>
      <w:proofErr w:type="gramStart"/>
      <w:r w:rsidRPr="00A37634">
        <w:rPr>
          <w:rFonts w:ascii="Calibri" w:eastAsia="Cambria" w:hAnsi="Calibri" w:cs="Calibri"/>
          <w:sz w:val="16"/>
          <w:szCs w:val="24"/>
          <w:lang w:val="en-AU"/>
        </w:rPr>
        <w:t>b</w:t>
      </w:r>
      <w:proofErr w:type="gramEnd"/>
      <w:r w:rsidRPr="00A37634">
        <w:rPr>
          <w:rFonts w:ascii="Calibri" w:eastAsia="Cambria" w:hAnsi="Calibri" w:cs="Calibri"/>
          <w:sz w:val="16"/>
          <w:szCs w:val="24"/>
          <w:lang w:val="en-AU"/>
        </w:rPr>
        <w:t xml:space="preserve">) NPV at 7% discount rate for costs and benefits 2021-2035 </w:t>
      </w:r>
    </w:p>
    <w:p w14:paraId="30B0D8B4" w14:textId="027ED57E" w:rsidR="00A37634" w:rsidRDefault="00A37634" w:rsidP="00A37634">
      <w:pPr>
        <w:spacing w:after="120" w:line="276" w:lineRule="auto"/>
        <w:rPr>
          <w:rFonts w:ascii="Calibri" w:eastAsia="Calibri" w:hAnsi="Calibri" w:cs="Calibri"/>
          <w:szCs w:val="20"/>
          <w:lang w:val="en-AU"/>
        </w:rPr>
      </w:pPr>
    </w:p>
    <w:p w14:paraId="56D10349" w14:textId="77777777" w:rsidR="00BB0627" w:rsidRPr="00A37634" w:rsidRDefault="00BB0627" w:rsidP="00A37634">
      <w:pPr>
        <w:spacing w:after="120" w:line="276" w:lineRule="auto"/>
        <w:rPr>
          <w:rFonts w:ascii="Calibri" w:eastAsia="Calibri" w:hAnsi="Calibri" w:cs="Calibri"/>
          <w:szCs w:val="20"/>
          <w:lang w:val="en-AU"/>
        </w:rPr>
      </w:pPr>
    </w:p>
    <w:p w14:paraId="578CAE57" w14:textId="4A091B65"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91" w:name="_Ref14778934"/>
      <w:bookmarkStart w:id="92" w:name="_Toc16501001"/>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10</w:t>
      </w:r>
      <w:r w:rsidRPr="00A37634">
        <w:rPr>
          <w:rFonts w:ascii="Calibri" w:eastAsia="Cambria" w:hAnsi="Calibri" w:cs="Calibri"/>
          <w:b/>
          <w:bCs/>
          <w:noProof/>
          <w:sz w:val="20"/>
          <w:szCs w:val="16"/>
          <w:lang w:val="en-AU"/>
        </w:rPr>
        <w:fldChar w:fldCharType="end"/>
      </w:r>
      <w:bookmarkEnd w:id="91"/>
      <w:r w:rsidRPr="00A37634">
        <w:rPr>
          <w:rFonts w:ascii="Calibri" w:eastAsia="Cambria" w:hAnsi="Calibri" w:cs="Calibri"/>
          <w:b/>
          <w:bCs/>
          <w:sz w:val="20"/>
          <w:szCs w:val="16"/>
          <w:lang w:val="en-AU"/>
        </w:rPr>
        <w:t>. Projected costs and benefits by appliance Australia (high activation)</w:t>
      </w:r>
      <w:bookmarkEnd w:id="92"/>
    </w:p>
    <w:tbl>
      <w:tblPr>
        <w:tblW w:w="8651" w:type="dxa"/>
        <w:jc w:val="center"/>
        <w:tblLayout w:type="fixed"/>
        <w:tblCellMar>
          <w:left w:w="0" w:type="dxa"/>
          <w:right w:w="0" w:type="dxa"/>
        </w:tblCellMar>
        <w:tblLook w:val="0000" w:firstRow="0" w:lastRow="0" w:firstColumn="0" w:lastColumn="0" w:noHBand="0" w:noVBand="0"/>
      </w:tblPr>
      <w:tblGrid>
        <w:gridCol w:w="1271"/>
        <w:gridCol w:w="1276"/>
        <w:gridCol w:w="917"/>
        <w:gridCol w:w="1089"/>
        <w:gridCol w:w="1089"/>
        <w:gridCol w:w="874"/>
        <w:gridCol w:w="709"/>
        <w:gridCol w:w="786"/>
        <w:gridCol w:w="640"/>
      </w:tblGrid>
      <w:tr w:rsidR="00A37634" w:rsidRPr="00A37634" w14:paraId="70C11F09" w14:textId="77777777" w:rsidTr="007C7289">
        <w:trPr>
          <w:cantSplit/>
          <w:trHeight w:val="533"/>
          <w:tblHeader/>
          <w:jc w:val="center"/>
        </w:trPr>
        <w:tc>
          <w:tcPr>
            <w:tcW w:w="1271" w:type="dxa"/>
            <w:vMerge w:val="restart"/>
            <w:tcBorders>
              <w:top w:val="single" w:sz="4" w:space="0" w:color="auto"/>
              <w:left w:val="single" w:sz="4" w:space="0" w:color="auto"/>
              <w:right w:val="nil"/>
            </w:tcBorders>
            <w:noWrap/>
          </w:tcPr>
          <w:p w14:paraId="4B092C2D"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276" w:type="dxa"/>
            <w:vMerge w:val="restart"/>
            <w:tcBorders>
              <w:top w:val="single" w:sz="4" w:space="0" w:color="auto"/>
              <w:left w:val="nil"/>
              <w:right w:val="nil"/>
            </w:tcBorders>
            <w:noWrap/>
          </w:tcPr>
          <w:p w14:paraId="39F09BC1"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 xml:space="preserve">Routine DLC Reduction available SMD 2035, </w:t>
            </w:r>
            <w:proofErr w:type="spellStart"/>
            <w:r w:rsidRPr="00A37634">
              <w:rPr>
                <w:rFonts w:ascii="Calibri" w:eastAsia="Times New Roman" w:hAnsi="Calibri" w:cs="Calibri"/>
                <w:b/>
                <w:sz w:val="18"/>
                <w:szCs w:val="18"/>
                <w:lang w:val="en-AU"/>
              </w:rPr>
              <w:t>MWe</w:t>
            </w:r>
            <w:proofErr w:type="spellEnd"/>
            <w:r w:rsidRPr="00A37634">
              <w:rPr>
                <w:rFonts w:ascii="Calibri" w:eastAsia="Times New Roman" w:hAnsi="Calibri" w:cs="Calibri"/>
                <w:b/>
                <w:sz w:val="18"/>
                <w:szCs w:val="18"/>
                <w:lang w:val="en-AU"/>
              </w:rPr>
              <w:t xml:space="preserve"> (a)</w:t>
            </w:r>
          </w:p>
        </w:tc>
        <w:tc>
          <w:tcPr>
            <w:tcW w:w="917" w:type="dxa"/>
            <w:vMerge w:val="restart"/>
            <w:tcBorders>
              <w:top w:val="single" w:sz="4" w:space="0" w:color="auto"/>
              <w:left w:val="nil"/>
              <w:right w:val="nil"/>
            </w:tcBorders>
            <w:noWrap/>
          </w:tcPr>
          <w:p w14:paraId="5E941A0C"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Costs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72B81D84"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1C514505"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74D1923A"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26E3AADD"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tc>
        <w:tc>
          <w:tcPr>
            <w:tcW w:w="874" w:type="dxa"/>
            <w:vMerge w:val="restart"/>
            <w:tcBorders>
              <w:top w:val="single" w:sz="4" w:space="0" w:color="auto"/>
              <w:left w:val="single" w:sz="4" w:space="0" w:color="auto"/>
              <w:right w:val="single" w:sz="4" w:space="0" w:color="auto"/>
            </w:tcBorders>
          </w:tcPr>
          <w:p w14:paraId="071EBA6D"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 xml:space="preserve">% net </w:t>
            </w:r>
            <w:r w:rsidRPr="00A37634">
              <w:rPr>
                <w:rFonts w:ascii="Calibri" w:eastAsia="Times New Roman" w:hAnsi="Calibri" w:cs="Calibri"/>
                <w:b/>
                <w:sz w:val="18"/>
                <w:szCs w:val="18"/>
                <w:lang w:val="en-AU"/>
              </w:rPr>
              <w:br/>
              <w:t>national</w:t>
            </w:r>
            <w:r w:rsidRPr="00A37634">
              <w:rPr>
                <w:rFonts w:ascii="Calibri" w:eastAsia="Times New Roman" w:hAnsi="Calibri" w:cs="Calibri"/>
                <w:b/>
                <w:sz w:val="18"/>
                <w:szCs w:val="18"/>
                <w:lang w:val="en-AU"/>
              </w:rPr>
              <w:br/>
              <w:t>benefits</w:t>
            </w:r>
          </w:p>
        </w:tc>
        <w:tc>
          <w:tcPr>
            <w:tcW w:w="709" w:type="dxa"/>
            <w:vMerge w:val="restart"/>
            <w:tcBorders>
              <w:top w:val="single" w:sz="4" w:space="0" w:color="auto"/>
              <w:left w:val="single" w:sz="4" w:space="0" w:color="auto"/>
              <w:right w:val="single" w:sz="4" w:space="0" w:color="auto"/>
            </w:tcBorders>
            <w:noWrap/>
          </w:tcPr>
          <w:p w14:paraId="40E2AEC8"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B/C ratio</w:t>
            </w:r>
          </w:p>
        </w:tc>
        <w:tc>
          <w:tcPr>
            <w:tcW w:w="1426" w:type="dxa"/>
            <w:gridSpan w:val="2"/>
            <w:tcBorders>
              <w:top w:val="single" w:sz="4" w:space="0" w:color="auto"/>
              <w:left w:val="single" w:sz="4" w:space="0" w:color="auto"/>
              <w:bottom w:val="single" w:sz="4" w:space="0" w:color="auto"/>
              <w:right w:val="single" w:sz="4" w:space="0" w:color="auto"/>
            </w:tcBorders>
          </w:tcPr>
          <w:p w14:paraId="5357F790"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Without whole-sale price benefit</w:t>
            </w:r>
          </w:p>
        </w:tc>
      </w:tr>
      <w:tr w:rsidR="00A37634" w:rsidRPr="00A37634" w14:paraId="7AC469C8" w14:textId="77777777" w:rsidTr="007C7289">
        <w:trPr>
          <w:cantSplit/>
          <w:trHeight w:val="433"/>
          <w:tblHeader/>
          <w:jc w:val="center"/>
        </w:trPr>
        <w:tc>
          <w:tcPr>
            <w:tcW w:w="1271" w:type="dxa"/>
            <w:vMerge/>
            <w:tcBorders>
              <w:left w:val="single" w:sz="4" w:space="0" w:color="auto"/>
              <w:bottom w:val="single" w:sz="4" w:space="0" w:color="auto"/>
              <w:right w:val="nil"/>
            </w:tcBorders>
            <w:noWrap/>
          </w:tcPr>
          <w:p w14:paraId="3BD0804D"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276" w:type="dxa"/>
            <w:vMerge/>
            <w:tcBorders>
              <w:left w:val="nil"/>
              <w:bottom w:val="single" w:sz="4" w:space="0" w:color="auto"/>
              <w:right w:val="nil"/>
            </w:tcBorders>
            <w:noWrap/>
          </w:tcPr>
          <w:p w14:paraId="48D6D055"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917" w:type="dxa"/>
            <w:vMerge/>
            <w:tcBorders>
              <w:left w:val="nil"/>
              <w:bottom w:val="single" w:sz="4" w:space="0" w:color="auto"/>
              <w:right w:val="nil"/>
            </w:tcBorders>
            <w:noWrap/>
          </w:tcPr>
          <w:p w14:paraId="740315DB"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356A6F9D"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4F48BA05"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874" w:type="dxa"/>
            <w:vMerge/>
            <w:tcBorders>
              <w:left w:val="single" w:sz="4" w:space="0" w:color="auto"/>
              <w:bottom w:val="single" w:sz="4" w:space="0" w:color="auto"/>
              <w:right w:val="single" w:sz="4" w:space="0" w:color="auto"/>
            </w:tcBorders>
          </w:tcPr>
          <w:p w14:paraId="34151F71"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709" w:type="dxa"/>
            <w:vMerge/>
            <w:tcBorders>
              <w:left w:val="single" w:sz="4" w:space="0" w:color="auto"/>
              <w:bottom w:val="single" w:sz="4" w:space="0" w:color="auto"/>
              <w:right w:val="single" w:sz="4" w:space="0" w:color="auto"/>
            </w:tcBorders>
            <w:noWrap/>
          </w:tcPr>
          <w:p w14:paraId="296412C9"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786" w:type="dxa"/>
            <w:tcBorders>
              <w:top w:val="single" w:sz="4" w:space="0" w:color="auto"/>
              <w:left w:val="single" w:sz="4" w:space="0" w:color="auto"/>
              <w:bottom w:val="single" w:sz="4" w:space="0" w:color="auto"/>
              <w:right w:val="single" w:sz="4" w:space="0" w:color="auto"/>
            </w:tcBorders>
          </w:tcPr>
          <w:p w14:paraId="7F316F99"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w:t>
            </w:r>
          </w:p>
        </w:tc>
        <w:tc>
          <w:tcPr>
            <w:tcW w:w="640" w:type="dxa"/>
            <w:tcBorders>
              <w:top w:val="single" w:sz="4" w:space="0" w:color="auto"/>
              <w:left w:val="single" w:sz="4" w:space="0" w:color="auto"/>
              <w:bottom w:val="single" w:sz="4" w:space="0" w:color="auto"/>
              <w:right w:val="single" w:sz="4" w:space="0" w:color="auto"/>
            </w:tcBorders>
          </w:tcPr>
          <w:p w14:paraId="269344D5"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B/C ratio</w:t>
            </w:r>
          </w:p>
        </w:tc>
      </w:tr>
      <w:tr w:rsidR="00A37634" w:rsidRPr="00A37634" w14:paraId="2C378B8B" w14:textId="77777777" w:rsidTr="007C7289">
        <w:trPr>
          <w:trHeight w:val="255"/>
          <w:jc w:val="center"/>
        </w:trPr>
        <w:tc>
          <w:tcPr>
            <w:tcW w:w="1271" w:type="dxa"/>
            <w:tcBorders>
              <w:top w:val="single" w:sz="4" w:space="0" w:color="auto"/>
              <w:left w:val="single" w:sz="4" w:space="0" w:color="auto"/>
              <w:bottom w:val="nil"/>
              <w:right w:val="nil"/>
            </w:tcBorders>
            <w:noWrap/>
          </w:tcPr>
          <w:p w14:paraId="5C1B05A8"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 xml:space="preserve">Air </w:t>
            </w:r>
            <w:proofErr w:type="spellStart"/>
            <w:r w:rsidRPr="00A37634">
              <w:rPr>
                <w:rFonts w:ascii="Calibri" w:eastAsia="Times New Roman" w:hAnsi="Calibri" w:cs="Calibri"/>
                <w:sz w:val="18"/>
                <w:szCs w:val="18"/>
                <w:lang w:val="en-AU"/>
              </w:rPr>
              <w:t>Conds</w:t>
            </w:r>
            <w:proofErr w:type="spellEnd"/>
          </w:p>
        </w:tc>
        <w:tc>
          <w:tcPr>
            <w:tcW w:w="1276" w:type="dxa"/>
            <w:tcBorders>
              <w:top w:val="nil"/>
              <w:left w:val="single" w:sz="4" w:space="0" w:color="auto"/>
              <w:bottom w:val="nil"/>
              <w:right w:val="nil"/>
            </w:tcBorders>
            <w:shd w:val="clear" w:color="auto" w:fill="auto"/>
            <w:noWrap/>
            <w:vAlign w:val="bottom"/>
          </w:tcPr>
          <w:p w14:paraId="13B4DC5E"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3288</w:t>
            </w:r>
          </w:p>
        </w:tc>
        <w:tc>
          <w:tcPr>
            <w:tcW w:w="917" w:type="dxa"/>
            <w:tcBorders>
              <w:top w:val="nil"/>
              <w:left w:val="nil"/>
              <w:bottom w:val="nil"/>
              <w:right w:val="nil"/>
            </w:tcBorders>
            <w:shd w:val="clear" w:color="auto" w:fill="auto"/>
            <w:noWrap/>
            <w:vAlign w:val="bottom"/>
          </w:tcPr>
          <w:p w14:paraId="1C76CFED"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$514</w:t>
            </w:r>
          </w:p>
        </w:tc>
        <w:tc>
          <w:tcPr>
            <w:tcW w:w="1089" w:type="dxa"/>
            <w:tcBorders>
              <w:top w:val="nil"/>
              <w:left w:val="nil"/>
              <w:bottom w:val="nil"/>
              <w:right w:val="nil"/>
            </w:tcBorders>
            <w:shd w:val="clear" w:color="auto" w:fill="auto"/>
            <w:noWrap/>
            <w:vAlign w:val="bottom"/>
          </w:tcPr>
          <w:p w14:paraId="15137F68"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$3,210</w:t>
            </w:r>
          </w:p>
        </w:tc>
        <w:tc>
          <w:tcPr>
            <w:tcW w:w="1089" w:type="dxa"/>
            <w:tcBorders>
              <w:top w:val="nil"/>
              <w:left w:val="nil"/>
              <w:bottom w:val="nil"/>
              <w:right w:val="single" w:sz="4" w:space="0" w:color="auto"/>
            </w:tcBorders>
            <w:shd w:val="clear" w:color="auto" w:fill="auto"/>
            <w:noWrap/>
            <w:vAlign w:val="bottom"/>
          </w:tcPr>
          <w:p w14:paraId="280B7720"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$2,696</w:t>
            </w:r>
          </w:p>
        </w:tc>
        <w:tc>
          <w:tcPr>
            <w:tcW w:w="874" w:type="dxa"/>
            <w:tcBorders>
              <w:top w:val="nil"/>
              <w:left w:val="single" w:sz="4" w:space="0" w:color="auto"/>
              <w:bottom w:val="nil"/>
              <w:right w:val="single" w:sz="4" w:space="0" w:color="auto"/>
            </w:tcBorders>
            <w:shd w:val="clear" w:color="auto" w:fill="auto"/>
            <w:vAlign w:val="bottom"/>
          </w:tcPr>
          <w:p w14:paraId="5AE5BEE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63.1%</w:t>
            </w:r>
          </w:p>
        </w:tc>
        <w:tc>
          <w:tcPr>
            <w:tcW w:w="709" w:type="dxa"/>
            <w:tcBorders>
              <w:top w:val="nil"/>
              <w:left w:val="single" w:sz="4" w:space="0" w:color="auto"/>
              <w:bottom w:val="nil"/>
              <w:right w:val="single" w:sz="4" w:space="0" w:color="auto"/>
            </w:tcBorders>
            <w:shd w:val="clear" w:color="auto" w:fill="auto"/>
            <w:noWrap/>
            <w:vAlign w:val="bottom"/>
          </w:tcPr>
          <w:p w14:paraId="3AD940D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6.3</w:t>
            </w:r>
          </w:p>
        </w:tc>
        <w:tc>
          <w:tcPr>
            <w:tcW w:w="786" w:type="dxa"/>
            <w:tcBorders>
              <w:top w:val="nil"/>
              <w:left w:val="nil"/>
              <w:bottom w:val="nil"/>
              <w:right w:val="single" w:sz="4" w:space="0" w:color="auto"/>
            </w:tcBorders>
            <w:shd w:val="clear" w:color="auto" w:fill="auto"/>
            <w:vAlign w:val="bottom"/>
          </w:tcPr>
          <w:p w14:paraId="3B99564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$2,367</w:t>
            </w:r>
          </w:p>
        </w:tc>
        <w:tc>
          <w:tcPr>
            <w:tcW w:w="640" w:type="dxa"/>
            <w:tcBorders>
              <w:top w:val="nil"/>
              <w:left w:val="single" w:sz="4" w:space="0" w:color="auto"/>
              <w:bottom w:val="nil"/>
              <w:right w:val="single" w:sz="4" w:space="0" w:color="auto"/>
            </w:tcBorders>
            <w:shd w:val="clear" w:color="auto" w:fill="auto"/>
            <w:vAlign w:val="bottom"/>
          </w:tcPr>
          <w:p w14:paraId="04903B1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5.6</w:t>
            </w:r>
          </w:p>
        </w:tc>
      </w:tr>
      <w:tr w:rsidR="00A37634" w:rsidRPr="00A37634" w14:paraId="664E6870" w14:textId="77777777" w:rsidTr="007C7289">
        <w:trPr>
          <w:trHeight w:val="255"/>
          <w:jc w:val="center"/>
        </w:trPr>
        <w:tc>
          <w:tcPr>
            <w:tcW w:w="1271" w:type="dxa"/>
            <w:tcBorders>
              <w:top w:val="nil"/>
              <w:left w:val="single" w:sz="4" w:space="0" w:color="auto"/>
              <w:bottom w:val="nil"/>
              <w:right w:val="nil"/>
            </w:tcBorders>
            <w:noWrap/>
          </w:tcPr>
          <w:p w14:paraId="69F11116"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PP Controllers</w:t>
            </w:r>
          </w:p>
        </w:tc>
        <w:tc>
          <w:tcPr>
            <w:tcW w:w="1276" w:type="dxa"/>
            <w:tcBorders>
              <w:top w:val="nil"/>
              <w:left w:val="single" w:sz="4" w:space="0" w:color="auto"/>
              <w:bottom w:val="nil"/>
              <w:right w:val="nil"/>
            </w:tcBorders>
            <w:shd w:val="clear" w:color="auto" w:fill="auto"/>
            <w:noWrap/>
            <w:vAlign w:val="bottom"/>
          </w:tcPr>
          <w:p w14:paraId="60295EAB"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500</w:t>
            </w:r>
          </w:p>
        </w:tc>
        <w:tc>
          <w:tcPr>
            <w:tcW w:w="917" w:type="dxa"/>
            <w:tcBorders>
              <w:top w:val="nil"/>
              <w:left w:val="nil"/>
              <w:bottom w:val="nil"/>
              <w:right w:val="nil"/>
            </w:tcBorders>
            <w:shd w:val="clear" w:color="auto" w:fill="auto"/>
            <w:noWrap/>
            <w:vAlign w:val="bottom"/>
          </w:tcPr>
          <w:p w14:paraId="2E21B29E"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$119</w:t>
            </w:r>
          </w:p>
        </w:tc>
        <w:tc>
          <w:tcPr>
            <w:tcW w:w="1089" w:type="dxa"/>
            <w:tcBorders>
              <w:top w:val="nil"/>
              <w:left w:val="nil"/>
              <w:bottom w:val="nil"/>
              <w:right w:val="nil"/>
            </w:tcBorders>
            <w:shd w:val="clear" w:color="auto" w:fill="auto"/>
            <w:noWrap/>
            <w:vAlign w:val="bottom"/>
          </w:tcPr>
          <w:p w14:paraId="5DCE31D6"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$377</w:t>
            </w:r>
          </w:p>
        </w:tc>
        <w:tc>
          <w:tcPr>
            <w:tcW w:w="1089" w:type="dxa"/>
            <w:tcBorders>
              <w:top w:val="nil"/>
              <w:left w:val="nil"/>
              <w:bottom w:val="nil"/>
              <w:right w:val="single" w:sz="4" w:space="0" w:color="auto"/>
            </w:tcBorders>
            <w:shd w:val="clear" w:color="auto" w:fill="auto"/>
            <w:noWrap/>
            <w:vAlign w:val="bottom"/>
          </w:tcPr>
          <w:p w14:paraId="4A5AC1CC"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$258</w:t>
            </w:r>
          </w:p>
        </w:tc>
        <w:tc>
          <w:tcPr>
            <w:tcW w:w="874" w:type="dxa"/>
            <w:tcBorders>
              <w:top w:val="nil"/>
              <w:left w:val="single" w:sz="4" w:space="0" w:color="auto"/>
              <w:bottom w:val="nil"/>
              <w:right w:val="single" w:sz="4" w:space="0" w:color="auto"/>
            </w:tcBorders>
            <w:shd w:val="clear" w:color="auto" w:fill="auto"/>
            <w:vAlign w:val="bottom"/>
          </w:tcPr>
          <w:p w14:paraId="16C98DE6"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6.0%</w:t>
            </w:r>
          </w:p>
        </w:tc>
        <w:tc>
          <w:tcPr>
            <w:tcW w:w="709" w:type="dxa"/>
            <w:tcBorders>
              <w:top w:val="nil"/>
              <w:left w:val="single" w:sz="4" w:space="0" w:color="auto"/>
              <w:bottom w:val="nil"/>
              <w:right w:val="single" w:sz="4" w:space="0" w:color="auto"/>
            </w:tcBorders>
            <w:shd w:val="clear" w:color="auto" w:fill="auto"/>
            <w:noWrap/>
            <w:vAlign w:val="bottom"/>
          </w:tcPr>
          <w:p w14:paraId="4D555B6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3.2</w:t>
            </w:r>
          </w:p>
        </w:tc>
        <w:tc>
          <w:tcPr>
            <w:tcW w:w="786" w:type="dxa"/>
            <w:tcBorders>
              <w:top w:val="nil"/>
              <w:left w:val="nil"/>
              <w:bottom w:val="nil"/>
              <w:right w:val="single" w:sz="4" w:space="0" w:color="auto"/>
            </w:tcBorders>
            <w:shd w:val="clear" w:color="auto" w:fill="auto"/>
            <w:vAlign w:val="bottom"/>
          </w:tcPr>
          <w:p w14:paraId="5EA0C77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$241</w:t>
            </w:r>
          </w:p>
        </w:tc>
        <w:tc>
          <w:tcPr>
            <w:tcW w:w="640" w:type="dxa"/>
            <w:tcBorders>
              <w:top w:val="nil"/>
              <w:left w:val="single" w:sz="4" w:space="0" w:color="auto"/>
              <w:bottom w:val="nil"/>
              <w:right w:val="single" w:sz="4" w:space="0" w:color="auto"/>
            </w:tcBorders>
            <w:shd w:val="clear" w:color="auto" w:fill="auto"/>
            <w:vAlign w:val="bottom"/>
          </w:tcPr>
          <w:p w14:paraId="59106DB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3.0</w:t>
            </w:r>
          </w:p>
        </w:tc>
      </w:tr>
      <w:tr w:rsidR="00A37634" w:rsidRPr="00A37634" w14:paraId="2D4CFAB6" w14:textId="77777777" w:rsidTr="007C7289">
        <w:trPr>
          <w:trHeight w:val="255"/>
          <w:jc w:val="center"/>
        </w:trPr>
        <w:tc>
          <w:tcPr>
            <w:tcW w:w="1271" w:type="dxa"/>
            <w:tcBorders>
              <w:top w:val="nil"/>
              <w:left w:val="single" w:sz="4" w:space="0" w:color="auto"/>
              <w:bottom w:val="nil"/>
              <w:right w:val="nil"/>
            </w:tcBorders>
            <w:noWrap/>
          </w:tcPr>
          <w:p w14:paraId="690971CB"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Water heaters</w:t>
            </w:r>
          </w:p>
        </w:tc>
        <w:tc>
          <w:tcPr>
            <w:tcW w:w="1276" w:type="dxa"/>
            <w:tcBorders>
              <w:top w:val="nil"/>
              <w:left w:val="single" w:sz="4" w:space="0" w:color="auto"/>
              <w:bottom w:val="nil"/>
              <w:right w:val="nil"/>
            </w:tcBorders>
            <w:shd w:val="clear" w:color="auto" w:fill="auto"/>
            <w:noWrap/>
            <w:vAlign w:val="bottom"/>
          </w:tcPr>
          <w:p w14:paraId="2A5F622C"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617</w:t>
            </w:r>
          </w:p>
        </w:tc>
        <w:tc>
          <w:tcPr>
            <w:tcW w:w="917" w:type="dxa"/>
            <w:tcBorders>
              <w:top w:val="nil"/>
              <w:left w:val="nil"/>
              <w:bottom w:val="nil"/>
              <w:right w:val="nil"/>
            </w:tcBorders>
            <w:shd w:val="clear" w:color="auto" w:fill="auto"/>
            <w:noWrap/>
            <w:vAlign w:val="bottom"/>
          </w:tcPr>
          <w:p w14:paraId="2845FB4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$370</w:t>
            </w:r>
          </w:p>
        </w:tc>
        <w:tc>
          <w:tcPr>
            <w:tcW w:w="1089" w:type="dxa"/>
            <w:tcBorders>
              <w:top w:val="nil"/>
              <w:left w:val="nil"/>
              <w:bottom w:val="nil"/>
              <w:right w:val="nil"/>
            </w:tcBorders>
            <w:shd w:val="clear" w:color="auto" w:fill="auto"/>
            <w:noWrap/>
            <w:vAlign w:val="bottom"/>
          </w:tcPr>
          <w:p w14:paraId="1FC52BE8"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$848</w:t>
            </w:r>
          </w:p>
        </w:tc>
        <w:tc>
          <w:tcPr>
            <w:tcW w:w="1089" w:type="dxa"/>
            <w:tcBorders>
              <w:top w:val="nil"/>
              <w:left w:val="nil"/>
              <w:bottom w:val="nil"/>
              <w:right w:val="single" w:sz="4" w:space="0" w:color="auto"/>
            </w:tcBorders>
            <w:shd w:val="clear" w:color="auto" w:fill="auto"/>
            <w:noWrap/>
            <w:vAlign w:val="bottom"/>
          </w:tcPr>
          <w:p w14:paraId="6A3232B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$478</w:t>
            </w:r>
          </w:p>
        </w:tc>
        <w:tc>
          <w:tcPr>
            <w:tcW w:w="874" w:type="dxa"/>
            <w:tcBorders>
              <w:top w:val="nil"/>
              <w:left w:val="single" w:sz="4" w:space="0" w:color="auto"/>
              <w:bottom w:val="nil"/>
              <w:right w:val="single" w:sz="4" w:space="0" w:color="auto"/>
            </w:tcBorders>
            <w:shd w:val="clear" w:color="auto" w:fill="auto"/>
            <w:vAlign w:val="bottom"/>
          </w:tcPr>
          <w:p w14:paraId="22D011E9"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11.2%</w:t>
            </w:r>
          </w:p>
        </w:tc>
        <w:tc>
          <w:tcPr>
            <w:tcW w:w="709" w:type="dxa"/>
            <w:tcBorders>
              <w:top w:val="nil"/>
              <w:left w:val="single" w:sz="4" w:space="0" w:color="auto"/>
              <w:bottom w:val="nil"/>
              <w:right w:val="single" w:sz="4" w:space="0" w:color="auto"/>
            </w:tcBorders>
            <w:shd w:val="clear" w:color="auto" w:fill="auto"/>
            <w:noWrap/>
            <w:vAlign w:val="bottom"/>
          </w:tcPr>
          <w:p w14:paraId="234BEE6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2.3</w:t>
            </w:r>
          </w:p>
        </w:tc>
        <w:tc>
          <w:tcPr>
            <w:tcW w:w="786" w:type="dxa"/>
            <w:tcBorders>
              <w:top w:val="nil"/>
              <w:left w:val="nil"/>
              <w:bottom w:val="nil"/>
              <w:right w:val="single" w:sz="4" w:space="0" w:color="auto"/>
            </w:tcBorders>
            <w:shd w:val="clear" w:color="auto" w:fill="auto"/>
            <w:vAlign w:val="bottom"/>
          </w:tcPr>
          <w:p w14:paraId="33061906"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$460</w:t>
            </w:r>
          </w:p>
        </w:tc>
        <w:tc>
          <w:tcPr>
            <w:tcW w:w="640" w:type="dxa"/>
            <w:tcBorders>
              <w:top w:val="nil"/>
              <w:left w:val="single" w:sz="4" w:space="0" w:color="auto"/>
              <w:bottom w:val="nil"/>
              <w:right w:val="single" w:sz="4" w:space="0" w:color="auto"/>
            </w:tcBorders>
            <w:shd w:val="clear" w:color="auto" w:fill="auto"/>
            <w:vAlign w:val="bottom"/>
          </w:tcPr>
          <w:p w14:paraId="0BFABDB8"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2.2</w:t>
            </w:r>
          </w:p>
        </w:tc>
      </w:tr>
      <w:tr w:rsidR="00A37634" w:rsidRPr="00A37634" w14:paraId="4098CF54" w14:textId="77777777" w:rsidTr="007C7289">
        <w:trPr>
          <w:trHeight w:val="255"/>
          <w:jc w:val="center"/>
        </w:trPr>
        <w:tc>
          <w:tcPr>
            <w:tcW w:w="1271" w:type="dxa"/>
            <w:tcBorders>
              <w:top w:val="nil"/>
              <w:left w:val="single" w:sz="4" w:space="0" w:color="auto"/>
              <w:bottom w:val="nil"/>
              <w:right w:val="nil"/>
            </w:tcBorders>
            <w:noWrap/>
          </w:tcPr>
          <w:p w14:paraId="7D3ADACD"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EV chargers</w:t>
            </w:r>
          </w:p>
        </w:tc>
        <w:tc>
          <w:tcPr>
            <w:tcW w:w="1276" w:type="dxa"/>
            <w:tcBorders>
              <w:top w:val="nil"/>
              <w:left w:val="single" w:sz="4" w:space="0" w:color="auto"/>
              <w:bottom w:val="nil"/>
              <w:right w:val="nil"/>
            </w:tcBorders>
            <w:shd w:val="clear" w:color="auto" w:fill="auto"/>
            <w:noWrap/>
            <w:vAlign w:val="bottom"/>
          </w:tcPr>
          <w:p w14:paraId="55E8DDA3"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785</w:t>
            </w:r>
          </w:p>
        </w:tc>
        <w:tc>
          <w:tcPr>
            <w:tcW w:w="917" w:type="dxa"/>
            <w:tcBorders>
              <w:top w:val="nil"/>
              <w:left w:val="nil"/>
              <w:bottom w:val="nil"/>
              <w:right w:val="nil"/>
            </w:tcBorders>
            <w:shd w:val="clear" w:color="auto" w:fill="auto"/>
            <w:noWrap/>
            <w:vAlign w:val="bottom"/>
          </w:tcPr>
          <w:p w14:paraId="618B9718"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$211</w:t>
            </w:r>
          </w:p>
        </w:tc>
        <w:tc>
          <w:tcPr>
            <w:tcW w:w="1089" w:type="dxa"/>
            <w:tcBorders>
              <w:top w:val="nil"/>
              <w:left w:val="nil"/>
              <w:bottom w:val="nil"/>
              <w:right w:val="nil"/>
            </w:tcBorders>
            <w:shd w:val="clear" w:color="auto" w:fill="auto"/>
            <w:noWrap/>
            <w:vAlign w:val="bottom"/>
          </w:tcPr>
          <w:p w14:paraId="43306E9A"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$1,050</w:t>
            </w:r>
          </w:p>
        </w:tc>
        <w:tc>
          <w:tcPr>
            <w:tcW w:w="1089" w:type="dxa"/>
            <w:tcBorders>
              <w:top w:val="nil"/>
              <w:left w:val="nil"/>
              <w:bottom w:val="nil"/>
              <w:right w:val="single" w:sz="4" w:space="0" w:color="auto"/>
            </w:tcBorders>
            <w:shd w:val="clear" w:color="auto" w:fill="auto"/>
            <w:noWrap/>
            <w:vAlign w:val="bottom"/>
          </w:tcPr>
          <w:p w14:paraId="340FDF97"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$839</w:t>
            </w:r>
          </w:p>
        </w:tc>
        <w:tc>
          <w:tcPr>
            <w:tcW w:w="874" w:type="dxa"/>
            <w:tcBorders>
              <w:top w:val="nil"/>
              <w:left w:val="single" w:sz="4" w:space="0" w:color="auto"/>
              <w:bottom w:val="nil"/>
              <w:right w:val="single" w:sz="4" w:space="0" w:color="auto"/>
            </w:tcBorders>
            <w:shd w:val="clear" w:color="auto" w:fill="auto"/>
            <w:vAlign w:val="bottom"/>
          </w:tcPr>
          <w:p w14:paraId="60016EEF"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19.6%</w:t>
            </w:r>
          </w:p>
        </w:tc>
        <w:tc>
          <w:tcPr>
            <w:tcW w:w="709" w:type="dxa"/>
            <w:tcBorders>
              <w:top w:val="nil"/>
              <w:left w:val="single" w:sz="4" w:space="0" w:color="auto"/>
              <w:bottom w:val="nil"/>
              <w:right w:val="single" w:sz="4" w:space="0" w:color="auto"/>
            </w:tcBorders>
            <w:shd w:val="clear" w:color="auto" w:fill="auto"/>
            <w:noWrap/>
            <w:vAlign w:val="bottom"/>
          </w:tcPr>
          <w:p w14:paraId="3209A0D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5.0</w:t>
            </w:r>
          </w:p>
        </w:tc>
        <w:tc>
          <w:tcPr>
            <w:tcW w:w="786" w:type="dxa"/>
            <w:tcBorders>
              <w:top w:val="nil"/>
              <w:left w:val="nil"/>
              <w:bottom w:val="nil"/>
              <w:right w:val="single" w:sz="4" w:space="0" w:color="auto"/>
            </w:tcBorders>
            <w:shd w:val="clear" w:color="auto" w:fill="auto"/>
            <w:vAlign w:val="bottom"/>
          </w:tcPr>
          <w:p w14:paraId="366B2B2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$576</w:t>
            </w:r>
          </w:p>
        </w:tc>
        <w:tc>
          <w:tcPr>
            <w:tcW w:w="640" w:type="dxa"/>
            <w:tcBorders>
              <w:top w:val="nil"/>
              <w:left w:val="single" w:sz="4" w:space="0" w:color="auto"/>
              <w:bottom w:val="nil"/>
              <w:right w:val="single" w:sz="4" w:space="0" w:color="auto"/>
            </w:tcBorders>
            <w:shd w:val="clear" w:color="auto" w:fill="auto"/>
            <w:vAlign w:val="bottom"/>
          </w:tcPr>
          <w:p w14:paraId="48640822"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3.7</w:t>
            </w:r>
          </w:p>
        </w:tc>
      </w:tr>
      <w:tr w:rsidR="00A37634" w:rsidRPr="00A37634" w14:paraId="5273E20B" w14:textId="77777777" w:rsidTr="007C7289">
        <w:trPr>
          <w:trHeight w:val="255"/>
          <w:jc w:val="center"/>
        </w:trPr>
        <w:tc>
          <w:tcPr>
            <w:tcW w:w="1271" w:type="dxa"/>
            <w:tcBorders>
              <w:top w:val="single" w:sz="4" w:space="0" w:color="auto"/>
              <w:left w:val="single" w:sz="4" w:space="0" w:color="auto"/>
              <w:bottom w:val="single" w:sz="4" w:space="0" w:color="auto"/>
              <w:right w:val="nil"/>
            </w:tcBorders>
            <w:noWrap/>
          </w:tcPr>
          <w:p w14:paraId="41568E3A"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All products</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309B103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5190</w:t>
            </w:r>
          </w:p>
        </w:tc>
        <w:tc>
          <w:tcPr>
            <w:tcW w:w="917" w:type="dxa"/>
            <w:tcBorders>
              <w:top w:val="single" w:sz="4" w:space="0" w:color="auto"/>
              <w:left w:val="nil"/>
              <w:bottom w:val="single" w:sz="4" w:space="0" w:color="auto"/>
              <w:right w:val="nil"/>
            </w:tcBorders>
            <w:shd w:val="clear" w:color="auto" w:fill="auto"/>
            <w:noWrap/>
            <w:vAlign w:val="bottom"/>
          </w:tcPr>
          <w:p w14:paraId="47C95928"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$1,213</w:t>
            </w:r>
          </w:p>
        </w:tc>
        <w:tc>
          <w:tcPr>
            <w:tcW w:w="1089" w:type="dxa"/>
            <w:tcBorders>
              <w:top w:val="single" w:sz="4" w:space="0" w:color="auto"/>
              <w:left w:val="nil"/>
              <w:bottom w:val="single" w:sz="4" w:space="0" w:color="auto"/>
              <w:right w:val="nil"/>
            </w:tcBorders>
            <w:shd w:val="clear" w:color="auto" w:fill="auto"/>
            <w:noWrap/>
            <w:vAlign w:val="bottom"/>
          </w:tcPr>
          <w:p w14:paraId="126E2B33"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$5,484</w:t>
            </w:r>
          </w:p>
        </w:tc>
        <w:tc>
          <w:tcPr>
            <w:tcW w:w="1089" w:type="dxa"/>
            <w:tcBorders>
              <w:top w:val="single" w:sz="4" w:space="0" w:color="auto"/>
              <w:left w:val="nil"/>
              <w:bottom w:val="single" w:sz="4" w:space="0" w:color="auto"/>
              <w:right w:val="single" w:sz="4" w:space="0" w:color="auto"/>
            </w:tcBorders>
            <w:shd w:val="clear" w:color="auto" w:fill="auto"/>
            <w:noWrap/>
            <w:vAlign w:val="bottom"/>
          </w:tcPr>
          <w:p w14:paraId="277C0AF0"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$4,271</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14:paraId="5CBC50A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E409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4.5</w:t>
            </w:r>
          </w:p>
        </w:tc>
        <w:tc>
          <w:tcPr>
            <w:tcW w:w="786" w:type="dxa"/>
            <w:tcBorders>
              <w:top w:val="single" w:sz="4" w:space="0" w:color="auto"/>
              <w:left w:val="nil"/>
              <w:bottom w:val="single" w:sz="4" w:space="0" w:color="auto"/>
              <w:right w:val="single" w:sz="4" w:space="0" w:color="auto"/>
            </w:tcBorders>
            <w:shd w:val="clear" w:color="auto" w:fill="auto"/>
            <w:vAlign w:val="bottom"/>
          </w:tcPr>
          <w:p w14:paraId="03B02C8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$3,644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tcPr>
          <w:p w14:paraId="18AA25AB"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4.0</w:t>
            </w:r>
          </w:p>
        </w:tc>
      </w:tr>
    </w:tbl>
    <w:p w14:paraId="42B3A06E" w14:textId="77777777" w:rsidR="00A37634" w:rsidRPr="00A37634" w:rsidRDefault="00A37634" w:rsidP="00A37634">
      <w:pPr>
        <w:spacing w:after="0" w:line="278" w:lineRule="auto"/>
        <w:jc w:val="center"/>
        <w:rPr>
          <w:rFonts w:ascii="Calibri" w:eastAsia="Cambria" w:hAnsi="Calibri" w:cs="Calibri"/>
          <w:sz w:val="16"/>
          <w:szCs w:val="24"/>
          <w:lang w:val="en-AU"/>
        </w:rPr>
      </w:pPr>
      <w:r w:rsidRPr="00A37634">
        <w:rPr>
          <w:rFonts w:ascii="Calibri" w:eastAsia="Cambria" w:hAnsi="Calibri" w:cs="Calibri"/>
          <w:sz w:val="16"/>
          <w:szCs w:val="24"/>
          <w:lang w:val="en-AU"/>
        </w:rPr>
        <w:t xml:space="preserve">(a) 50% of total </w:t>
      </w:r>
      <w:proofErr w:type="spellStart"/>
      <w:r w:rsidRPr="00A37634">
        <w:rPr>
          <w:rFonts w:ascii="Calibri" w:eastAsia="Cambria" w:hAnsi="Calibri" w:cs="Calibri"/>
          <w:sz w:val="16"/>
          <w:szCs w:val="24"/>
          <w:lang w:val="en-AU"/>
        </w:rPr>
        <w:t>MWe</w:t>
      </w:r>
      <w:proofErr w:type="spellEnd"/>
      <w:r w:rsidRPr="00A37634">
        <w:rPr>
          <w:rFonts w:ascii="Calibri" w:eastAsia="Cambria" w:hAnsi="Calibri" w:cs="Calibri"/>
          <w:sz w:val="16"/>
          <w:szCs w:val="24"/>
          <w:lang w:val="en-AU"/>
        </w:rPr>
        <w:t xml:space="preserve"> of participating DR-capable products. (</w:t>
      </w:r>
      <w:proofErr w:type="gramStart"/>
      <w:r w:rsidRPr="00A37634">
        <w:rPr>
          <w:rFonts w:ascii="Calibri" w:eastAsia="Cambria" w:hAnsi="Calibri" w:cs="Calibri"/>
          <w:sz w:val="16"/>
          <w:szCs w:val="24"/>
          <w:lang w:val="en-AU"/>
        </w:rPr>
        <w:t>b</w:t>
      </w:r>
      <w:proofErr w:type="gramEnd"/>
      <w:r w:rsidRPr="00A37634">
        <w:rPr>
          <w:rFonts w:ascii="Calibri" w:eastAsia="Cambria" w:hAnsi="Calibri" w:cs="Calibri"/>
          <w:sz w:val="16"/>
          <w:szCs w:val="24"/>
          <w:lang w:val="en-AU"/>
        </w:rPr>
        <w:t xml:space="preserve">) NPV at 7% discount rate for costs and benefits 2021-2035 </w:t>
      </w:r>
    </w:p>
    <w:p w14:paraId="12A814B0" w14:textId="77777777" w:rsidR="003221FC" w:rsidRDefault="003221FC">
      <w:pPr>
        <w:rPr>
          <w:rFonts w:ascii="Calibri" w:eastAsia="Cambria" w:hAnsi="Calibri" w:cs="Calibri"/>
          <w:b/>
          <w:bCs/>
          <w:sz w:val="20"/>
          <w:szCs w:val="16"/>
          <w:lang w:val="en-AU"/>
        </w:rPr>
      </w:pPr>
      <w:bookmarkStart w:id="93" w:name="_Ref14778904"/>
      <w:bookmarkStart w:id="94" w:name="_Toc16501002"/>
      <w:bookmarkEnd w:id="87"/>
      <w:r>
        <w:rPr>
          <w:rFonts w:ascii="Calibri" w:eastAsia="Cambria" w:hAnsi="Calibri" w:cs="Calibri"/>
          <w:b/>
          <w:bCs/>
          <w:sz w:val="20"/>
          <w:szCs w:val="16"/>
          <w:lang w:val="en-AU"/>
        </w:rPr>
        <w:br w:type="page"/>
      </w:r>
    </w:p>
    <w:p w14:paraId="001E6D0A" w14:textId="599805D1" w:rsidR="00A37634" w:rsidRPr="00A37634" w:rsidRDefault="00A37634" w:rsidP="00A37634">
      <w:pPr>
        <w:spacing w:before="240" w:after="120" w:line="240" w:lineRule="auto"/>
        <w:jc w:val="center"/>
        <w:rPr>
          <w:rFonts w:ascii="Calibri" w:eastAsia="Cambria" w:hAnsi="Calibri" w:cs="Calibri"/>
          <w:b/>
          <w:bCs/>
          <w:sz w:val="20"/>
          <w:szCs w:val="16"/>
          <w:lang w:val="en-AU"/>
        </w:rPr>
      </w:pPr>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11</w:t>
      </w:r>
      <w:r w:rsidRPr="00A37634">
        <w:rPr>
          <w:rFonts w:ascii="Calibri" w:eastAsia="Cambria" w:hAnsi="Calibri" w:cs="Calibri"/>
          <w:b/>
          <w:bCs/>
          <w:noProof/>
          <w:sz w:val="20"/>
          <w:szCs w:val="16"/>
          <w:lang w:val="en-AU"/>
        </w:rPr>
        <w:fldChar w:fldCharType="end"/>
      </w:r>
      <w:bookmarkEnd w:id="93"/>
      <w:r w:rsidRPr="00A37634">
        <w:rPr>
          <w:rFonts w:ascii="Calibri" w:eastAsia="Cambria" w:hAnsi="Calibri" w:cs="Calibri"/>
          <w:b/>
          <w:bCs/>
          <w:sz w:val="20"/>
          <w:szCs w:val="16"/>
          <w:lang w:val="en-AU"/>
        </w:rPr>
        <w:t>. Projected costs and benefits by appliance, New Zealand (low activation)</w:t>
      </w:r>
      <w:bookmarkEnd w:id="94"/>
    </w:p>
    <w:tbl>
      <w:tblPr>
        <w:tblW w:w="7225" w:type="dxa"/>
        <w:jc w:val="center"/>
        <w:tblLayout w:type="fixed"/>
        <w:tblCellMar>
          <w:left w:w="0" w:type="dxa"/>
          <w:right w:w="0" w:type="dxa"/>
        </w:tblCellMar>
        <w:tblLook w:val="0000" w:firstRow="0" w:lastRow="0" w:firstColumn="0" w:lastColumn="0" w:noHBand="0" w:noVBand="0"/>
      </w:tblPr>
      <w:tblGrid>
        <w:gridCol w:w="1271"/>
        <w:gridCol w:w="1276"/>
        <w:gridCol w:w="917"/>
        <w:gridCol w:w="1089"/>
        <w:gridCol w:w="1089"/>
        <w:gridCol w:w="874"/>
        <w:gridCol w:w="709"/>
      </w:tblGrid>
      <w:tr w:rsidR="00A37634" w:rsidRPr="00A37634" w14:paraId="30F53670" w14:textId="77777777" w:rsidTr="007C7289">
        <w:trPr>
          <w:cantSplit/>
          <w:trHeight w:val="533"/>
          <w:tblHeader/>
          <w:jc w:val="center"/>
        </w:trPr>
        <w:tc>
          <w:tcPr>
            <w:tcW w:w="1271" w:type="dxa"/>
            <w:vMerge w:val="restart"/>
            <w:tcBorders>
              <w:top w:val="single" w:sz="4" w:space="0" w:color="auto"/>
              <w:left w:val="single" w:sz="4" w:space="0" w:color="auto"/>
              <w:right w:val="nil"/>
            </w:tcBorders>
            <w:noWrap/>
          </w:tcPr>
          <w:p w14:paraId="2A49BA47"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276" w:type="dxa"/>
            <w:vMerge w:val="restart"/>
            <w:tcBorders>
              <w:top w:val="single" w:sz="4" w:space="0" w:color="auto"/>
              <w:left w:val="nil"/>
              <w:right w:val="nil"/>
            </w:tcBorders>
            <w:noWrap/>
          </w:tcPr>
          <w:p w14:paraId="697BFE9F"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 xml:space="preserve">Routine DLC Reduction available SMD 2035, </w:t>
            </w:r>
            <w:proofErr w:type="spellStart"/>
            <w:r w:rsidRPr="00A37634">
              <w:rPr>
                <w:rFonts w:ascii="Calibri" w:eastAsia="Times New Roman" w:hAnsi="Calibri" w:cs="Calibri"/>
                <w:b/>
                <w:sz w:val="18"/>
                <w:szCs w:val="18"/>
                <w:lang w:val="en-AU"/>
              </w:rPr>
              <w:t>MWe</w:t>
            </w:r>
            <w:proofErr w:type="spellEnd"/>
            <w:r w:rsidRPr="00A37634">
              <w:rPr>
                <w:rFonts w:ascii="Calibri" w:eastAsia="Times New Roman" w:hAnsi="Calibri" w:cs="Calibri"/>
                <w:b/>
                <w:sz w:val="18"/>
                <w:szCs w:val="18"/>
                <w:lang w:val="en-AU"/>
              </w:rPr>
              <w:t xml:space="preserve"> (a)</w:t>
            </w:r>
          </w:p>
        </w:tc>
        <w:tc>
          <w:tcPr>
            <w:tcW w:w="917" w:type="dxa"/>
            <w:vMerge w:val="restart"/>
            <w:tcBorders>
              <w:top w:val="single" w:sz="4" w:space="0" w:color="auto"/>
              <w:left w:val="nil"/>
              <w:right w:val="nil"/>
            </w:tcBorders>
            <w:noWrap/>
          </w:tcPr>
          <w:p w14:paraId="54E41744"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Costs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4D5D6F0F"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147A66BF"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36C46E20"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28C19911"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tc>
        <w:tc>
          <w:tcPr>
            <w:tcW w:w="874" w:type="dxa"/>
            <w:vMerge w:val="restart"/>
            <w:tcBorders>
              <w:top w:val="single" w:sz="4" w:space="0" w:color="auto"/>
              <w:left w:val="single" w:sz="4" w:space="0" w:color="auto"/>
              <w:right w:val="single" w:sz="4" w:space="0" w:color="auto"/>
            </w:tcBorders>
          </w:tcPr>
          <w:p w14:paraId="2619FA0B"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 xml:space="preserve">% net </w:t>
            </w:r>
            <w:r w:rsidRPr="00A37634">
              <w:rPr>
                <w:rFonts w:ascii="Calibri" w:eastAsia="Times New Roman" w:hAnsi="Calibri" w:cs="Calibri"/>
                <w:b/>
                <w:sz w:val="18"/>
                <w:szCs w:val="18"/>
                <w:lang w:val="en-AU"/>
              </w:rPr>
              <w:br/>
              <w:t>national</w:t>
            </w:r>
            <w:r w:rsidRPr="00A37634">
              <w:rPr>
                <w:rFonts w:ascii="Calibri" w:eastAsia="Times New Roman" w:hAnsi="Calibri" w:cs="Calibri"/>
                <w:b/>
                <w:sz w:val="18"/>
                <w:szCs w:val="18"/>
                <w:lang w:val="en-AU"/>
              </w:rPr>
              <w:br/>
              <w:t>benefits</w:t>
            </w:r>
          </w:p>
        </w:tc>
        <w:tc>
          <w:tcPr>
            <w:tcW w:w="709" w:type="dxa"/>
            <w:vMerge w:val="restart"/>
            <w:tcBorders>
              <w:top w:val="single" w:sz="4" w:space="0" w:color="auto"/>
              <w:left w:val="single" w:sz="4" w:space="0" w:color="auto"/>
              <w:right w:val="single" w:sz="4" w:space="0" w:color="auto"/>
            </w:tcBorders>
            <w:noWrap/>
          </w:tcPr>
          <w:p w14:paraId="4D9A3BCE"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B/C ratio</w:t>
            </w:r>
          </w:p>
        </w:tc>
      </w:tr>
      <w:tr w:rsidR="00A37634" w:rsidRPr="00A37634" w14:paraId="0F548667" w14:textId="77777777" w:rsidTr="007C7289">
        <w:trPr>
          <w:cantSplit/>
          <w:trHeight w:val="433"/>
          <w:tblHeader/>
          <w:jc w:val="center"/>
        </w:trPr>
        <w:tc>
          <w:tcPr>
            <w:tcW w:w="1271" w:type="dxa"/>
            <w:vMerge/>
            <w:tcBorders>
              <w:left w:val="single" w:sz="4" w:space="0" w:color="auto"/>
              <w:bottom w:val="single" w:sz="4" w:space="0" w:color="auto"/>
              <w:right w:val="nil"/>
            </w:tcBorders>
            <w:noWrap/>
          </w:tcPr>
          <w:p w14:paraId="4A36300B"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276" w:type="dxa"/>
            <w:vMerge/>
            <w:tcBorders>
              <w:left w:val="nil"/>
              <w:bottom w:val="single" w:sz="4" w:space="0" w:color="auto"/>
              <w:right w:val="nil"/>
            </w:tcBorders>
            <w:noWrap/>
          </w:tcPr>
          <w:p w14:paraId="1BDDE92B"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917" w:type="dxa"/>
            <w:vMerge/>
            <w:tcBorders>
              <w:left w:val="nil"/>
              <w:bottom w:val="single" w:sz="4" w:space="0" w:color="auto"/>
              <w:right w:val="nil"/>
            </w:tcBorders>
            <w:noWrap/>
          </w:tcPr>
          <w:p w14:paraId="2B46E1ED"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595609A1"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54BC38BC"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874" w:type="dxa"/>
            <w:vMerge/>
            <w:tcBorders>
              <w:left w:val="single" w:sz="4" w:space="0" w:color="auto"/>
              <w:bottom w:val="single" w:sz="4" w:space="0" w:color="auto"/>
              <w:right w:val="single" w:sz="4" w:space="0" w:color="auto"/>
            </w:tcBorders>
          </w:tcPr>
          <w:p w14:paraId="53D95691"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709" w:type="dxa"/>
            <w:vMerge/>
            <w:tcBorders>
              <w:left w:val="single" w:sz="4" w:space="0" w:color="auto"/>
              <w:bottom w:val="single" w:sz="4" w:space="0" w:color="auto"/>
              <w:right w:val="single" w:sz="4" w:space="0" w:color="auto"/>
            </w:tcBorders>
            <w:noWrap/>
          </w:tcPr>
          <w:p w14:paraId="53DAE373"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r>
      <w:tr w:rsidR="00A37634" w:rsidRPr="00A37634" w14:paraId="07AC02A7" w14:textId="77777777" w:rsidTr="007C7289">
        <w:trPr>
          <w:trHeight w:val="255"/>
          <w:jc w:val="center"/>
        </w:trPr>
        <w:tc>
          <w:tcPr>
            <w:tcW w:w="1271" w:type="dxa"/>
            <w:tcBorders>
              <w:top w:val="single" w:sz="4" w:space="0" w:color="auto"/>
              <w:left w:val="single" w:sz="4" w:space="0" w:color="auto"/>
              <w:bottom w:val="nil"/>
              <w:right w:val="nil"/>
            </w:tcBorders>
            <w:noWrap/>
          </w:tcPr>
          <w:p w14:paraId="38B4C5CE"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 xml:space="preserve">Air </w:t>
            </w:r>
            <w:proofErr w:type="spellStart"/>
            <w:r w:rsidRPr="00A37634">
              <w:rPr>
                <w:rFonts w:ascii="Calibri" w:eastAsia="Times New Roman" w:hAnsi="Calibri" w:cs="Calibri"/>
                <w:sz w:val="18"/>
                <w:szCs w:val="18"/>
                <w:lang w:val="en-AU"/>
              </w:rPr>
              <w:t>Conds</w:t>
            </w:r>
            <w:proofErr w:type="spellEnd"/>
          </w:p>
        </w:tc>
        <w:tc>
          <w:tcPr>
            <w:tcW w:w="1276" w:type="dxa"/>
            <w:tcBorders>
              <w:top w:val="nil"/>
              <w:left w:val="single" w:sz="4" w:space="0" w:color="auto"/>
              <w:bottom w:val="nil"/>
              <w:right w:val="nil"/>
            </w:tcBorders>
            <w:shd w:val="clear" w:color="auto" w:fill="auto"/>
            <w:noWrap/>
            <w:vAlign w:val="bottom"/>
          </w:tcPr>
          <w:p w14:paraId="0A15460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173</w:t>
            </w:r>
          </w:p>
        </w:tc>
        <w:tc>
          <w:tcPr>
            <w:tcW w:w="917" w:type="dxa"/>
            <w:tcBorders>
              <w:top w:val="nil"/>
              <w:left w:val="nil"/>
              <w:bottom w:val="nil"/>
              <w:right w:val="nil"/>
            </w:tcBorders>
            <w:shd w:val="clear" w:color="auto" w:fill="auto"/>
            <w:noWrap/>
            <w:vAlign w:val="bottom"/>
          </w:tcPr>
          <w:p w14:paraId="6D2B69DB"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$35</w:t>
            </w:r>
          </w:p>
        </w:tc>
        <w:tc>
          <w:tcPr>
            <w:tcW w:w="1089" w:type="dxa"/>
            <w:tcBorders>
              <w:top w:val="nil"/>
              <w:left w:val="nil"/>
              <w:bottom w:val="nil"/>
              <w:right w:val="nil"/>
            </w:tcBorders>
            <w:shd w:val="clear" w:color="auto" w:fill="auto"/>
            <w:noWrap/>
            <w:vAlign w:val="bottom"/>
          </w:tcPr>
          <w:p w14:paraId="3588DA10"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$148</w:t>
            </w:r>
          </w:p>
        </w:tc>
        <w:tc>
          <w:tcPr>
            <w:tcW w:w="1089" w:type="dxa"/>
            <w:tcBorders>
              <w:top w:val="nil"/>
              <w:left w:val="nil"/>
              <w:bottom w:val="nil"/>
              <w:right w:val="single" w:sz="4" w:space="0" w:color="auto"/>
            </w:tcBorders>
            <w:shd w:val="clear" w:color="auto" w:fill="auto"/>
            <w:noWrap/>
            <w:vAlign w:val="bottom"/>
          </w:tcPr>
          <w:p w14:paraId="5E227A0B"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$113</w:t>
            </w:r>
          </w:p>
        </w:tc>
        <w:tc>
          <w:tcPr>
            <w:tcW w:w="874" w:type="dxa"/>
            <w:tcBorders>
              <w:top w:val="nil"/>
              <w:left w:val="single" w:sz="4" w:space="0" w:color="auto"/>
              <w:bottom w:val="nil"/>
              <w:right w:val="single" w:sz="4" w:space="0" w:color="auto"/>
            </w:tcBorders>
            <w:shd w:val="clear" w:color="auto" w:fill="auto"/>
            <w:vAlign w:val="bottom"/>
          </w:tcPr>
          <w:p w14:paraId="6BB0D6DA"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87.2%</w:t>
            </w:r>
          </w:p>
        </w:tc>
        <w:tc>
          <w:tcPr>
            <w:tcW w:w="709" w:type="dxa"/>
            <w:tcBorders>
              <w:top w:val="nil"/>
              <w:left w:val="single" w:sz="4" w:space="0" w:color="auto"/>
              <w:bottom w:val="nil"/>
              <w:right w:val="single" w:sz="4" w:space="0" w:color="auto"/>
            </w:tcBorders>
            <w:shd w:val="clear" w:color="auto" w:fill="auto"/>
            <w:noWrap/>
            <w:vAlign w:val="bottom"/>
          </w:tcPr>
          <w:p w14:paraId="7A2F67B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4.3</w:t>
            </w:r>
          </w:p>
        </w:tc>
      </w:tr>
      <w:tr w:rsidR="00A37634" w:rsidRPr="00A37634" w14:paraId="16445BBF" w14:textId="77777777" w:rsidTr="007C7289">
        <w:trPr>
          <w:trHeight w:val="255"/>
          <w:jc w:val="center"/>
        </w:trPr>
        <w:tc>
          <w:tcPr>
            <w:tcW w:w="1271" w:type="dxa"/>
            <w:tcBorders>
              <w:top w:val="nil"/>
              <w:left w:val="single" w:sz="4" w:space="0" w:color="auto"/>
              <w:bottom w:val="nil"/>
              <w:right w:val="nil"/>
            </w:tcBorders>
            <w:noWrap/>
          </w:tcPr>
          <w:p w14:paraId="6CEE624F"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PP Controllers</w:t>
            </w:r>
          </w:p>
        </w:tc>
        <w:tc>
          <w:tcPr>
            <w:tcW w:w="1276" w:type="dxa"/>
            <w:tcBorders>
              <w:top w:val="nil"/>
              <w:left w:val="single" w:sz="4" w:space="0" w:color="auto"/>
              <w:bottom w:val="nil"/>
              <w:right w:val="nil"/>
            </w:tcBorders>
            <w:shd w:val="clear" w:color="auto" w:fill="auto"/>
            <w:noWrap/>
            <w:vAlign w:val="bottom"/>
          </w:tcPr>
          <w:p w14:paraId="103E5FE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917" w:type="dxa"/>
            <w:tcBorders>
              <w:top w:val="nil"/>
              <w:left w:val="nil"/>
              <w:bottom w:val="nil"/>
              <w:right w:val="nil"/>
            </w:tcBorders>
            <w:shd w:val="clear" w:color="auto" w:fill="auto"/>
            <w:noWrap/>
            <w:vAlign w:val="bottom"/>
          </w:tcPr>
          <w:p w14:paraId="43F19CF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1089" w:type="dxa"/>
            <w:tcBorders>
              <w:top w:val="nil"/>
              <w:left w:val="nil"/>
              <w:bottom w:val="nil"/>
              <w:right w:val="nil"/>
            </w:tcBorders>
            <w:shd w:val="clear" w:color="auto" w:fill="auto"/>
            <w:noWrap/>
            <w:vAlign w:val="bottom"/>
          </w:tcPr>
          <w:p w14:paraId="271ED811"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1089" w:type="dxa"/>
            <w:tcBorders>
              <w:top w:val="nil"/>
              <w:left w:val="nil"/>
              <w:bottom w:val="nil"/>
              <w:right w:val="single" w:sz="4" w:space="0" w:color="auto"/>
            </w:tcBorders>
            <w:shd w:val="clear" w:color="auto" w:fill="auto"/>
            <w:noWrap/>
            <w:vAlign w:val="bottom"/>
          </w:tcPr>
          <w:p w14:paraId="6553CA1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874" w:type="dxa"/>
            <w:tcBorders>
              <w:top w:val="nil"/>
              <w:left w:val="single" w:sz="4" w:space="0" w:color="auto"/>
              <w:bottom w:val="nil"/>
              <w:right w:val="single" w:sz="4" w:space="0" w:color="auto"/>
            </w:tcBorders>
            <w:shd w:val="clear" w:color="auto" w:fill="auto"/>
            <w:vAlign w:val="bottom"/>
          </w:tcPr>
          <w:p w14:paraId="5A7C7386"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709" w:type="dxa"/>
            <w:tcBorders>
              <w:top w:val="nil"/>
              <w:left w:val="single" w:sz="4" w:space="0" w:color="auto"/>
              <w:bottom w:val="nil"/>
              <w:right w:val="single" w:sz="4" w:space="0" w:color="auto"/>
            </w:tcBorders>
            <w:shd w:val="clear" w:color="auto" w:fill="auto"/>
            <w:noWrap/>
            <w:vAlign w:val="bottom"/>
          </w:tcPr>
          <w:p w14:paraId="7368CB18"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r>
      <w:tr w:rsidR="00A37634" w:rsidRPr="00A37634" w14:paraId="358328C0" w14:textId="77777777" w:rsidTr="007C7289">
        <w:trPr>
          <w:trHeight w:val="255"/>
          <w:jc w:val="center"/>
        </w:trPr>
        <w:tc>
          <w:tcPr>
            <w:tcW w:w="1271" w:type="dxa"/>
            <w:tcBorders>
              <w:top w:val="nil"/>
              <w:left w:val="single" w:sz="4" w:space="0" w:color="auto"/>
              <w:bottom w:val="nil"/>
              <w:right w:val="nil"/>
            </w:tcBorders>
            <w:noWrap/>
          </w:tcPr>
          <w:p w14:paraId="578063F6"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Water heaters</w:t>
            </w:r>
          </w:p>
        </w:tc>
        <w:tc>
          <w:tcPr>
            <w:tcW w:w="1276" w:type="dxa"/>
            <w:tcBorders>
              <w:top w:val="nil"/>
              <w:left w:val="single" w:sz="4" w:space="0" w:color="auto"/>
              <w:bottom w:val="nil"/>
              <w:right w:val="nil"/>
            </w:tcBorders>
            <w:shd w:val="clear" w:color="auto" w:fill="auto"/>
            <w:noWrap/>
            <w:vAlign w:val="bottom"/>
          </w:tcPr>
          <w:p w14:paraId="7387A95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47</w:t>
            </w:r>
          </w:p>
        </w:tc>
        <w:tc>
          <w:tcPr>
            <w:tcW w:w="917" w:type="dxa"/>
            <w:tcBorders>
              <w:top w:val="nil"/>
              <w:left w:val="nil"/>
              <w:bottom w:val="nil"/>
              <w:right w:val="nil"/>
            </w:tcBorders>
            <w:shd w:val="clear" w:color="auto" w:fill="auto"/>
            <w:noWrap/>
            <w:vAlign w:val="bottom"/>
          </w:tcPr>
          <w:p w14:paraId="3678215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$65</w:t>
            </w:r>
          </w:p>
        </w:tc>
        <w:tc>
          <w:tcPr>
            <w:tcW w:w="1089" w:type="dxa"/>
            <w:tcBorders>
              <w:top w:val="nil"/>
              <w:left w:val="nil"/>
              <w:bottom w:val="nil"/>
              <w:right w:val="nil"/>
            </w:tcBorders>
            <w:shd w:val="clear" w:color="auto" w:fill="auto"/>
            <w:noWrap/>
            <w:vAlign w:val="bottom"/>
          </w:tcPr>
          <w:p w14:paraId="39A392AB"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$98</w:t>
            </w:r>
          </w:p>
        </w:tc>
        <w:tc>
          <w:tcPr>
            <w:tcW w:w="1089" w:type="dxa"/>
            <w:tcBorders>
              <w:top w:val="nil"/>
              <w:left w:val="nil"/>
              <w:bottom w:val="nil"/>
              <w:right w:val="single" w:sz="4" w:space="0" w:color="auto"/>
            </w:tcBorders>
            <w:shd w:val="clear" w:color="auto" w:fill="auto"/>
            <w:noWrap/>
            <w:vAlign w:val="bottom"/>
          </w:tcPr>
          <w:p w14:paraId="533E8D53"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$33</w:t>
            </w:r>
          </w:p>
        </w:tc>
        <w:tc>
          <w:tcPr>
            <w:tcW w:w="874" w:type="dxa"/>
            <w:tcBorders>
              <w:top w:val="nil"/>
              <w:left w:val="single" w:sz="4" w:space="0" w:color="auto"/>
              <w:bottom w:val="nil"/>
              <w:right w:val="single" w:sz="4" w:space="0" w:color="auto"/>
            </w:tcBorders>
            <w:shd w:val="clear" w:color="auto" w:fill="auto"/>
            <w:vAlign w:val="bottom"/>
          </w:tcPr>
          <w:p w14:paraId="21C095E0"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25.4%</w:t>
            </w:r>
          </w:p>
        </w:tc>
        <w:tc>
          <w:tcPr>
            <w:tcW w:w="709" w:type="dxa"/>
            <w:tcBorders>
              <w:top w:val="nil"/>
              <w:left w:val="single" w:sz="4" w:space="0" w:color="auto"/>
              <w:bottom w:val="nil"/>
              <w:right w:val="single" w:sz="4" w:space="0" w:color="auto"/>
            </w:tcBorders>
            <w:shd w:val="clear" w:color="auto" w:fill="auto"/>
            <w:noWrap/>
            <w:vAlign w:val="bottom"/>
          </w:tcPr>
          <w:p w14:paraId="74427B5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1.5</w:t>
            </w:r>
          </w:p>
        </w:tc>
      </w:tr>
      <w:tr w:rsidR="00A37634" w:rsidRPr="00A37634" w14:paraId="2B5B697D" w14:textId="77777777" w:rsidTr="007C7289">
        <w:trPr>
          <w:trHeight w:val="255"/>
          <w:jc w:val="center"/>
        </w:trPr>
        <w:tc>
          <w:tcPr>
            <w:tcW w:w="1271" w:type="dxa"/>
            <w:tcBorders>
              <w:top w:val="nil"/>
              <w:left w:val="single" w:sz="4" w:space="0" w:color="auto"/>
              <w:bottom w:val="nil"/>
              <w:right w:val="nil"/>
            </w:tcBorders>
            <w:noWrap/>
          </w:tcPr>
          <w:p w14:paraId="03BF2DBD"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EV chargers</w:t>
            </w:r>
          </w:p>
        </w:tc>
        <w:tc>
          <w:tcPr>
            <w:tcW w:w="1276" w:type="dxa"/>
            <w:tcBorders>
              <w:top w:val="nil"/>
              <w:left w:val="single" w:sz="4" w:space="0" w:color="auto"/>
              <w:bottom w:val="nil"/>
              <w:right w:val="nil"/>
            </w:tcBorders>
            <w:shd w:val="clear" w:color="auto" w:fill="auto"/>
            <w:noWrap/>
            <w:vAlign w:val="bottom"/>
          </w:tcPr>
          <w:p w14:paraId="584A52EC"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w:t>
            </w:r>
          </w:p>
        </w:tc>
        <w:tc>
          <w:tcPr>
            <w:tcW w:w="917" w:type="dxa"/>
            <w:tcBorders>
              <w:top w:val="nil"/>
              <w:left w:val="nil"/>
              <w:bottom w:val="nil"/>
              <w:right w:val="nil"/>
            </w:tcBorders>
            <w:shd w:val="clear" w:color="auto" w:fill="auto"/>
            <w:noWrap/>
            <w:vAlign w:val="bottom"/>
          </w:tcPr>
          <w:p w14:paraId="365C0878"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$25</w:t>
            </w:r>
          </w:p>
        </w:tc>
        <w:tc>
          <w:tcPr>
            <w:tcW w:w="1089" w:type="dxa"/>
            <w:tcBorders>
              <w:top w:val="nil"/>
              <w:left w:val="nil"/>
              <w:bottom w:val="nil"/>
              <w:right w:val="nil"/>
            </w:tcBorders>
            <w:shd w:val="clear" w:color="auto" w:fill="auto"/>
            <w:noWrap/>
            <w:vAlign w:val="bottom"/>
          </w:tcPr>
          <w:p w14:paraId="03BDAA2E"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$9</w:t>
            </w:r>
          </w:p>
        </w:tc>
        <w:tc>
          <w:tcPr>
            <w:tcW w:w="1089" w:type="dxa"/>
            <w:tcBorders>
              <w:top w:val="nil"/>
              <w:left w:val="nil"/>
              <w:bottom w:val="nil"/>
              <w:right w:val="single" w:sz="4" w:space="0" w:color="auto"/>
            </w:tcBorders>
            <w:shd w:val="clear" w:color="auto" w:fill="auto"/>
            <w:noWrap/>
            <w:vAlign w:val="bottom"/>
          </w:tcPr>
          <w:p w14:paraId="1E365E3C"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FF0000"/>
                <w:sz w:val="18"/>
                <w:szCs w:val="18"/>
                <w:lang w:val="en-AU"/>
              </w:rPr>
              <w:t>-$16</w:t>
            </w:r>
          </w:p>
        </w:tc>
        <w:tc>
          <w:tcPr>
            <w:tcW w:w="874" w:type="dxa"/>
            <w:tcBorders>
              <w:top w:val="nil"/>
              <w:left w:val="single" w:sz="4" w:space="0" w:color="auto"/>
              <w:bottom w:val="nil"/>
              <w:right w:val="single" w:sz="4" w:space="0" w:color="auto"/>
            </w:tcBorders>
            <w:shd w:val="clear" w:color="auto" w:fill="auto"/>
            <w:vAlign w:val="bottom"/>
          </w:tcPr>
          <w:p w14:paraId="26C9EE21"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-12.6%</w:t>
            </w:r>
          </w:p>
        </w:tc>
        <w:tc>
          <w:tcPr>
            <w:tcW w:w="709" w:type="dxa"/>
            <w:tcBorders>
              <w:top w:val="nil"/>
              <w:left w:val="single" w:sz="4" w:space="0" w:color="auto"/>
              <w:bottom w:val="nil"/>
              <w:right w:val="single" w:sz="4" w:space="0" w:color="auto"/>
            </w:tcBorders>
            <w:shd w:val="clear" w:color="auto" w:fill="auto"/>
            <w:noWrap/>
            <w:vAlign w:val="bottom"/>
          </w:tcPr>
          <w:p w14:paraId="2BC122A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0.3</w:t>
            </w:r>
          </w:p>
        </w:tc>
      </w:tr>
      <w:tr w:rsidR="00A37634" w:rsidRPr="00A37634" w14:paraId="610541D1" w14:textId="77777777" w:rsidTr="007C7289">
        <w:trPr>
          <w:trHeight w:val="255"/>
          <w:jc w:val="center"/>
        </w:trPr>
        <w:tc>
          <w:tcPr>
            <w:tcW w:w="1271" w:type="dxa"/>
            <w:tcBorders>
              <w:top w:val="single" w:sz="4" w:space="0" w:color="auto"/>
              <w:left w:val="single" w:sz="4" w:space="0" w:color="auto"/>
              <w:bottom w:val="single" w:sz="4" w:space="0" w:color="auto"/>
              <w:right w:val="nil"/>
            </w:tcBorders>
            <w:noWrap/>
          </w:tcPr>
          <w:p w14:paraId="6CEAADCF"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All products</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021AD06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224</w:t>
            </w:r>
          </w:p>
        </w:tc>
        <w:tc>
          <w:tcPr>
            <w:tcW w:w="917" w:type="dxa"/>
            <w:tcBorders>
              <w:top w:val="single" w:sz="4" w:space="0" w:color="auto"/>
              <w:left w:val="nil"/>
              <w:bottom w:val="single" w:sz="4" w:space="0" w:color="auto"/>
              <w:right w:val="nil"/>
            </w:tcBorders>
            <w:shd w:val="clear" w:color="auto" w:fill="auto"/>
            <w:noWrap/>
            <w:vAlign w:val="bottom"/>
          </w:tcPr>
          <w:p w14:paraId="59B95F46"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$125</w:t>
            </w:r>
          </w:p>
        </w:tc>
        <w:tc>
          <w:tcPr>
            <w:tcW w:w="1089" w:type="dxa"/>
            <w:tcBorders>
              <w:top w:val="single" w:sz="4" w:space="0" w:color="auto"/>
              <w:left w:val="nil"/>
              <w:bottom w:val="single" w:sz="4" w:space="0" w:color="auto"/>
              <w:right w:val="nil"/>
            </w:tcBorders>
            <w:shd w:val="clear" w:color="auto" w:fill="auto"/>
            <w:noWrap/>
            <w:vAlign w:val="bottom"/>
          </w:tcPr>
          <w:p w14:paraId="3788DD3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$255</w:t>
            </w:r>
          </w:p>
        </w:tc>
        <w:tc>
          <w:tcPr>
            <w:tcW w:w="1089" w:type="dxa"/>
            <w:tcBorders>
              <w:top w:val="single" w:sz="4" w:space="0" w:color="auto"/>
              <w:left w:val="nil"/>
              <w:bottom w:val="single" w:sz="4" w:space="0" w:color="auto"/>
              <w:right w:val="single" w:sz="4" w:space="0" w:color="auto"/>
            </w:tcBorders>
            <w:shd w:val="clear" w:color="auto" w:fill="auto"/>
            <w:noWrap/>
            <w:vAlign w:val="bottom"/>
          </w:tcPr>
          <w:p w14:paraId="189A8CB3"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$130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14:paraId="7C14781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F9B4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2.0</w:t>
            </w:r>
          </w:p>
        </w:tc>
      </w:tr>
    </w:tbl>
    <w:p w14:paraId="21BAEA43" w14:textId="77777777" w:rsidR="00A37634" w:rsidRPr="00A37634" w:rsidRDefault="00A37634" w:rsidP="00A37634">
      <w:pPr>
        <w:spacing w:after="0" w:line="278" w:lineRule="auto"/>
        <w:jc w:val="center"/>
        <w:rPr>
          <w:rFonts w:ascii="Calibri" w:eastAsia="Cambria" w:hAnsi="Calibri" w:cs="Calibri"/>
          <w:sz w:val="16"/>
          <w:szCs w:val="24"/>
          <w:lang w:val="en-AU"/>
        </w:rPr>
      </w:pPr>
      <w:r w:rsidRPr="00A37634">
        <w:rPr>
          <w:rFonts w:ascii="Calibri" w:eastAsia="Cambria" w:hAnsi="Calibri" w:cs="Calibri"/>
          <w:sz w:val="16"/>
          <w:szCs w:val="24"/>
          <w:lang w:val="en-AU"/>
        </w:rPr>
        <w:t xml:space="preserve">(a) 50% of total </w:t>
      </w:r>
      <w:proofErr w:type="spellStart"/>
      <w:r w:rsidRPr="00A37634">
        <w:rPr>
          <w:rFonts w:ascii="Calibri" w:eastAsia="Cambria" w:hAnsi="Calibri" w:cs="Calibri"/>
          <w:sz w:val="16"/>
          <w:szCs w:val="24"/>
          <w:lang w:val="en-AU"/>
        </w:rPr>
        <w:t>MWe</w:t>
      </w:r>
      <w:proofErr w:type="spellEnd"/>
      <w:r w:rsidRPr="00A37634">
        <w:rPr>
          <w:rFonts w:ascii="Calibri" w:eastAsia="Cambria" w:hAnsi="Calibri" w:cs="Calibri"/>
          <w:sz w:val="16"/>
          <w:szCs w:val="24"/>
          <w:lang w:val="en-AU"/>
        </w:rPr>
        <w:t xml:space="preserve"> of participating DR-capable products. (</w:t>
      </w:r>
      <w:proofErr w:type="gramStart"/>
      <w:r w:rsidRPr="00A37634">
        <w:rPr>
          <w:rFonts w:ascii="Calibri" w:eastAsia="Cambria" w:hAnsi="Calibri" w:cs="Calibri"/>
          <w:sz w:val="16"/>
          <w:szCs w:val="24"/>
          <w:lang w:val="en-AU"/>
        </w:rPr>
        <w:t>b</w:t>
      </w:r>
      <w:proofErr w:type="gramEnd"/>
      <w:r w:rsidRPr="00A37634">
        <w:rPr>
          <w:rFonts w:ascii="Calibri" w:eastAsia="Cambria" w:hAnsi="Calibri" w:cs="Calibri"/>
          <w:sz w:val="16"/>
          <w:szCs w:val="24"/>
          <w:lang w:val="en-AU"/>
        </w:rPr>
        <w:t xml:space="preserve">) NPV at 6% discount rate for costs and benefits 2021-2035 </w:t>
      </w:r>
    </w:p>
    <w:p w14:paraId="3BC47796" w14:textId="77777777" w:rsidR="00BB0627" w:rsidRDefault="00BB0627" w:rsidP="00A37634">
      <w:pPr>
        <w:spacing w:before="240" w:after="120" w:line="240" w:lineRule="auto"/>
        <w:jc w:val="center"/>
        <w:rPr>
          <w:rFonts w:ascii="Calibri" w:eastAsia="Cambria" w:hAnsi="Calibri" w:cs="Calibri"/>
          <w:b/>
          <w:bCs/>
          <w:sz w:val="20"/>
          <w:szCs w:val="16"/>
          <w:lang w:val="en-AU"/>
        </w:rPr>
      </w:pPr>
      <w:bookmarkStart w:id="95" w:name="_Toc16501003"/>
    </w:p>
    <w:p w14:paraId="1AB9BF12" w14:textId="638EAFED" w:rsidR="00A37634" w:rsidRPr="00A37634" w:rsidRDefault="00A37634" w:rsidP="00A37634">
      <w:pPr>
        <w:spacing w:before="240" w:after="120" w:line="240" w:lineRule="auto"/>
        <w:jc w:val="center"/>
        <w:rPr>
          <w:rFonts w:ascii="Calibri" w:eastAsia="Cambria" w:hAnsi="Calibri" w:cs="Calibri"/>
          <w:b/>
          <w:bCs/>
          <w:sz w:val="20"/>
          <w:szCs w:val="16"/>
          <w:lang w:val="en-AU"/>
        </w:rPr>
      </w:pPr>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12</w:t>
      </w:r>
      <w:r w:rsidRPr="00A37634">
        <w:rPr>
          <w:rFonts w:ascii="Calibri" w:eastAsia="Cambria" w:hAnsi="Calibri" w:cs="Calibri"/>
          <w:b/>
          <w:bCs/>
          <w:noProof/>
          <w:sz w:val="20"/>
          <w:szCs w:val="16"/>
          <w:lang w:val="en-AU"/>
        </w:rPr>
        <w:fldChar w:fldCharType="end"/>
      </w:r>
      <w:r w:rsidRPr="00A37634">
        <w:rPr>
          <w:rFonts w:ascii="Calibri" w:eastAsia="Cambria" w:hAnsi="Calibri" w:cs="Calibri"/>
          <w:b/>
          <w:bCs/>
          <w:sz w:val="20"/>
          <w:szCs w:val="16"/>
          <w:lang w:val="en-AU"/>
        </w:rPr>
        <w:t>. Projected costs and benefits by appliance, New Zealand (medium activation)</w:t>
      </w:r>
      <w:bookmarkEnd w:id="95"/>
    </w:p>
    <w:tbl>
      <w:tblPr>
        <w:tblW w:w="7225" w:type="dxa"/>
        <w:jc w:val="center"/>
        <w:tblLayout w:type="fixed"/>
        <w:tblCellMar>
          <w:left w:w="0" w:type="dxa"/>
          <w:right w:w="0" w:type="dxa"/>
        </w:tblCellMar>
        <w:tblLook w:val="0000" w:firstRow="0" w:lastRow="0" w:firstColumn="0" w:lastColumn="0" w:noHBand="0" w:noVBand="0"/>
      </w:tblPr>
      <w:tblGrid>
        <w:gridCol w:w="1271"/>
        <w:gridCol w:w="1276"/>
        <w:gridCol w:w="917"/>
        <w:gridCol w:w="1089"/>
        <w:gridCol w:w="1089"/>
        <w:gridCol w:w="874"/>
        <w:gridCol w:w="709"/>
      </w:tblGrid>
      <w:tr w:rsidR="00A37634" w:rsidRPr="00A37634" w14:paraId="66FCE080" w14:textId="77777777" w:rsidTr="007C7289">
        <w:trPr>
          <w:cantSplit/>
          <w:trHeight w:val="533"/>
          <w:tblHeader/>
          <w:jc w:val="center"/>
        </w:trPr>
        <w:tc>
          <w:tcPr>
            <w:tcW w:w="1271" w:type="dxa"/>
            <w:vMerge w:val="restart"/>
            <w:tcBorders>
              <w:top w:val="single" w:sz="4" w:space="0" w:color="auto"/>
              <w:left w:val="single" w:sz="4" w:space="0" w:color="auto"/>
              <w:right w:val="nil"/>
            </w:tcBorders>
            <w:noWrap/>
          </w:tcPr>
          <w:p w14:paraId="62E3C7E4"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276" w:type="dxa"/>
            <w:vMerge w:val="restart"/>
            <w:tcBorders>
              <w:top w:val="single" w:sz="4" w:space="0" w:color="auto"/>
              <w:left w:val="nil"/>
              <w:right w:val="nil"/>
            </w:tcBorders>
            <w:noWrap/>
          </w:tcPr>
          <w:p w14:paraId="57785210"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 xml:space="preserve">Routine DLC Reduction available SMD 2035, </w:t>
            </w:r>
            <w:proofErr w:type="spellStart"/>
            <w:r w:rsidRPr="00A37634">
              <w:rPr>
                <w:rFonts w:ascii="Calibri" w:eastAsia="Times New Roman" w:hAnsi="Calibri" w:cs="Calibri"/>
                <w:b/>
                <w:sz w:val="18"/>
                <w:szCs w:val="18"/>
                <w:lang w:val="en-AU"/>
              </w:rPr>
              <w:t>MWe</w:t>
            </w:r>
            <w:proofErr w:type="spellEnd"/>
            <w:r w:rsidRPr="00A37634">
              <w:rPr>
                <w:rFonts w:ascii="Calibri" w:eastAsia="Times New Roman" w:hAnsi="Calibri" w:cs="Calibri"/>
                <w:b/>
                <w:sz w:val="18"/>
                <w:szCs w:val="18"/>
                <w:lang w:val="en-AU"/>
              </w:rPr>
              <w:t xml:space="preserve"> (a)</w:t>
            </w:r>
          </w:p>
        </w:tc>
        <w:tc>
          <w:tcPr>
            <w:tcW w:w="917" w:type="dxa"/>
            <w:vMerge w:val="restart"/>
            <w:tcBorders>
              <w:top w:val="single" w:sz="4" w:space="0" w:color="auto"/>
              <w:left w:val="nil"/>
              <w:right w:val="nil"/>
            </w:tcBorders>
            <w:noWrap/>
          </w:tcPr>
          <w:p w14:paraId="3DF120A8"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Costs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667E95A2"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213F686E"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1896121D"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5041A752"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tc>
        <w:tc>
          <w:tcPr>
            <w:tcW w:w="874" w:type="dxa"/>
            <w:vMerge w:val="restart"/>
            <w:tcBorders>
              <w:top w:val="single" w:sz="4" w:space="0" w:color="auto"/>
              <w:left w:val="single" w:sz="4" w:space="0" w:color="auto"/>
              <w:right w:val="single" w:sz="4" w:space="0" w:color="auto"/>
            </w:tcBorders>
          </w:tcPr>
          <w:p w14:paraId="01BCC4E4"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 xml:space="preserve">% net </w:t>
            </w:r>
            <w:r w:rsidRPr="00A37634">
              <w:rPr>
                <w:rFonts w:ascii="Calibri" w:eastAsia="Times New Roman" w:hAnsi="Calibri" w:cs="Calibri"/>
                <w:b/>
                <w:sz w:val="18"/>
                <w:szCs w:val="18"/>
                <w:lang w:val="en-AU"/>
              </w:rPr>
              <w:br/>
              <w:t>national</w:t>
            </w:r>
            <w:r w:rsidRPr="00A37634">
              <w:rPr>
                <w:rFonts w:ascii="Calibri" w:eastAsia="Times New Roman" w:hAnsi="Calibri" w:cs="Calibri"/>
                <w:b/>
                <w:sz w:val="18"/>
                <w:szCs w:val="18"/>
                <w:lang w:val="en-AU"/>
              </w:rPr>
              <w:br/>
              <w:t>benefits</w:t>
            </w:r>
          </w:p>
        </w:tc>
        <w:tc>
          <w:tcPr>
            <w:tcW w:w="709" w:type="dxa"/>
            <w:vMerge w:val="restart"/>
            <w:tcBorders>
              <w:top w:val="single" w:sz="4" w:space="0" w:color="auto"/>
              <w:left w:val="single" w:sz="4" w:space="0" w:color="auto"/>
              <w:right w:val="single" w:sz="4" w:space="0" w:color="auto"/>
            </w:tcBorders>
            <w:noWrap/>
          </w:tcPr>
          <w:p w14:paraId="41DA18F9"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B/C ratio</w:t>
            </w:r>
          </w:p>
        </w:tc>
      </w:tr>
      <w:tr w:rsidR="00A37634" w:rsidRPr="00A37634" w14:paraId="3420AADF" w14:textId="77777777" w:rsidTr="007C7289">
        <w:trPr>
          <w:cantSplit/>
          <w:trHeight w:val="433"/>
          <w:tblHeader/>
          <w:jc w:val="center"/>
        </w:trPr>
        <w:tc>
          <w:tcPr>
            <w:tcW w:w="1271" w:type="dxa"/>
            <w:vMerge/>
            <w:tcBorders>
              <w:left w:val="single" w:sz="4" w:space="0" w:color="auto"/>
              <w:bottom w:val="single" w:sz="4" w:space="0" w:color="auto"/>
              <w:right w:val="nil"/>
            </w:tcBorders>
            <w:noWrap/>
          </w:tcPr>
          <w:p w14:paraId="0E3D6964"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276" w:type="dxa"/>
            <w:vMerge/>
            <w:tcBorders>
              <w:left w:val="nil"/>
              <w:bottom w:val="single" w:sz="4" w:space="0" w:color="auto"/>
              <w:right w:val="nil"/>
            </w:tcBorders>
            <w:noWrap/>
          </w:tcPr>
          <w:p w14:paraId="6500E177"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917" w:type="dxa"/>
            <w:vMerge/>
            <w:tcBorders>
              <w:left w:val="nil"/>
              <w:bottom w:val="single" w:sz="4" w:space="0" w:color="auto"/>
              <w:right w:val="nil"/>
            </w:tcBorders>
            <w:noWrap/>
          </w:tcPr>
          <w:p w14:paraId="6DD67EA6"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58C5A023"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309D460B"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874" w:type="dxa"/>
            <w:vMerge/>
            <w:tcBorders>
              <w:left w:val="single" w:sz="4" w:space="0" w:color="auto"/>
              <w:bottom w:val="single" w:sz="4" w:space="0" w:color="auto"/>
              <w:right w:val="single" w:sz="4" w:space="0" w:color="auto"/>
            </w:tcBorders>
          </w:tcPr>
          <w:p w14:paraId="1C94D9FB"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709" w:type="dxa"/>
            <w:vMerge/>
            <w:tcBorders>
              <w:left w:val="single" w:sz="4" w:space="0" w:color="auto"/>
              <w:bottom w:val="single" w:sz="4" w:space="0" w:color="auto"/>
              <w:right w:val="single" w:sz="4" w:space="0" w:color="auto"/>
            </w:tcBorders>
            <w:noWrap/>
          </w:tcPr>
          <w:p w14:paraId="157B3EB0"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r>
      <w:tr w:rsidR="00A37634" w:rsidRPr="00A37634" w14:paraId="1063D710" w14:textId="77777777" w:rsidTr="007C7289">
        <w:trPr>
          <w:trHeight w:val="255"/>
          <w:jc w:val="center"/>
        </w:trPr>
        <w:tc>
          <w:tcPr>
            <w:tcW w:w="1271" w:type="dxa"/>
            <w:tcBorders>
              <w:top w:val="single" w:sz="4" w:space="0" w:color="auto"/>
              <w:left w:val="single" w:sz="4" w:space="0" w:color="auto"/>
              <w:bottom w:val="nil"/>
              <w:right w:val="nil"/>
            </w:tcBorders>
            <w:noWrap/>
          </w:tcPr>
          <w:p w14:paraId="64480B0B"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 xml:space="preserve">Air </w:t>
            </w:r>
            <w:proofErr w:type="spellStart"/>
            <w:r w:rsidRPr="00A37634">
              <w:rPr>
                <w:rFonts w:ascii="Calibri" w:eastAsia="Times New Roman" w:hAnsi="Calibri" w:cs="Calibri"/>
                <w:sz w:val="18"/>
                <w:szCs w:val="18"/>
                <w:lang w:val="en-AU"/>
              </w:rPr>
              <w:t>Conds</w:t>
            </w:r>
            <w:proofErr w:type="spellEnd"/>
          </w:p>
        </w:tc>
        <w:tc>
          <w:tcPr>
            <w:tcW w:w="1276" w:type="dxa"/>
            <w:tcBorders>
              <w:top w:val="nil"/>
              <w:left w:val="single" w:sz="4" w:space="0" w:color="auto"/>
              <w:bottom w:val="nil"/>
              <w:right w:val="nil"/>
            </w:tcBorders>
            <w:shd w:val="clear" w:color="auto" w:fill="auto"/>
            <w:noWrap/>
            <w:vAlign w:val="bottom"/>
          </w:tcPr>
          <w:p w14:paraId="3ADCA3A0"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228</w:t>
            </w:r>
          </w:p>
        </w:tc>
        <w:tc>
          <w:tcPr>
            <w:tcW w:w="917" w:type="dxa"/>
            <w:tcBorders>
              <w:top w:val="nil"/>
              <w:left w:val="nil"/>
              <w:bottom w:val="nil"/>
              <w:right w:val="nil"/>
            </w:tcBorders>
            <w:shd w:val="clear" w:color="auto" w:fill="auto"/>
            <w:noWrap/>
            <w:vAlign w:val="bottom"/>
          </w:tcPr>
          <w:p w14:paraId="3D7E09EA"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$43</w:t>
            </w:r>
          </w:p>
        </w:tc>
        <w:tc>
          <w:tcPr>
            <w:tcW w:w="1089" w:type="dxa"/>
            <w:tcBorders>
              <w:top w:val="nil"/>
              <w:left w:val="nil"/>
              <w:bottom w:val="nil"/>
              <w:right w:val="nil"/>
            </w:tcBorders>
            <w:shd w:val="clear" w:color="auto" w:fill="auto"/>
            <w:noWrap/>
            <w:vAlign w:val="bottom"/>
          </w:tcPr>
          <w:p w14:paraId="274F3937"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$195</w:t>
            </w:r>
          </w:p>
        </w:tc>
        <w:tc>
          <w:tcPr>
            <w:tcW w:w="1089" w:type="dxa"/>
            <w:tcBorders>
              <w:top w:val="nil"/>
              <w:left w:val="nil"/>
              <w:bottom w:val="nil"/>
              <w:right w:val="single" w:sz="4" w:space="0" w:color="auto"/>
            </w:tcBorders>
            <w:shd w:val="clear" w:color="auto" w:fill="auto"/>
            <w:noWrap/>
            <w:vAlign w:val="bottom"/>
          </w:tcPr>
          <w:p w14:paraId="2552B957"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$152</w:t>
            </w:r>
          </w:p>
        </w:tc>
        <w:tc>
          <w:tcPr>
            <w:tcW w:w="874" w:type="dxa"/>
            <w:tcBorders>
              <w:top w:val="nil"/>
              <w:left w:val="single" w:sz="4" w:space="0" w:color="auto"/>
              <w:bottom w:val="nil"/>
              <w:right w:val="single" w:sz="4" w:space="0" w:color="auto"/>
            </w:tcBorders>
            <w:shd w:val="clear" w:color="auto" w:fill="auto"/>
            <w:vAlign w:val="bottom"/>
          </w:tcPr>
          <w:p w14:paraId="719D079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72.2%</w:t>
            </w:r>
          </w:p>
        </w:tc>
        <w:tc>
          <w:tcPr>
            <w:tcW w:w="709" w:type="dxa"/>
            <w:tcBorders>
              <w:top w:val="nil"/>
              <w:left w:val="single" w:sz="4" w:space="0" w:color="auto"/>
              <w:bottom w:val="nil"/>
              <w:right w:val="single" w:sz="4" w:space="0" w:color="auto"/>
            </w:tcBorders>
            <w:shd w:val="clear" w:color="auto" w:fill="auto"/>
            <w:noWrap/>
            <w:vAlign w:val="bottom"/>
          </w:tcPr>
          <w:p w14:paraId="3038DC2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4.5</w:t>
            </w:r>
          </w:p>
        </w:tc>
      </w:tr>
      <w:tr w:rsidR="00A37634" w:rsidRPr="00A37634" w14:paraId="3A3512E2" w14:textId="77777777" w:rsidTr="007C7289">
        <w:trPr>
          <w:trHeight w:val="255"/>
          <w:jc w:val="center"/>
        </w:trPr>
        <w:tc>
          <w:tcPr>
            <w:tcW w:w="1271" w:type="dxa"/>
            <w:tcBorders>
              <w:top w:val="nil"/>
              <w:left w:val="single" w:sz="4" w:space="0" w:color="auto"/>
              <w:bottom w:val="nil"/>
              <w:right w:val="nil"/>
            </w:tcBorders>
            <w:noWrap/>
          </w:tcPr>
          <w:p w14:paraId="613E2813"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PP Controllers</w:t>
            </w:r>
          </w:p>
        </w:tc>
        <w:tc>
          <w:tcPr>
            <w:tcW w:w="1276" w:type="dxa"/>
            <w:tcBorders>
              <w:top w:val="nil"/>
              <w:left w:val="single" w:sz="4" w:space="0" w:color="auto"/>
              <w:bottom w:val="nil"/>
              <w:right w:val="nil"/>
            </w:tcBorders>
            <w:shd w:val="clear" w:color="auto" w:fill="auto"/>
            <w:noWrap/>
            <w:vAlign w:val="bottom"/>
          </w:tcPr>
          <w:p w14:paraId="289441A3"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917" w:type="dxa"/>
            <w:tcBorders>
              <w:top w:val="nil"/>
              <w:left w:val="nil"/>
              <w:bottom w:val="nil"/>
              <w:right w:val="nil"/>
            </w:tcBorders>
            <w:shd w:val="clear" w:color="auto" w:fill="auto"/>
            <w:noWrap/>
            <w:vAlign w:val="bottom"/>
          </w:tcPr>
          <w:p w14:paraId="5AA6D0CC"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1089" w:type="dxa"/>
            <w:tcBorders>
              <w:top w:val="nil"/>
              <w:left w:val="nil"/>
              <w:bottom w:val="nil"/>
              <w:right w:val="nil"/>
            </w:tcBorders>
            <w:shd w:val="clear" w:color="auto" w:fill="auto"/>
            <w:noWrap/>
            <w:vAlign w:val="bottom"/>
          </w:tcPr>
          <w:p w14:paraId="4CA4FFFE"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1089" w:type="dxa"/>
            <w:tcBorders>
              <w:top w:val="nil"/>
              <w:left w:val="nil"/>
              <w:bottom w:val="nil"/>
              <w:right w:val="single" w:sz="4" w:space="0" w:color="auto"/>
            </w:tcBorders>
            <w:shd w:val="clear" w:color="auto" w:fill="auto"/>
            <w:noWrap/>
            <w:vAlign w:val="bottom"/>
          </w:tcPr>
          <w:p w14:paraId="70FDA3F7"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874" w:type="dxa"/>
            <w:tcBorders>
              <w:top w:val="nil"/>
              <w:left w:val="single" w:sz="4" w:space="0" w:color="auto"/>
              <w:bottom w:val="nil"/>
              <w:right w:val="single" w:sz="4" w:space="0" w:color="auto"/>
            </w:tcBorders>
            <w:shd w:val="clear" w:color="auto" w:fill="auto"/>
            <w:vAlign w:val="bottom"/>
          </w:tcPr>
          <w:p w14:paraId="4D881BC3"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709" w:type="dxa"/>
            <w:tcBorders>
              <w:top w:val="nil"/>
              <w:left w:val="single" w:sz="4" w:space="0" w:color="auto"/>
              <w:bottom w:val="nil"/>
              <w:right w:val="single" w:sz="4" w:space="0" w:color="auto"/>
            </w:tcBorders>
            <w:shd w:val="clear" w:color="auto" w:fill="auto"/>
            <w:noWrap/>
            <w:vAlign w:val="bottom"/>
          </w:tcPr>
          <w:p w14:paraId="799DEA5E"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r>
      <w:tr w:rsidR="00A37634" w:rsidRPr="00A37634" w14:paraId="56E6D7A1" w14:textId="77777777" w:rsidTr="007C7289">
        <w:trPr>
          <w:trHeight w:val="255"/>
          <w:jc w:val="center"/>
        </w:trPr>
        <w:tc>
          <w:tcPr>
            <w:tcW w:w="1271" w:type="dxa"/>
            <w:tcBorders>
              <w:top w:val="nil"/>
              <w:left w:val="single" w:sz="4" w:space="0" w:color="auto"/>
              <w:bottom w:val="nil"/>
              <w:right w:val="nil"/>
            </w:tcBorders>
            <w:noWrap/>
          </w:tcPr>
          <w:p w14:paraId="21222FF6"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Water heaters</w:t>
            </w:r>
          </w:p>
        </w:tc>
        <w:tc>
          <w:tcPr>
            <w:tcW w:w="1276" w:type="dxa"/>
            <w:tcBorders>
              <w:top w:val="nil"/>
              <w:left w:val="single" w:sz="4" w:space="0" w:color="auto"/>
              <w:bottom w:val="nil"/>
              <w:right w:val="nil"/>
            </w:tcBorders>
            <w:shd w:val="clear" w:color="auto" w:fill="auto"/>
            <w:noWrap/>
            <w:vAlign w:val="bottom"/>
          </w:tcPr>
          <w:p w14:paraId="3796AB43"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139</w:t>
            </w:r>
          </w:p>
        </w:tc>
        <w:tc>
          <w:tcPr>
            <w:tcW w:w="917" w:type="dxa"/>
            <w:tcBorders>
              <w:top w:val="nil"/>
              <w:left w:val="nil"/>
              <w:bottom w:val="nil"/>
              <w:right w:val="nil"/>
            </w:tcBorders>
            <w:shd w:val="clear" w:color="auto" w:fill="auto"/>
            <w:noWrap/>
            <w:vAlign w:val="bottom"/>
          </w:tcPr>
          <w:p w14:paraId="2A34FA57"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$71</w:t>
            </w:r>
          </w:p>
        </w:tc>
        <w:tc>
          <w:tcPr>
            <w:tcW w:w="1089" w:type="dxa"/>
            <w:tcBorders>
              <w:top w:val="nil"/>
              <w:left w:val="nil"/>
              <w:bottom w:val="nil"/>
              <w:right w:val="nil"/>
            </w:tcBorders>
            <w:shd w:val="clear" w:color="auto" w:fill="auto"/>
            <w:noWrap/>
            <w:vAlign w:val="bottom"/>
          </w:tcPr>
          <w:p w14:paraId="4D749CA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$146</w:t>
            </w:r>
          </w:p>
        </w:tc>
        <w:tc>
          <w:tcPr>
            <w:tcW w:w="1089" w:type="dxa"/>
            <w:tcBorders>
              <w:top w:val="nil"/>
              <w:left w:val="nil"/>
              <w:bottom w:val="nil"/>
              <w:right w:val="single" w:sz="4" w:space="0" w:color="auto"/>
            </w:tcBorders>
            <w:shd w:val="clear" w:color="auto" w:fill="auto"/>
            <w:noWrap/>
            <w:vAlign w:val="bottom"/>
          </w:tcPr>
          <w:p w14:paraId="0DAA32E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$75</w:t>
            </w:r>
          </w:p>
        </w:tc>
        <w:tc>
          <w:tcPr>
            <w:tcW w:w="874" w:type="dxa"/>
            <w:tcBorders>
              <w:top w:val="nil"/>
              <w:left w:val="single" w:sz="4" w:space="0" w:color="auto"/>
              <w:bottom w:val="nil"/>
              <w:right w:val="single" w:sz="4" w:space="0" w:color="auto"/>
            </w:tcBorders>
            <w:shd w:val="clear" w:color="auto" w:fill="auto"/>
            <w:vAlign w:val="bottom"/>
          </w:tcPr>
          <w:p w14:paraId="556F439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35.7%</w:t>
            </w:r>
          </w:p>
        </w:tc>
        <w:tc>
          <w:tcPr>
            <w:tcW w:w="709" w:type="dxa"/>
            <w:tcBorders>
              <w:top w:val="nil"/>
              <w:left w:val="single" w:sz="4" w:space="0" w:color="auto"/>
              <w:bottom w:val="nil"/>
              <w:right w:val="single" w:sz="4" w:space="0" w:color="auto"/>
            </w:tcBorders>
            <w:shd w:val="clear" w:color="auto" w:fill="auto"/>
            <w:noWrap/>
            <w:vAlign w:val="bottom"/>
          </w:tcPr>
          <w:p w14:paraId="288023B6"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2.1</w:t>
            </w:r>
          </w:p>
        </w:tc>
      </w:tr>
      <w:tr w:rsidR="00A37634" w:rsidRPr="00A37634" w14:paraId="2EE02710" w14:textId="77777777" w:rsidTr="007C7289">
        <w:trPr>
          <w:trHeight w:val="255"/>
          <w:jc w:val="center"/>
        </w:trPr>
        <w:tc>
          <w:tcPr>
            <w:tcW w:w="1271" w:type="dxa"/>
            <w:tcBorders>
              <w:top w:val="nil"/>
              <w:left w:val="single" w:sz="4" w:space="0" w:color="auto"/>
              <w:bottom w:val="nil"/>
              <w:right w:val="nil"/>
            </w:tcBorders>
            <w:noWrap/>
          </w:tcPr>
          <w:p w14:paraId="70EB2582"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EV chargers</w:t>
            </w:r>
          </w:p>
        </w:tc>
        <w:tc>
          <w:tcPr>
            <w:tcW w:w="1276" w:type="dxa"/>
            <w:tcBorders>
              <w:top w:val="nil"/>
              <w:left w:val="single" w:sz="4" w:space="0" w:color="auto"/>
              <w:bottom w:val="nil"/>
              <w:right w:val="nil"/>
            </w:tcBorders>
            <w:shd w:val="clear" w:color="auto" w:fill="auto"/>
            <w:noWrap/>
            <w:vAlign w:val="bottom"/>
          </w:tcPr>
          <w:p w14:paraId="080AED4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12</w:t>
            </w:r>
          </w:p>
        </w:tc>
        <w:tc>
          <w:tcPr>
            <w:tcW w:w="917" w:type="dxa"/>
            <w:tcBorders>
              <w:top w:val="nil"/>
              <w:left w:val="nil"/>
              <w:bottom w:val="nil"/>
              <w:right w:val="nil"/>
            </w:tcBorders>
            <w:shd w:val="clear" w:color="auto" w:fill="auto"/>
            <w:noWrap/>
            <w:vAlign w:val="bottom"/>
          </w:tcPr>
          <w:p w14:paraId="263CA85D"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$28</w:t>
            </w:r>
          </w:p>
        </w:tc>
        <w:tc>
          <w:tcPr>
            <w:tcW w:w="1089" w:type="dxa"/>
            <w:tcBorders>
              <w:top w:val="nil"/>
              <w:left w:val="nil"/>
              <w:bottom w:val="nil"/>
              <w:right w:val="nil"/>
            </w:tcBorders>
            <w:shd w:val="clear" w:color="auto" w:fill="auto"/>
            <w:noWrap/>
            <w:vAlign w:val="bottom"/>
          </w:tcPr>
          <w:p w14:paraId="0013B1C9"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$12</w:t>
            </w:r>
          </w:p>
        </w:tc>
        <w:tc>
          <w:tcPr>
            <w:tcW w:w="1089" w:type="dxa"/>
            <w:tcBorders>
              <w:top w:val="nil"/>
              <w:left w:val="nil"/>
              <w:bottom w:val="nil"/>
              <w:right w:val="single" w:sz="4" w:space="0" w:color="auto"/>
            </w:tcBorders>
            <w:shd w:val="clear" w:color="auto" w:fill="auto"/>
            <w:noWrap/>
            <w:vAlign w:val="bottom"/>
          </w:tcPr>
          <w:p w14:paraId="0E980FC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FF0000"/>
                <w:sz w:val="18"/>
                <w:szCs w:val="18"/>
                <w:lang w:val="en-AU"/>
              </w:rPr>
              <w:t>-$17</w:t>
            </w:r>
          </w:p>
        </w:tc>
        <w:tc>
          <w:tcPr>
            <w:tcW w:w="874" w:type="dxa"/>
            <w:tcBorders>
              <w:top w:val="nil"/>
              <w:left w:val="single" w:sz="4" w:space="0" w:color="auto"/>
              <w:bottom w:val="nil"/>
              <w:right w:val="single" w:sz="4" w:space="0" w:color="auto"/>
            </w:tcBorders>
            <w:shd w:val="clear" w:color="auto" w:fill="auto"/>
            <w:vAlign w:val="bottom"/>
          </w:tcPr>
          <w:p w14:paraId="7AA177F7"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-7.8%</w:t>
            </w:r>
          </w:p>
        </w:tc>
        <w:tc>
          <w:tcPr>
            <w:tcW w:w="709" w:type="dxa"/>
            <w:tcBorders>
              <w:top w:val="nil"/>
              <w:left w:val="single" w:sz="4" w:space="0" w:color="auto"/>
              <w:bottom w:val="nil"/>
              <w:right w:val="single" w:sz="4" w:space="0" w:color="auto"/>
            </w:tcBorders>
            <w:shd w:val="clear" w:color="auto" w:fill="auto"/>
            <w:noWrap/>
            <w:vAlign w:val="bottom"/>
          </w:tcPr>
          <w:p w14:paraId="1F843B35"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0.4</w:t>
            </w:r>
          </w:p>
        </w:tc>
      </w:tr>
      <w:tr w:rsidR="00A37634" w:rsidRPr="00A37634" w14:paraId="083F8CE0" w14:textId="77777777" w:rsidTr="007C7289">
        <w:trPr>
          <w:trHeight w:val="255"/>
          <w:jc w:val="center"/>
        </w:trPr>
        <w:tc>
          <w:tcPr>
            <w:tcW w:w="1271" w:type="dxa"/>
            <w:tcBorders>
              <w:top w:val="single" w:sz="4" w:space="0" w:color="auto"/>
              <w:left w:val="single" w:sz="4" w:space="0" w:color="auto"/>
              <w:bottom w:val="single" w:sz="4" w:space="0" w:color="auto"/>
              <w:right w:val="nil"/>
            </w:tcBorders>
            <w:noWrap/>
          </w:tcPr>
          <w:p w14:paraId="68475D3D"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All products</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14D0D17E"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379</w:t>
            </w:r>
          </w:p>
        </w:tc>
        <w:tc>
          <w:tcPr>
            <w:tcW w:w="917" w:type="dxa"/>
            <w:tcBorders>
              <w:top w:val="single" w:sz="4" w:space="0" w:color="auto"/>
              <w:left w:val="nil"/>
              <w:bottom w:val="single" w:sz="4" w:space="0" w:color="auto"/>
              <w:right w:val="nil"/>
            </w:tcBorders>
            <w:shd w:val="clear" w:color="auto" w:fill="auto"/>
            <w:noWrap/>
            <w:vAlign w:val="bottom"/>
          </w:tcPr>
          <w:p w14:paraId="2A018A91"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$142</w:t>
            </w:r>
          </w:p>
        </w:tc>
        <w:tc>
          <w:tcPr>
            <w:tcW w:w="1089" w:type="dxa"/>
            <w:tcBorders>
              <w:top w:val="single" w:sz="4" w:space="0" w:color="auto"/>
              <w:left w:val="nil"/>
              <w:bottom w:val="single" w:sz="4" w:space="0" w:color="auto"/>
              <w:right w:val="nil"/>
            </w:tcBorders>
            <w:shd w:val="clear" w:color="auto" w:fill="auto"/>
            <w:noWrap/>
            <w:vAlign w:val="bottom"/>
          </w:tcPr>
          <w:p w14:paraId="182DB49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$353</w:t>
            </w:r>
          </w:p>
        </w:tc>
        <w:tc>
          <w:tcPr>
            <w:tcW w:w="1089" w:type="dxa"/>
            <w:tcBorders>
              <w:top w:val="single" w:sz="4" w:space="0" w:color="auto"/>
              <w:left w:val="nil"/>
              <w:bottom w:val="single" w:sz="4" w:space="0" w:color="auto"/>
              <w:right w:val="single" w:sz="4" w:space="0" w:color="auto"/>
            </w:tcBorders>
            <w:shd w:val="clear" w:color="auto" w:fill="auto"/>
            <w:noWrap/>
            <w:vAlign w:val="bottom"/>
          </w:tcPr>
          <w:p w14:paraId="2C74FAFD"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$211</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14:paraId="1ECD8D5C"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4C6E8"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2.5</w:t>
            </w:r>
          </w:p>
        </w:tc>
      </w:tr>
    </w:tbl>
    <w:p w14:paraId="090C11A5" w14:textId="77777777" w:rsidR="00A37634" w:rsidRPr="00A37634" w:rsidRDefault="00A37634" w:rsidP="00A37634">
      <w:pPr>
        <w:spacing w:after="0" w:line="278" w:lineRule="auto"/>
        <w:jc w:val="center"/>
        <w:rPr>
          <w:rFonts w:ascii="Calibri" w:eastAsia="Cambria" w:hAnsi="Calibri" w:cs="Calibri"/>
          <w:sz w:val="16"/>
          <w:szCs w:val="24"/>
          <w:lang w:val="en-AU"/>
        </w:rPr>
      </w:pPr>
      <w:r w:rsidRPr="00A37634">
        <w:rPr>
          <w:rFonts w:ascii="Calibri" w:eastAsia="Cambria" w:hAnsi="Calibri" w:cs="Calibri"/>
          <w:sz w:val="16"/>
          <w:szCs w:val="24"/>
          <w:lang w:val="en-AU"/>
        </w:rPr>
        <w:t xml:space="preserve">(a) 50% of total </w:t>
      </w:r>
      <w:proofErr w:type="spellStart"/>
      <w:r w:rsidRPr="00A37634">
        <w:rPr>
          <w:rFonts w:ascii="Calibri" w:eastAsia="Cambria" w:hAnsi="Calibri" w:cs="Calibri"/>
          <w:sz w:val="16"/>
          <w:szCs w:val="24"/>
          <w:lang w:val="en-AU"/>
        </w:rPr>
        <w:t>MWe</w:t>
      </w:r>
      <w:proofErr w:type="spellEnd"/>
      <w:r w:rsidRPr="00A37634">
        <w:rPr>
          <w:rFonts w:ascii="Calibri" w:eastAsia="Cambria" w:hAnsi="Calibri" w:cs="Calibri"/>
          <w:sz w:val="16"/>
          <w:szCs w:val="24"/>
          <w:lang w:val="en-AU"/>
        </w:rPr>
        <w:t xml:space="preserve"> of participating DR-capable products. (</w:t>
      </w:r>
      <w:proofErr w:type="gramStart"/>
      <w:r w:rsidRPr="00A37634">
        <w:rPr>
          <w:rFonts w:ascii="Calibri" w:eastAsia="Cambria" w:hAnsi="Calibri" w:cs="Calibri"/>
          <w:sz w:val="16"/>
          <w:szCs w:val="24"/>
          <w:lang w:val="en-AU"/>
        </w:rPr>
        <w:t>b</w:t>
      </w:r>
      <w:proofErr w:type="gramEnd"/>
      <w:r w:rsidRPr="00A37634">
        <w:rPr>
          <w:rFonts w:ascii="Calibri" w:eastAsia="Cambria" w:hAnsi="Calibri" w:cs="Calibri"/>
          <w:sz w:val="16"/>
          <w:szCs w:val="24"/>
          <w:lang w:val="en-AU"/>
        </w:rPr>
        <w:t xml:space="preserve">) NPV at 6% discount rate for costs and benefits 2021-2035 </w:t>
      </w:r>
    </w:p>
    <w:p w14:paraId="2F0D971F" w14:textId="7B2C9639" w:rsidR="00A37634" w:rsidRDefault="00A37634" w:rsidP="00A37634">
      <w:pPr>
        <w:spacing w:after="120" w:line="276" w:lineRule="auto"/>
        <w:rPr>
          <w:rFonts w:ascii="Calibri" w:eastAsia="Calibri" w:hAnsi="Calibri" w:cs="Calibri"/>
          <w:szCs w:val="20"/>
          <w:lang w:val="en-AU"/>
        </w:rPr>
      </w:pPr>
    </w:p>
    <w:p w14:paraId="788C011D" w14:textId="77777777" w:rsidR="00BB0627" w:rsidRPr="00A37634" w:rsidRDefault="00BB0627" w:rsidP="00A37634">
      <w:pPr>
        <w:spacing w:after="120" w:line="276" w:lineRule="auto"/>
        <w:rPr>
          <w:rFonts w:ascii="Calibri" w:eastAsia="Calibri" w:hAnsi="Calibri" w:cs="Calibri"/>
          <w:szCs w:val="20"/>
          <w:lang w:val="en-AU"/>
        </w:rPr>
      </w:pPr>
    </w:p>
    <w:p w14:paraId="376B523C" w14:textId="402F2A37" w:rsidR="00A37634" w:rsidRPr="00A37634" w:rsidRDefault="00A37634" w:rsidP="003221FC">
      <w:pPr>
        <w:spacing w:before="240" w:after="120" w:line="240" w:lineRule="auto"/>
        <w:jc w:val="center"/>
        <w:rPr>
          <w:rFonts w:ascii="Calibri" w:eastAsia="Cambria" w:hAnsi="Calibri" w:cs="Calibri"/>
          <w:b/>
          <w:bCs/>
          <w:sz w:val="20"/>
          <w:szCs w:val="16"/>
          <w:lang w:val="en-AU"/>
        </w:rPr>
      </w:pPr>
      <w:bookmarkStart w:id="96" w:name="_Ref14778906"/>
      <w:bookmarkStart w:id="97" w:name="_Toc16501004"/>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13</w:t>
      </w:r>
      <w:r w:rsidRPr="00A37634">
        <w:rPr>
          <w:rFonts w:ascii="Calibri" w:eastAsia="Cambria" w:hAnsi="Calibri" w:cs="Calibri"/>
          <w:b/>
          <w:bCs/>
          <w:noProof/>
          <w:sz w:val="20"/>
          <w:szCs w:val="16"/>
          <w:lang w:val="en-AU"/>
        </w:rPr>
        <w:fldChar w:fldCharType="end"/>
      </w:r>
      <w:bookmarkEnd w:id="96"/>
      <w:r w:rsidRPr="00A37634">
        <w:rPr>
          <w:rFonts w:ascii="Calibri" w:eastAsia="Cambria" w:hAnsi="Calibri" w:cs="Calibri"/>
          <w:b/>
          <w:bCs/>
          <w:sz w:val="20"/>
          <w:szCs w:val="16"/>
          <w:lang w:val="en-AU"/>
        </w:rPr>
        <w:t>. Projected costs and benefits by appliance. New Zealand, Australia (high activation)</w:t>
      </w:r>
      <w:bookmarkEnd w:id="97"/>
    </w:p>
    <w:tbl>
      <w:tblPr>
        <w:tblW w:w="7225" w:type="dxa"/>
        <w:jc w:val="center"/>
        <w:tblLayout w:type="fixed"/>
        <w:tblCellMar>
          <w:left w:w="0" w:type="dxa"/>
          <w:right w:w="0" w:type="dxa"/>
        </w:tblCellMar>
        <w:tblLook w:val="0000" w:firstRow="0" w:lastRow="0" w:firstColumn="0" w:lastColumn="0" w:noHBand="0" w:noVBand="0"/>
      </w:tblPr>
      <w:tblGrid>
        <w:gridCol w:w="1271"/>
        <w:gridCol w:w="1276"/>
        <w:gridCol w:w="917"/>
        <w:gridCol w:w="1089"/>
        <w:gridCol w:w="1089"/>
        <w:gridCol w:w="874"/>
        <w:gridCol w:w="709"/>
      </w:tblGrid>
      <w:tr w:rsidR="00A37634" w:rsidRPr="00A37634" w14:paraId="105EF1AC" w14:textId="77777777" w:rsidTr="007C7289">
        <w:trPr>
          <w:cantSplit/>
          <w:trHeight w:val="533"/>
          <w:tblHeader/>
          <w:jc w:val="center"/>
        </w:trPr>
        <w:tc>
          <w:tcPr>
            <w:tcW w:w="1271" w:type="dxa"/>
            <w:vMerge w:val="restart"/>
            <w:tcBorders>
              <w:top w:val="single" w:sz="4" w:space="0" w:color="auto"/>
              <w:left w:val="single" w:sz="4" w:space="0" w:color="auto"/>
              <w:right w:val="nil"/>
            </w:tcBorders>
            <w:noWrap/>
          </w:tcPr>
          <w:p w14:paraId="2B3E96B3"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276" w:type="dxa"/>
            <w:vMerge w:val="restart"/>
            <w:tcBorders>
              <w:top w:val="single" w:sz="4" w:space="0" w:color="auto"/>
              <w:left w:val="nil"/>
              <w:right w:val="nil"/>
            </w:tcBorders>
            <w:noWrap/>
          </w:tcPr>
          <w:p w14:paraId="1B280EC5"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 xml:space="preserve">Routine DLC Reduction available SMD 2035, </w:t>
            </w:r>
            <w:proofErr w:type="spellStart"/>
            <w:r w:rsidRPr="00A37634">
              <w:rPr>
                <w:rFonts w:ascii="Calibri" w:eastAsia="Times New Roman" w:hAnsi="Calibri" w:cs="Calibri"/>
                <w:b/>
                <w:sz w:val="18"/>
                <w:szCs w:val="18"/>
                <w:lang w:val="en-AU"/>
              </w:rPr>
              <w:t>MWe</w:t>
            </w:r>
            <w:proofErr w:type="spellEnd"/>
            <w:r w:rsidRPr="00A37634">
              <w:rPr>
                <w:rFonts w:ascii="Calibri" w:eastAsia="Times New Roman" w:hAnsi="Calibri" w:cs="Calibri"/>
                <w:b/>
                <w:sz w:val="18"/>
                <w:szCs w:val="18"/>
                <w:lang w:val="en-AU"/>
              </w:rPr>
              <w:t xml:space="preserve"> (a)</w:t>
            </w:r>
          </w:p>
        </w:tc>
        <w:tc>
          <w:tcPr>
            <w:tcW w:w="917" w:type="dxa"/>
            <w:vMerge w:val="restart"/>
            <w:tcBorders>
              <w:top w:val="single" w:sz="4" w:space="0" w:color="auto"/>
              <w:left w:val="nil"/>
              <w:right w:val="nil"/>
            </w:tcBorders>
            <w:noWrap/>
          </w:tcPr>
          <w:p w14:paraId="6ACB68D1"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Costs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1880FE2F"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27A4060D"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p w14:paraId="5A88E44F"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089" w:type="dxa"/>
            <w:vMerge w:val="restart"/>
            <w:tcBorders>
              <w:top w:val="single" w:sz="4" w:space="0" w:color="auto"/>
              <w:left w:val="nil"/>
              <w:right w:val="nil"/>
            </w:tcBorders>
            <w:noWrap/>
          </w:tcPr>
          <w:p w14:paraId="50AB7E65"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Net</w:t>
            </w:r>
            <w:r w:rsidRPr="00A37634">
              <w:rPr>
                <w:rFonts w:ascii="Calibri" w:eastAsia="Times New Roman" w:hAnsi="Calibri" w:cs="Calibri"/>
                <w:b/>
                <w:sz w:val="18"/>
                <w:szCs w:val="18"/>
                <w:lang w:val="en-AU"/>
              </w:rPr>
              <w:br/>
              <w:t>Benefits</w:t>
            </w:r>
            <w:r w:rsidRPr="00A37634">
              <w:rPr>
                <w:rFonts w:ascii="Calibri" w:eastAsia="Times New Roman" w:hAnsi="Calibri" w:cs="Calibri"/>
                <w:b/>
                <w:sz w:val="18"/>
                <w:szCs w:val="18"/>
                <w:lang w:val="en-AU"/>
              </w:rPr>
              <w:br/>
              <w:t>$M NPV</w:t>
            </w:r>
            <w:r w:rsidRPr="00A37634">
              <w:rPr>
                <w:rFonts w:ascii="Calibri" w:eastAsia="Times New Roman" w:hAnsi="Calibri" w:cs="Calibri"/>
                <w:b/>
                <w:sz w:val="18"/>
                <w:szCs w:val="18"/>
                <w:lang w:val="en-AU"/>
              </w:rPr>
              <w:br/>
              <w:t>(b)</w:t>
            </w:r>
          </w:p>
        </w:tc>
        <w:tc>
          <w:tcPr>
            <w:tcW w:w="874" w:type="dxa"/>
            <w:vMerge w:val="restart"/>
            <w:tcBorders>
              <w:top w:val="single" w:sz="4" w:space="0" w:color="auto"/>
              <w:left w:val="single" w:sz="4" w:space="0" w:color="auto"/>
              <w:right w:val="single" w:sz="4" w:space="0" w:color="auto"/>
            </w:tcBorders>
          </w:tcPr>
          <w:p w14:paraId="5E1CBE68"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r w:rsidRPr="00A37634">
              <w:rPr>
                <w:rFonts w:ascii="Calibri" w:eastAsia="Times New Roman" w:hAnsi="Calibri" w:cs="Calibri"/>
                <w:b/>
                <w:sz w:val="18"/>
                <w:szCs w:val="18"/>
                <w:lang w:val="en-AU"/>
              </w:rPr>
              <w:t xml:space="preserve">% net </w:t>
            </w:r>
            <w:r w:rsidRPr="00A37634">
              <w:rPr>
                <w:rFonts w:ascii="Calibri" w:eastAsia="Times New Roman" w:hAnsi="Calibri" w:cs="Calibri"/>
                <w:b/>
                <w:sz w:val="18"/>
                <w:szCs w:val="18"/>
                <w:lang w:val="en-AU"/>
              </w:rPr>
              <w:br/>
              <w:t>national</w:t>
            </w:r>
            <w:r w:rsidRPr="00A37634">
              <w:rPr>
                <w:rFonts w:ascii="Calibri" w:eastAsia="Times New Roman" w:hAnsi="Calibri" w:cs="Calibri"/>
                <w:b/>
                <w:sz w:val="18"/>
                <w:szCs w:val="18"/>
                <w:lang w:val="en-AU"/>
              </w:rPr>
              <w:br/>
              <w:t>benefits</w:t>
            </w:r>
          </w:p>
        </w:tc>
        <w:tc>
          <w:tcPr>
            <w:tcW w:w="709" w:type="dxa"/>
            <w:vMerge w:val="restart"/>
            <w:tcBorders>
              <w:top w:val="single" w:sz="4" w:space="0" w:color="auto"/>
              <w:left w:val="single" w:sz="4" w:space="0" w:color="auto"/>
              <w:right w:val="single" w:sz="4" w:space="0" w:color="auto"/>
            </w:tcBorders>
            <w:noWrap/>
          </w:tcPr>
          <w:p w14:paraId="0FC19432"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r w:rsidRPr="00A37634">
              <w:rPr>
                <w:rFonts w:ascii="Calibri" w:eastAsia="Times New Roman" w:hAnsi="Calibri" w:cs="Calibri"/>
                <w:b/>
                <w:sz w:val="18"/>
                <w:szCs w:val="18"/>
                <w:lang w:val="en-AU"/>
              </w:rPr>
              <w:t>B/C ratio</w:t>
            </w:r>
          </w:p>
        </w:tc>
      </w:tr>
      <w:tr w:rsidR="00A37634" w:rsidRPr="00A37634" w14:paraId="166EE4A7" w14:textId="77777777" w:rsidTr="007C7289">
        <w:trPr>
          <w:cantSplit/>
          <w:trHeight w:val="433"/>
          <w:tblHeader/>
          <w:jc w:val="center"/>
        </w:trPr>
        <w:tc>
          <w:tcPr>
            <w:tcW w:w="1271" w:type="dxa"/>
            <w:vMerge/>
            <w:tcBorders>
              <w:left w:val="single" w:sz="4" w:space="0" w:color="auto"/>
              <w:bottom w:val="single" w:sz="4" w:space="0" w:color="auto"/>
              <w:right w:val="nil"/>
            </w:tcBorders>
            <w:noWrap/>
          </w:tcPr>
          <w:p w14:paraId="256A0D1B" w14:textId="77777777" w:rsidR="00A37634" w:rsidRPr="00A37634" w:rsidRDefault="00A37634" w:rsidP="00A37634">
            <w:pPr>
              <w:spacing w:before="60" w:after="60" w:line="240" w:lineRule="auto"/>
              <w:jc w:val="center"/>
              <w:rPr>
                <w:rFonts w:ascii="Calibri" w:eastAsia="Arial Unicode MS" w:hAnsi="Calibri" w:cs="Calibri"/>
                <w:b/>
                <w:sz w:val="18"/>
                <w:szCs w:val="18"/>
                <w:lang w:val="en-AU"/>
              </w:rPr>
            </w:pPr>
          </w:p>
        </w:tc>
        <w:tc>
          <w:tcPr>
            <w:tcW w:w="1276" w:type="dxa"/>
            <w:vMerge/>
            <w:tcBorders>
              <w:left w:val="nil"/>
              <w:bottom w:val="single" w:sz="4" w:space="0" w:color="auto"/>
              <w:right w:val="nil"/>
            </w:tcBorders>
            <w:noWrap/>
          </w:tcPr>
          <w:p w14:paraId="7085926F"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917" w:type="dxa"/>
            <w:vMerge/>
            <w:tcBorders>
              <w:left w:val="nil"/>
              <w:bottom w:val="single" w:sz="4" w:space="0" w:color="auto"/>
              <w:right w:val="nil"/>
            </w:tcBorders>
            <w:noWrap/>
          </w:tcPr>
          <w:p w14:paraId="4F4F8D0E"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39E33F1B"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1089" w:type="dxa"/>
            <w:vMerge/>
            <w:tcBorders>
              <w:left w:val="nil"/>
              <w:bottom w:val="single" w:sz="4" w:space="0" w:color="auto"/>
              <w:right w:val="nil"/>
            </w:tcBorders>
            <w:noWrap/>
          </w:tcPr>
          <w:p w14:paraId="5DF8D3A9"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874" w:type="dxa"/>
            <w:vMerge/>
            <w:tcBorders>
              <w:left w:val="single" w:sz="4" w:space="0" w:color="auto"/>
              <w:bottom w:val="single" w:sz="4" w:space="0" w:color="auto"/>
              <w:right w:val="single" w:sz="4" w:space="0" w:color="auto"/>
            </w:tcBorders>
          </w:tcPr>
          <w:p w14:paraId="2DDCE6F8"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c>
          <w:tcPr>
            <w:tcW w:w="709" w:type="dxa"/>
            <w:vMerge/>
            <w:tcBorders>
              <w:left w:val="single" w:sz="4" w:space="0" w:color="auto"/>
              <w:bottom w:val="single" w:sz="4" w:space="0" w:color="auto"/>
              <w:right w:val="single" w:sz="4" w:space="0" w:color="auto"/>
            </w:tcBorders>
            <w:noWrap/>
          </w:tcPr>
          <w:p w14:paraId="0E957324" w14:textId="77777777" w:rsidR="00A37634" w:rsidRPr="00A37634" w:rsidRDefault="00A37634" w:rsidP="00A37634">
            <w:pPr>
              <w:spacing w:before="60" w:after="60" w:line="240" w:lineRule="auto"/>
              <w:jc w:val="center"/>
              <w:rPr>
                <w:rFonts w:ascii="Calibri" w:eastAsia="Times New Roman" w:hAnsi="Calibri" w:cs="Calibri"/>
                <w:b/>
                <w:sz w:val="18"/>
                <w:szCs w:val="18"/>
                <w:lang w:val="en-AU"/>
              </w:rPr>
            </w:pPr>
          </w:p>
        </w:tc>
      </w:tr>
      <w:tr w:rsidR="00A37634" w:rsidRPr="00A37634" w14:paraId="797036FA" w14:textId="77777777" w:rsidTr="007C7289">
        <w:trPr>
          <w:trHeight w:val="255"/>
          <w:jc w:val="center"/>
        </w:trPr>
        <w:tc>
          <w:tcPr>
            <w:tcW w:w="1271" w:type="dxa"/>
            <w:tcBorders>
              <w:top w:val="single" w:sz="4" w:space="0" w:color="auto"/>
              <w:left w:val="single" w:sz="4" w:space="0" w:color="auto"/>
              <w:bottom w:val="nil"/>
              <w:right w:val="nil"/>
            </w:tcBorders>
            <w:noWrap/>
          </w:tcPr>
          <w:p w14:paraId="37469377"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 xml:space="preserve">Air </w:t>
            </w:r>
            <w:proofErr w:type="spellStart"/>
            <w:r w:rsidRPr="00A37634">
              <w:rPr>
                <w:rFonts w:ascii="Calibri" w:eastAsia="Times New Roman" w:hAnsi="Calibri" w:cs="Calibri"/>
                <w:sz w:val="18"/>
                <w:szCs w:val="18"/>
                <w:lang w:val="en-AU"/>
              </w:rPr>
              <w:t>Conds</w:t>
            </w:r>
            <w:proofErr w:type="spellEnd"/>
          </w:p>
        </w:tc>
        <w:tc>
          <w:tcPr>
            <w:tcW w:w="1276" w:type="dxa"/>
            <w:tcBorders>
              <w:top w:val="nil"/>
              <w:left w:val="single" w:sz="4" w:space="0" w:color="auto"/>
              <w:bottom w:val="nil"/>
              <w:right w:val="nil"/>
            </w:tcBorders>
            <w:shd w:val="clear" w:color="auto" w:fill="auto"/>
            <w:noWrap/>
            <w:vAlign w:val="bottom"/>
          </w:tcPr>
          <w:p w14:paraId="299409EF"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334</w:t>
            </w:r>
          </w:p>
        </w:tc>
        <w:tc>
          <w:tcPr>
            <w:tcW w:w="917" w:type="dxa"/>
            <w:tcBorders>
              <w:top w:val="nil"/>
              <w:left w:val="nil"/>
              <w:bottom w:val="nil"/>
              <w:right w:val="nil"/>
            </w:tcBorders>
            <w:shd w:val="clear" w:color="auto" w:fill="auto"/>
            <w:noWrap/>
            <w:vAlign w:val="bottom"/>
          </w:tcPr>
          <w:p w14:paraId="2F4DD72A"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$60</w:t>
            </w:r>
          </w:p>
        </w:tc>
        <w:tc>
          <w:tcPr>
            <w:tcW w:w="1089" w:type="dxa"/>
            <w:tcBorders>
              <w:top w:val="nil"/>
              <w:left w:val="nil"/>
              <w:bottom w:val="nil"/>
              <w:right w:val="nil"/>
            </w:tcBorders>
            <w:shd w:val="clear" w:color="auto" w:fill="auto"/>
            <w:noWrap/>
            <w:vAlign w:val="bottom"/>
          </w:tcPr>
          <w:p w14:paraId="584428B8"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$287</w:t>
            </w:r>
          </w:p>
        </w:tc>
        <w:tc>
          <w:tcPr>
            <w:tcW w:w="1089" w:type="dxa"/>
            <w:tcBorders>
              <w:top w:val="nil"/>
              <w:left w:val="nil"/>
              <w:bottom w:val="nil"/>
              <w:right w:val="single" w:sz="4" w:space="0" w:color="auto"/>
            </w:tcBorders>
            <w:shd w:val="clear" w:color="auto" w:fill="auto"/>
            <w:noWrap/>
            <w:vAlign w:val="bottom"/>
          </w:tcPr>
          <w:p w14:paraId="49DAF91A"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$227</w:t>
            </w:r>
          </w:p>
        </w:tc>
        <w:tc>
          <w:tcPr>
            <w:tcW w:w="874" w:type="dxa"/>
            <w:tcBorders>
              <w:top w:val="nil"/>
              <w:left w:val="single" w:sz="4" w:space="0" w:color="auto"/>
              <w:bottom w:val="nil"/>
              <w:right w:val="single" w:sz="4" w:space="0" w:color="auto"/>
            </w:tcBorders>
            <w:shd w:val="clear" w:color="auto" w:fill="auto"/>
            <w:vAlign w:val="bottom"/>
          </w:tcPr>
          <w:p w14:paraId="7093479D"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5.3%</w:t>
            </w:r>
          </w:p>
        </w:tc>
        <w:tc>
          <w:tcPr>
            <w:tcW w:w="709" w:type="dxa"/>
            <w:tcBorders>
              <w:top w:val="nil"/>
              <w:left w:val="single" w:sz="4" w:space="0" w:color="auto"/>
              <w:bottom w:val="nil"/>
              <w:right w:val="single" w:sz="4" w:space="0" w:color="auto"/>
            </w:tcBorders>
            <w:shd w:val="clear" w:color="auto" w:fill="auto"/>
            <w:noWrap/>
            <w:vAlign w:val="bottom"/>
          </w:tcPr>
          <w:p w14:paraId="5D2F44D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4.8</w:t>
            </w:r>
          </w:p>
        </w:tc>
      </w:tr>
      <w:tr w:rsidR="00A37634" w:rsidRPr="00A37634" w14:paraId="069A06B3" w14:textId="77777777" w:rsidTr="007C7289">
        <w:trPr>
          <w:trHeight w:val="255"/>
          <w:jc w:val="center"/>
        </w:trPr>
        <w:tc>
          <w:tcPr>
            <w:tcW w:w="1271" w:type="dxa"/>
            <w:tcBorders>
              <w:top w:val="nil"/>
              <w:left w:val="single" w:sz="4" w:space="0" w:color="auto"/>
              <w:bottom w:val="nil"/>
              <w:right w:val="nil"/>
            </w:tcBorders>
            <w:noWrap/>
          </w:tcPr>
          <w:p w14:paraId="60FA1D57"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PP Controllers</w:t>
            </w:r>
          </w:p>
        </w:tc>
        <w:tc>
          <w:tcPr>
            <w:tcW w:w="1276" w:type="dxa"/>
            <w:tcBorders>
              <w:top w:val="nil"/>
              <w:left w:val="single" w:sz="4" w:space="0" w:color="auto"/>
              <w:bottom w:val="nil"/>
              <w:right w:val="nil"/>
            </w:tcBorders>
            <w:shd w:val="clear" w:color="auto" w:fill="auto"/>
            <w:noWrap/>
            <w:vAlign w:val="bottom"/>
          </w:tcPr>
          <w:p w14:paraId="76446AA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917" w:type="dxa"/>
            <w:tcBorders>
              <w:top w:val="nil"/>
              <w:left w:val="nil"/>
              <w:bottom w:val="nil"/>
              <w:right w:val="nil"/>
            </w:tcBorders>
            <w:shd w:val="clear" w:color="auto" w:fill="auto"/>
            <w:noWrap/>
            <w:vAlign w:val="bottom"/>
          </w:tcPr>
          <w:p w14:paraId="39BC2631"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1089" w:type="dxa"/>
            <w:tcBorders>
              <w:top w:val="nil"/>
              <w:left w:val="nil"/>
              <w:bottom w:val="nil"/>
              <w:right w:val="nil"/>
            </w:tcBorders>
            <w:shd w:val="clear" w:color="auto" w:fill="auto"/>
            <w:noWrap/>
            <w:vAlign w:val="bottom"/>
          </w:tcPr>
          <w:p w14:paraId="0211EF29"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1089" w:type="dxa"/>
            <w:tcBorders>
              <w:top w:val="nil"/>
              <w:left w:val="nil"/>
              <w:bottom w:val="nil"/>
              <w:right w:val="single" w:sz="4" w:space="0" w:color="auto"/>
            </w:tcBorders>
            <w:shd w:val="clear" w:color="auto" w:fill="auto"/>
            <w:noWrap/>
            <w:vAlign w:val="bottom"/>
          </w:tcPr>
          <w:p w14:paraId="0510A4B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874" w:type="dxa"/>
            <w:tcBorders>
              <w:top w:val="nil"/>
              <w:left w:val="single" w:sz="4" w:space="0" w:color="auto"/>
              <w:bottom w:val="nil"/>
              <w:right w:val="single" w:sz="4" w:space="0" w:color="auto"/>
            </w:tcBorders>
            <w:shd w:val="clear" w:color="auto" w:fill="auto"/>
            <w:vAlign w:val="bottom"/>
          </w:tcPr>
          <w:p w14:paraId="6A8B58B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c>
          <w:tcPr>
            <w:tcW w:w="709" w:type="dxa"/>
            <w:tcBorders>
              <w:top w:val="nil"/>
              <w:left w:val="single" w:sz="4" w:space="0" w:color="auto"/>
              <w:bottom w:val="nil"/>
              <w:right w:val="single" w:sz="4" w:space="0" w:color="auto"/>
            </w:tcBorders>
            <w:shd w:val="clear" w:color="auto" w:fill="auto"/>
            <w:noWrap/>
            <w:vAlign w:val="bottom"/>
          </w:tcPr>
          <w:p w14:paraId="7ED6842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sz w:val="18"/>
                <w:szCs w:val="18"/>
                <w:lang w:val="en-AU"/>
              </w:rPr>
              <w:t>NA</w:t>
            </w:r>
          </w:p>
        </w:tc>
      </w:tr>
      <w:tr w:rsidR="00A37634" w:rsidRPr="00A37634" w14:paraId="5F036FE8" w14:textId="77777777" w:rsidTr="007C7289">
        <w:trPr>
          <w:trHeight w:val="255"/>
          <w:jc w:val="center"/>
        </w:trPr>
        <w:tc>
          <w:tcPr>
            <w:tcW w:w="1271" w:type="dxa"/>
            <w:tcBorders>
              <w:top w:val="nil"/>
              <w:left w:val="single" w:sz="4" w:space="0" w:color="auto"/>
              <w:bottom w:val="nil"/>
              <w:right w:val="nil"/>
            </w:tcBorders>
            <w:noWrap/>
          </w:tcPr>
          <w:p w14:paraId="5DFFABCF"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Water heaters</w:t>
            </w:r>
          </w:p>
        </w:tc>
        <w:tc>
          <w:tcPr>
            <w:tcW w:w="1276" w:type="dxa"/>
            <w:tcBorders>
              <w:top w:val="nil"/>
              <w:left w:val="single" w:sz="4" w:space="0" w:color="auto"/>
              <w:bottom w:val="nil"/>
              <w:right w:val="nil"/>
            </w:tcBorders>
            <w:shd w:val="clear" w:color="auto" w:fill="auto"/>
            <w:noWrap/>
            <w:vAlign w:val="bottom"/>
          </w:tcPr>
          <w:p w14:paraId="346F198A"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184</w:t>
            </w:r>
          </w:p>
        </w:tc>
        <w:tc>
          <w:tcPr>
            <w:tcW w:w="917" w:type="dxa"/>
            <w:tcBorders>
              <w:top w:val="nil"/>
              <w:left w:val="nil"/>
              <w:bottom w:val="nil"/>
              <w:right w:val="nil"/>
            </w:tcBorders>
            <w:shd w:val="clear" w:color="auto" w:fill="auto"/>
            <w:noWrap/>
            <w:vAlign w:val="bottom"/>
          </w:tcPr>
          <w:p w14:paraId="253387D8"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$77</w:t>
            </w:r>
          </w:p>
        </w:tc>
        <w:tc>
          <w:tcPr>
            <w:tcW w:w="1089" w:type="dxa"/>
            <w:tcBorders>
              <w:top w:val="nil"/>
              <w:left w:val="nil"/>
              <w:bottom w:val="nil"/>
              <w:right w:val="nil"/>
            </w:tcBorders>
            <w:shd w:val="clear" w:color="auto" w:fill="auto"/>
            <w:noWrap/>
            <w:vAlign w:val="bottom"/>
          </w:tcPr>
          <w:p w14:paraId="44EF3299"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$193</w:t>
            </w:r>
          </w:p>
        </w:tc>
        <w:tc>
          <w:tcPr>
            <w:tcW w:w="1089" w:type="dxa"/>
            <w:tcBorders>
              <w:top w:val="nil"/>
              <w:left w:val="nil"/>
              <w:bottom w:val="nil"/>
              <w:right w:val="single" w:sz="4" w:space="0" w:color="auto"/>
            </w:tcBorders>
            <w:shd w:val="clear" w:color="auto" w:fill="auto"/>
            <w:noWrap/>
            <w:vAlign w:val="bottom"/>
          </w:tcPr>
          <w:p w14:paraId="2774FC36"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$117</w:t>
            </w:r>
          </w:p>
        </w:tc>
        <w:tc>
          <w:tcPr>
            <w:tcW w:w="874" w:type="dxa"/>
            <w:tcBorders>
              <w:top w:val="nil"/>
              <w:left w:val="single" w:sz="4" w:space="0" w:color="auto"/>
              <w:bottom w:val="nil"/>
              <w:right w:val="single" w:sz="4" w:space="0" w:color="auto"/>
            </w:tcBorders>
            <w:shd w:val="clear" w:color="auto" w:fill="auto"/>
            <w:vAlign w:val="bottom"/>
          </w:tcPr>
          <w:p w14:paraId="4DFC7B48"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2.7%</w:t>
            </w:r>
          </w:p>
        </w:tc>
        <w:tc>
          <w:tcPr>
            <w:tcW w:w="709" w:type="dxa"/>
            <w:tcBorders>
              <w:top w:val="nil"/>
              <w:left w:val="single" w:sz="4" w:space="0" w:color="auto"/>
              <w:bottom w:val="nil"/>
              <w:right w:val="single" w:sz="4" w:space="0" w:color="auto"/>
            </w:tcBorders>
            <w:shd w:val="clear" w:color="auto" w:fill="auto"/>
            <w:noWrap/>
            <w:vAlign w:val="bottom"/>
          </w:tcPr>
          <w:p w14:paraId="6A1266ED"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2.5</w:t>
            </w:r>
          </w:p>
        </w:tc>
      </w:tr>
      <w:tr w:rsidR="00A37634" w:rsidRPr="00A37634" w14:paraId="2873E7E6" w14:textId="77777777" w:rsidTr="007C7289">
        <w:trPr>
          <w:trHeight w:val="255"/>
          <w:jc w:val="center"/>
        </w:trPr>
        <w:tc>
          <w:tcPr>
            <w:tcW w:w="1271" w:type="dxa"/>
            <w:tcBorders>
              <w:top w:val="nil"/>
              <w:left w:val="single" w:sz="4" w:space="0" w:color="auto"/>
              <w:bottom w:val="nil"/>
              <w:right w:val="nil"/>
            </w:tcBorders>
            <w:noWrap/>
          </w:tcPr>
          <w:p w14:paraId="21E90102"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EV chargers</w:t>
            </w:r>
          </w:p>
        </w:tc>
        <w:tc>
          <w:tcPr>
            <w:tcW w:w="1276" w:type="dxa"/>
            <w:tcBorders>
              <w:top w:val="nil"/>
              <w:left w:val="single" w:sz="4" w:space="0" w:color="auto"/>
              <w:bottom w:val="nil"/>
              <w:right w:val="nil"/>
            </w:tcBorders>
            <w:shd w:val="clear" w:color="auto" w:fill="auto"/>
            <w:noWrap/>
            <w:vAlign w:val="bottom"/>
          </w:tcPr>
          <w:p w14:paraId="02D86885"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15</w:t>
            </w:r>
          </w:p>
        </w:tc>
        <w:tc>
          <w:tcPr>
            <w:tcW w:w="917" w:type="dxa"/>
            <w:tcBorders>
              <w:top w:val="nil"/>
              <w:left w:val="nil"/>
              <w:bottom w:val="nil"/>
              <w:right w:val="nil"/>
            </w:tcBorders>
            <w:shd w:val="clear" w:color="auto" w:fill="auto"/>
            <w:noWrap/>
            <w:vAlign w:val="bottom"/>
          </w:tcPr>
          <w:p w14:paraId="432E7209"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$31</w:t>
            </w:r>
          </w:p>
        </w:tc>
        <w:tc>
          <w:tcPr>
            <w:tcW w:w="1089" w:type="dxa"/>
            <w:tcBorders>
              <w:top w:val="nil"/>
              <w:left w:val="nil"/>
              <w:bottom w:val="nil"/>
              <w:right w:val="nil"/>
            </w:tcBorders>
            <w:shd w:val="clear" w:color="auto" w:fill="auto"/>
            <w:noWrap/>
            <w:vAlign w:val="bottom"/>
          </w:tcPr>
          <w:p w14:paraId="67D99431"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$14</w:t>
            </w:r>
          </w:p>
        </w:tc>
        <w:tc>
          <w:tcPr>
            <w:tcW w:w="1089" w:type="dxa"/>
            <w:tcBorders>
              <w:top w:val="nil"/>
              <w:left w:val="nil"/>
              <w:bottom w:val="nil"/>
              <w:right w:val="single" w:sz="4" w:space="0" w:color="auto"/>
            </w:tcBorders>
            <w:shd w:val="clear" w:color="auto" w:fill="auto"/>
            <w:noWrap/>
            <w:vAlign w:val="bottom"/>
          </w:tcPr>
          <w:p w14:paraId="2117133D"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FF0000"/>
                <w:sz w:val="18"/>
                <w:szCs w:val="18"/>
                <w:lang w:val="en-AU"/>
              </w:rPr>
              <w:t>-$17</w:t>
            </w:r>
          </w:p>
        </w:tc>
        <w:tc>
          <w:tcPr>
            <w:tcW w:w="874" w:type="dxa"/>
            <w:tcBorders>
              <w:top w:val="nil"/>
              <w:left w:val="single" w:sz="4" w:space="0" w:color="auto"/>
              <w:bottom w:val="nil"/>
              <w:right w:val="single" w:sz="4" w:space="0" w:color="auto"/>
            </w:tcBorders>
            <w:shd w:val="clear" w:color="auto" w:fill="auto"/>
            <w:vAlign w:val="bottom"/>
          </w:tcPr>
          <w:p w14:paraId="0D49D32B"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-0.4%</w:t>
            </w:r>
          </w:p>
        </w:tc>
        <w:tc>
          <w:tcPr>
            <w:tcW w:w="709" w:type="dxa"/>
            <w:tcBorders>
              <w:top w:val="nil"/>
              <w:left w:val="single" w:sz="4" w:space="0" w:color="auto"/>
              <w:bottom w:val="nil"/>
              <w:right w:val="single" w:sz="4" w:space="0" w:color="auto"/>
            </w:tcBorders>
            <w:shd w:val="clear" w:color="auto" w:fill="auto"/>
            <w:noWrap/>
            <w:vAlign w:val="bottom"/>
          </w:tcPr>
          <w:p w14:paraId="6436E17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0.5</w:t>
            </w:r>
          </w:p>
        </w:tc>
      </w:tr>
      <w:tr w:rsidR="00A37634" w:rsidRPr="00A37634" w14:paraId="35AEA37D" w14:textId="77777777" w:rsidTr="007C7289">
        <w:trPr>
          <w:trHeight w:val="255"/>
          <w:jc w:val="center"/>
        </w:trPr>
        <w:tc>
          <w:tcPr>
            <w:tcW w:w="1271" w:type="dxa"/>
            <w:tcBorders>
              <w:top w:val="single" w:sz="4" w:space="0" w:color="auto"/>
              <w:left w:val="single" w:sz="4" w:space="0" w:color="auto"/>
              <w:bottom w:val="single" w:sz="4" w:space="0" w:color="auto"/>
              <w:right w:val="nil"/>
            </w:tcBorders>
            <w:noWrap/>
          </w:tcPr>
          <w:p w14:paraId="01942459" w14:textId="77777777" w:rsidR="00A37634" w:rsidRPr="00A37634" w:rsidRDefault="00A37634" w:rsidP="00A37634">
            <w:pPr>
              <w:tabs>
                <w:tab w:val="left" w:pos="3293"/>
              </w:tabs>
              <w:spacing w:before="60" w:after="60" w:line="240" w:lineRule="auto"/>
              <w:ind w:left="35"/>
              <w:rPr>
                <w:rFonts w:ascii="Calibri" w:eastAsia="Times New Roman" w:hAnsi="Calibri" w:cs="Calibri"/>
                <w:sz w:val="18"/>
                <w:szCs w:val="18"/>
                <w:lang w:val="en-AU"/>
              </w:rPr>
            </w:pPr>
            <w:r w:rsidRPr="00A37634">
              <w:rPr>
                <w:rFonts w:ascii="Calibri" w:eastAsia="Times New Roman" w:hAnsi="Calibri" w:cs="Calibri"/>
                <w:sz w:val="18"/>
                <w:szCs w:val="18"/>
                <w:lang w:val="en-AU"/>
              </w:rPr>
              <w:t>All products</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2B4309E1"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534</w:t>
            </w:r>
          </w:p>
        </w:tc>
        <w:tc>
          <w:tcPr>
            <w:tcW w:w="917" w:type="dxa"/>
            <w:tcBorders>
              <w:top w:val="single" w:sz="4" w:space="0" w:color="auto"/>
              <w:left w:val="nil"/>
              <w:bottom w:val="single" w:sz="4" w:space="0" w:color="auto"/>
              <w:right w:val="nil"/>
            </w:tcBorders>
            <w:shd w:val="clear" w:color="auto" w:fill="auto"/>
            <w:noWrap/>
            <w:vAlign w:val="bottom"/>
          </w:tcPr>
          <w:p w14:paraId="45DEC246"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$168</w:t>
            </w:r>
          </w:p>
        </w:tc>
        <w:tc>
          <w:tcPr>
            <w:tcW w:w="1089" w:type="dxa"/>
            <w:tcBorders>
              <w:top w:val="single" w:sz="4" w:space="0" w:color="auto"/>
              <w:left w:val="nil"/>
              <w:bottom w:val="single" w:sz="4" w:space="0" w:color="auto"/>
              <w:right w:val="nil"/>
            </w:tcBorders>
            <w:shd w:val="clear" w:color="auto" w:fill="auto"/>
            <w:noWrap/>
            <w:vAlign w:val="bottom"/>
          </w:tcPr>
          <w:p w14:paraId="0DCFCBFD"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$495</w:t>
            </w:r>
          </w:p>
        </w:tc>
        <w:tc>
          <w:tcPr>
            <w:tcW w:w="1089" w:type="dxa"/>
            <w:tcBorders>
              <w:top w:val="single" w:sz="4" w:space="0" w:color="auto"/>
              <w:left w:val="nil"/>
              <w:bottom w:val="single" w:sz="4" w:space="0" w:color="auto"/>
              <w:right w:val="single" w:sz="4" w:space="0" w:color="auto"/>
            </w:tcBorders>
            <w:shd w:val="clear" w:color="auto" w:fill="auto"/>
            <w:noWrap/>
            <w:vAlign w:val="bottom"/>
          </w:tcPr>
          <w:p w14:paraId="77D16EE4"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$327</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14:paraId="389813B2" w14:textId="77777777" w:rsidR="00A37634" w:rsidRPr="00A37634" w:rsidRDefault="00A37634" w:rsidP="00A37634">
            <w:pPr>
              <w:tabs>
                <w:tab w:val="left" w:pos="3293"/>
              </w:tabs>
              <w:spacing w:before="60" w:after="60" w:line="240" w:lineRule="auto"/>
              <w:ind w:left="35"/>
              <w:jc w:val="right"/>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7.7%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858A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8"/>
                <w:szCs w:val="18"/>
                <w:lang w:val="en-AU"/>
              </w:rPr>
            </w:pPr>
            <w:r w:rsidRPr="00A37634">
              <w:rPr>
                <w:rFonts w:ascii="Calibri" w:eastAsia="Times New Roman" w:hAnsi="Calibri" w:cs="Calibri"/>
                <w:color w:val="000000"/>
                <w:sz w:val="18"/>
                <w:szCs w:val="18"/>
                <w:lang w:val="en-AU"/>
              </w:rPr>
              <w:t>2.9</w:t>
            </w:r>
          </w:p>
        </w:tc>
      </w:tr>
    </w:tbl>
    <w:p w14:paraId="07C2C68F" w14:textId="77777777" w:rsidR="00A37634" w:rsidRPr="00A37634" w:rsidRDefault="00A37634" w:rsidP="00A37634">
      <w:pPr>
        <w:spacing w:after="0" w:line="278" w:lineRule="auto"/>
        <w:jc w:val="center"/>
        <w:rPr>
          <w:rFonts w:ascii="Calibri" w:eastAsia="Cambria" w:hAnsi="Calibri" w:cs="Calibri"/>
          <w:sz w:val="16"/>
          <w:szCs w:val="24"/>
          <w:lang w:val="en-AU"/>
        </w:rPr>
      </w:pPr>
      <w:r w:rsidRPr="00A37634">
        <w:rPr>
          <w:rFonts w:ascii="Calibri" w:eastAsia="Cambria" w:hAnsi="Calibri" w:cs="Calibri"/>
          <w:sz w:val="16"/>
          <w:szCs w:val="24"/>
          <w:lang w:val="en-AU"/>
        </w:rPr>
        <w:t xml:space="preserve">(a) 50% of total </w:t>
      </w:r>
      <w:proofErr w:type="spellStart"/>
      <w:r w:rsidRPr="00A37634">
        <w:rPr>
          <w:rFonts w:ascii="Calibri" w:eastAsia="Cambria" w:hAnsi="Calibri" w:cs="Calibri"/>
          <w:sz w:val="16"/>
          <w:szCs w:val="24"/>
          <w:lang w:val="en-AU"/>
        </w:rPr>
        <w:t>MWe</w:t>
      </w:r>
      <w:proofErr w:type="spellEnd"/>
      <w:r w:rsidRPr="00A37634">
        <w:rPr>
          <w:rFonts w:ascii="Calibri" w:eastAsia="Cambria" w:hAnsi="Calibri" w:cs="Calibri"/>
          <w:sz w:val="16"/>
          <w:szCs w:val="24"/>
          <w:lang w:val="en-AU"/>
        </w:rPr>
        <w:t xml:space="preserve"> of participating DR-capable products. (</w:t>
      </w:r>
      <w:proofErr w:type="gramStart"/>
      <w:r w:rsidRPr="00A37634">
        <w:rPr>
          <w:rFonts w:ascii="Calibri" w:eastAsia="Cambria" w:hAnsi="Calibri" w:cs="Calibri"/>
          <w:sz w:val="16"/>
          <w:szCs w:val="24"/>
          <w:lang w:val="en-AU"/>
        </w:rPr>
        <w:t>b</w:t>
      </w:r>
      <w:proofErr w:type="gramEnd"/>
      <w:r w:rsidRPr="00A37634">
        <w:rPr>
          <w:rFonts w:ascii="Calibri" w:eastAsia="Cambria" w:hAnsi="Calibri" w:cs="Calibri"/>
          <w:sz w:val="16"/>
          <w:szCs w:val="24"/>
          <w:lang w:val="en-AU"/>
        </w:rPr>
        <w:t xml:space="preserve">) NPV at 6% discount rate for costs and benefits 2021-2035 </w:t>
      </w:r>
    </w:p>
    <w:p w14:paraId="4D1A773B" w14:textId="77777777" w:rsidR="003221FC" w:rsidRDefault="003221FC">
      <w:pPr>
        <w:rPr>
          <w:rFonts w:ascii="Calibri" w:eastAsia="Calibri" w:hAnsi="Calibri" w:cs="Calibri"/>
          <w:b/>
          <w:bCs/>
          <w:color w:val="FF0000"/>
          <w:sz w:val="28"/>
          <w:szCs w:val="20"/>
          <w:lang w:val="en-AU"/>
        </w:rPr>
      </w:pPr>
      <w:r>
        <w:rPr>
          <w:rFonts w:ascii="Calibri" w:eastAsia="Calibri" w:hAnsi="Calibri" w:cs="Calibri"/>
          <w:b/>
          <w:bCs/>
          <w:color w:val="FF0000"/>
          <w:sz w:val="28"/>
          <w:szCs w:val="20"/>
          <w:lang w:val="en-AU"/>
        </w:rPr>
        <w:br w:type="page"/>
      </w:r>
    </w:p>
    <w:p w14:paraId="56480EC0" w14:textId="5BF47ADE" w:rsidR="00A37634" w:rsidRPr="00A37634" w:rsidRDefault="00A37634" w:rsidP="00A37634">
      <w:pPr>
        <w:spacing w:before="240" w:after="240" w:line="276" w:lineRule="auto"/>
        <w:rPr>
          <w:rFonts w:ascii="Calibri" w:eastAsia="Calibri" w:hAnsi="Calibri" w:cs="Calibri"/>
          <w:b/>
          <w:bCs/>
          <w:color w:val="FF0000"/>
          <w:sz w:val="28"/>
          <w:szCs w:val="20"/>
          <w:lang w:val="en-AU"/>
        </w:rPr>
      </w:pPr>
      <w:r w:rsidRPr="00A37634">
        <w:rPr>
          <w:rFonts w:ascii="Calibri" w:eastAsia="Calibri" w:hAnsi="Calibri" w:cs="Calibri"/>
          <w:b/>
          <w:bCs/>
          <w:color w:val="FF0000"/>
          <w:sz w:val="28"/>
          <w:szCs w:val="20"/>
          <w:lang w:val="en-AU"/>
        </w:rPr>
        <w:t>Wholesale Price Effects</w:t>
      </w:r>
    </w:p>
    <w:p w14:paraId="256ABB6F" w14:textId="187A3E12" w:rsidR="00A37634" w:rsidRPr="00A37634" w:rsidRDefault="00A37634" w:rsidP="00A37634">
      <w:pPr>
        <w:spacing w:before="24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benefits of the proposed measure can be realised under the NEL as it stands. While the AEMC’s wholesale price mechanism rule changes are likely to lead to the entry of a new class of DR aggregators into the wholesale market (who would most likely make use of a universal AS/NZS 4755 DR platform if it were available, and if they were permitted to contract with retail customers), realising the benefits of the present proposal does not depend on them. However, if the wholesale price savings projected in the cost-benefit analysis failed to materialise, the overall net benefit and the B/C ratios would be lower, as indicated in the last two columns of </w:t>
      </w:r>
      <w:r w:rsidRPr="000516A3">
        <w:rPr>
          <w:rFonts w:ascii="Calibri" w:eastAsia="Calibri" w:hAnsi="Calibri" w:cs="Calibri"/>
          <w:b/>
          <w:szCs w:val="20"/>
          <w:lang w:val="en-AU"/>
        </w:rPr>
        <w:fldChar w:fldCharType="begin"/>
      </w:r>
      <w:r w:rsidRPr="000516A3">
        <w:rPr>
          <w:rFonts w:ascii="Calibri" w:eastAsia="Calibri" w:hAnsi="Calibri" w:cs="Calibri"/>
          <w:b/>
          <w:szCs w:val="20"/>
          <w:lang w:val="en-AU"/>
        </w:rPr>
        <w:instrText xml:space="preserve"> REF _Ref14777407 \h  \* MERGEFORMAT </w:instrText>
      </w:r>
      <w:r w:rsidRPr="000516A3">
        <w:rPr>
          <w:rFonts w:ascii="Calibri" w:eastAsia="Calibri" w:hAnsi="Calibri" w:cs="Calibri"/>
          <w:b/>
          <w:szCs w:val="20"/>
          <w:lang w:val="en-AU"/>
        </w:rPr>
      </w:r>
      <w:r w:rsidRPr="000516A3">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5</w:t>
      </w:r>
      <w:r w:rsidRPr="000516A3">
        <w:rPr>
          <w:rFonts w:ascii="Calibri" w:eastAsia="Calibri" w:hAnsi="Calibri" w:cs="Calibri"/>
          <w:b/>
          <w:szCs w:val="20"/>
          <w:lang w:val="en-AU"/>
        </w:rPr>
        <w:fldChar w:fldCharType="end"/>
      </w:r>
      <w:r w:rsidRPr="00A37634">
        <w:rPr>
          <w:rFonts w:ascii="Calibri" w:eastAsia="Calibri" w:hAnsi="Calibri" w:cs="Calibri"/>
          <w:szCs w:val="20"/>
          <w:lang w:val="en-AU"/>
        </w:rPr>
        <w:t xml:space="preserve"> to </w:t>
      </w:r>
      <w:r w:rsidRPr="000516A3">
        <w:rPr>
          <w:rFonts w:ascii="Calibri" w:eastAsia="Calibri" w:hAnsi="Calibri" w:cs="Calibri"/>
          <w:b/>
          <w:szCs w:val="20"/>
          <w:lang w:val="en-AU"/>
        </w:rPr>
        <w:fldChar w:fldCharType="begin"/>
      </w:r>
      <w:r w:rsidRPr="000516A3">
        <w:rPr>
          <w:rFonts w:ascii="Calibri" w:eastAsia="Calibri" w:hAnsi="Calibri" w:cs="Calibri"/>
          <w:b/>
          <w:szCs w:val="20"/>
          <w:lang w:val="en-AU"/>
        </w:rPr>
        <w:instrText xml:space="preserve"> REF _Ref392238878 \h  \* MERGEFORMAT </w:instrText>
      </w:r>
      <w:r w:rsidRPr="000516A3">
        <w:rPr>
          <w:rFonts w:ascii="Calibri" w:eastAsia="Calibri" w:hAnsi="Calibri" w:cs="Calibri"/>
          <w:b/>
          <w:szCs w:val="20"/>
          <w:lang w:val="en-AU"/>
        </w:rPr>
      </w:r>
      <w:r w:rsidRPr="000516A3">
        <w:rPr>
          <w:rFonts w:ascii="Calibri" w:eastAsia="Calibri" w:hAnsi="Calibri" w:cs="Calibri"/>
          <w:b/>
          <w:szCs w:val="20"/>
          <w:lang w:val="en-AU"/>
        </w:rPr>
        <w:fldChar w:fldCharType="separate"/>
      </w:r>
      <w:r w:rsidR="00181136" w:rsidRPr="00181136">
        <w:rPr>
          <w:rFonts w:ascii="Calibri" w:eastAsia="Calibri" w:hAnsi="Calibri" w:cs="Calibri"/>
          <w:b/>
          <w:szCs w:val="20"/>
          <w:lang w:val="en-AU"/>
        </w:rPr>
        <w:t xml:space="preserve">Table </w:t>
      </w:r>
      <w:r w:rsidR="00181136" w:rsidRPr="00181136">
        <w:rPr>
          <w:rFonts w:ascii="Calibri" w:eastAsia="Calibri" w:hAnsi="Calibri" w:cs="Calibri"/>
          <w:b/>
          <w:noProof/>
          <w:szCs w:val="20"/>
          <w:lang w:val="en-AU"/>
        </w:rPr>
        <w:t>7</w:t>
      </w:r>
      <w:r w:rsidRPr="000516A3">
        <w:rPr>
          <w:rFonts w:ascii="Calibri" w:eastAsia="Calibri" w:hAnsi="Calibri" w:cs="Calibri"/>
          <w:b/>
          <w:szCs w:val="20"/>
          <w:lang w:val="en-AU"/>
        </w:rPr>
        <w:fldChar w:fldCharType="end"/>
      </w:r>
      <w:r w:rsidRPr="00A37634">
        <w:rPr>
          <w:rFonts w:ascii="Calibri" w:eastAsia="Calibri" w:hAnsi="Calibri" w:cs="Calibri"/>
          <w:szCs w:val="20"/>
          <w:lang w:val="en-AU"/>
        </w:rPr>
        <w:t>.</w:t>
      </w:r>
    </w:p>
    <w:p w14:paraId="0AA56972"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NPV of net benefits would fall by between about $500 M (at low activation rates) and $630 M (at high activation rates). While the B/C rates for Australia would remain above 3 in all cases, the ACT would join the NT as a jurisdiction in which the measure would not be cost-effective. There is no change for New Zealand, since wholesale price savings are not part of the cost-benefit analysis.   </w:t>
      </w:r>
    </w:p>
    <w:p w14:paraId="06CADEE8" w14:textId="77777777" w:rsidR="00A37634" w:rsidRPr="00A37634" w:rsidRDefault="00A37634" w:rsidP="00A37634">
      <w:pPr>
        <w:spacing w:before="240" w:after="240" w:line="276" w:lineRule="auto"/>
        <w:rPr>
          <w:rFonts w:ascii="Calibri" w:eastAsia="Calibri" w:hAnsi="Calibri" w:cs="Calibri"/>
          <w:b/>
          <w:bCs/>
          <w:color w:val="FF0000"/>
          <w:sz w:val="28"/>
          <w:szCs w:val="20"/>
          <w:lang w:val="en-AU"/>
        </w:rPr>
      </w:pPr>
      <w:r w:rsidRPr="00A37634">
        <w:rPr>
          <w:rFonts w:ascii="Calibri" w:eastAsia="Calibri" w:hAnsi="Calibri" w:cs="Calibri"/>
          <w:b/>
          <w:bCs/>
          <w:color w:val="FF0000"/>
          <w:sz w:val="28"/>
          <w:szCs w:val="20"/>
          <w:lang w:val="en-AU"/>
        </w:rPr>
        <w:t>Retail Tariff Effects</w:t>
      </w:r>
    </w:p>
    <w:p w14:paraId="2FD62F5E"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Costs and benefits are calculated from the viewpoint of the entire electricity supply chain (generation, transmission, distribution and retailing, DR program costs and appliance costs). It is assumed that the cost savings between the BAU and with measure (WM) cases will be passed back to those consumers who voluntarily accept activation of their AS/NZS 4755-compliant appliances as well as to other electricity consumers. The extent to which different categories of consumers can benefit, as well their propensity to participate in DR programs, will depend partly on the type of tariffs they face.</w:t>
      </w:r>
    </w:p>
    <w:p w14:paraId="46E3EEC2"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ACCC Retail Electricity Pricing Inquiry estimated that in 2017/18 wholesale electricity costs made up 34% of the price of each kWh to Australian households, network charges 43%, retail costs and margins 17% and environmental programs 6%.</w:t>
      </w:r>
      <w:r w:rsidRPr="00A37634">
        <w:rPr>
          <w:rFonts w:ascii="Calibri" w:eastAsia="Calibri" w:hAnsi="Calibri" w:cs="Calibri"/>
          <w:szCs w:val="20"/>
          <w:vertAlign w:val="superscript"/>
          <w:lang w:val="en-AU"/>
        </w:rPr>
        <w:footnoteReference w:id="65"/>
      </w:r>
      <w:r w:rsidRPr="00A37634">
        <w:rPr>
          <w:rFonts w:ascii="Calibri" w:eastAsia="Calibri" w:hAnsi="Calibri" w:cs="Calibri"/>
          <w:szCs w:val="20"/>
          <w:lang w:val="en-AU"/>
        </w:rPr>
        <w:t xml:space="preserve"> The ACCC identified different ways in which the costs of using the network are signalled to consumers: flat tariffs, TOU tariffs, demand tariffs, capacity tariffs and CPP tariffs. </w:t>
      </w:r>
    </w:p>
    <w:p w14:paraId="314B5880"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Customers on flat tariffs (88% of all customers at present) would derive no direct </w:t>
      </w:r>
      <w:r w:rsidRPr="00A37634">
        <w:rPr>
          <w:rFonts w:ascii="Calibri" w:eastAsia="Calibri" w:hAnsi="Calibri" w:cs="Calibri"/>
          <w:i/>
          <w:iCs/>
          <w:szCs w:val="20"/>
          <w:lang w:val="en-AU"/>
        </w:rPr>
        <w:t xml:space="preserve">tariff </w:t>
      </w:r>
      <w:r w:rsidRPr="00A37634">
        <w:rPr>
          <w:rFonts w:ascii="Calibri" w:eastAsia="Calibri" w:hAnsi="Calibri" w:cs="Calibri"/>
          <w:szCs w:val="20"/>
          <w:lang w:val="en-AU"/>
        </w:rPr>
        <w:t xml:space="preserve">benefit from participating in DR programs, but can be motivated to participate through cash incentives (up-front as in </w:t>
      </w:r>
      <w:proofErr w:type="spellStart"/>
      <w:r w:rsidRPr="00A37634">
        <w:rPr>
          <w:rFonts w:ascii="Calibri" w:eastAsia="Calibri" w:hAnsi="Calibri" w:cs="Calibri"/>
          <w:szCs w:val="20"/>
          <w:lang w:val="en-AU"/>
        </w:rPr>
        <w:t>PeakSmart</w:t>
      </w:r>
      <w:proofErr w:type="spellEnd"/>
      <w:r w:rsidRPr="00A37634">
        <w:rPr>
          <w:rFonts w:ascii="Calibri" w:eastAsia="Calibri" w:hAnsi="Calibri" w:cs="Calibri"/>
          <w:szCs w:val="20"/>
          <w:lang w:val="en-AU"/>
        </w:rPr>
        <w:t xml:space="preserve">, annual bonuses or per DR event). They would incur some comfort cost during AC DR events, because cooling output would be restricted (although surveys have found that very few people are aware of this, and of those that are aware only a small proportion consider it so unacceptable that they withdraw from the program – see Appendix 1). </w:t>
      </w:r>
    </w:p>
    <w:p w14:paraId="328F000A"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If the AC is still on after the DR event, it will try to cool a space that is warmer (or in winter, warm a space that is cooler) than if it had not responded. The total energy used over the same period (from the start of the DR event until the end of that session of AC operation) may well be higher than if there had been no DR event. In that case, a flat tariff consumer would be slightly worse off after each DR event (probably by a number of cents rather than a number of dollars) but this would be set against participation payments that are likely to be in the hundreds of dollars. The number of DR events would most likely be limited under any DR contract.</w:t>
      </w:r>
      <w:r w:rsidRPr="00A37634">
        <w:rPr>
          <w:rFonts w:ascii="Calibri" w:eastAsia="Calibri" w:hAnsi="Calibri" w:cs="Calibri"/>
          <w:szCs w:val="20"/>
          <w:vertAlign w:val="superscript"/>
          <w:lang w:val="en-AU"/>
        </w:rPr>
        <w:footnoteReference w:id="66"/>
      </w:r>
      <w:r w:rsidRPr="00A37634">
        <w:rPr>
          <w:rFonts w:ascii="Calibri" w:eastAsia="Calibri" w:hAnsi="Calibri" w:cs="Calibri"/>
          <w:szCs w:val="20"/>
          <w:lang w:val="en-AU"/>
        </w:rPr>
        <w:t xml:space="preserve">  </w:t>
      </w:r>
    </w:p>
    <w:p w14:paraId="33015BCC"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Network tariffs are likely to be high during periods of network congestion and low at other times. The ACCC states:</w:t>
      </w:r>
    </w:p>
    <w:p w14:paraId="562B649E" w14:textId="77777777" w:rsidR="00A37634" w:rsidRPr="00A37634" w:rsidRDefault="00A37634" w:rsidP="00A37634">
      <w:pPr>
        <w:spacing w:before="120" w:after="120" w:line="276" w:lineRule="auto"/>
        <w:ind w:left="720"/>
        <w:rPr>
          <w:rFonts w:ascii="Calibri" w:eastAsia="Calibri" w:hAnsi="Calibri" w:cs="Calibri"/>
          <w:szCs w:val="20"/>
          <w:lang w:val="en-AU"/>
        </w:rPr>
      </w:pPr>
      <w:r w:rsidRPr="00A37634">
        <w:rPr>
          <w:rFonts w:ascii="Calibri" w:eastAsia="Calibri" w:hAnsi="Calibri" w:cs="Calibri"/>
          <w:szCs w:val="20"/>
          <w:lang w:val="en-AU"/>
        </w:rPr>
        <w:t xml:space="preserve">“In contrast to both flat rate and </w:t>
      </w:r>
      <w:proofErr w:type="spellStart"/>
      <w:r w:rsidRPr="00A37634">
        <w:rPr>
          <w:rFonts w:ascii="Calibri" w:eastAsia="Calibri" w:hAnsi="Calibri" w:cs="Calibri"/>
          <w:szCs w:val="20"/>
          <w:lang w:val="en-AU"/>
        </w:rPr>
        <w:t>ToU</w:t>
      </w:r>
      <w:proofErr w:type="spellEnd"/>
      <w:r w:rsidRPr="00A37634">
        <w:rPr>
          <w:rFonts w:ascii="Calibri" w:eastAsia="Calibri" w:hAnsi="Calibri" w:cs="Calibri"/>
          <w:szCs w:val="20"/>
          <w:lang w:val="en-AU"/>
        </w:rPr>
        <w:t xml:space="preserve"> pricing, which are based on kWh usage, a demand tariff differs in that it is based on the maximum point in time demand (in kW or kVA) of a customer during pre</w:t>
      </w:r>
      <w:r w:rsidRPr="00A37634">
        <w:rPr>
          <w:rFonts w:ascii="Cambria Math" w:eastAsia="Calibri" w:hAnsi="Cambria Math" w:cs="Cambria Math"/>
          <w:szCs w:val="20"/>
          <w:lang w:val="en-AU"/>
        </w:rPr>
        <w:t>‑</w:t>
      </w:r>
      <w:r w:rsidRPr="00A37634">
        <w:rPr>
          <w:rFonts w:ascii="Calibri" w:eastAsia="Calibri" w:hAnsi="Calibri" w:cs="Calibri"/>
          <w:szCs w:val="20"/>
          <w:lang w:val="en-AU"/>
        </w:rPr>
        <w:t>defined ‘peak windows’. The windows are set by reference to the usual peak network demand. Usage outside of the relevant pre-defined period does not contribute to the demand charge component (although usage charges and fixed charges may still apply).”</w:t>
      </w:r>
      <w:r w:rsidRPr="00A37634">
        <w:rPr>
          <w:rFonts w:ascii="Calibri" w:eastAsia="Calibri" w:hAnsi="Calibri" w:cs="Calibri"/>
          <w:szCs w:val="20"/>
          <w:vertAlign w:val="superscript"/>
          <w:lang w:val="en-AU"/>
        </w:rPr>
        <w:footnoteReference w:id="67"/>
      </w:r>
    </w:p>
    <w:p w14:paraId="59BFF47D"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The ACCC has recommended that DNSPs adopt this form of pricing, initially for the charges that retailers have to pay them for the load of each consumer (so indirectly giving the retailer the motivation to manage the loads of consumers who incur high network costs) and eventually for each consumer to face demand charges directly (i.e. they would no longer be permitted to remain on flat tariffs once they get a smart meter).</w:t>
      </w:r>
      <w:r w:rsidRPr="00A37634">
        <w:rPr>
          <w:rFonts w:ascii="Calibri" w:eastAsia="Calibri" w:hAnsi="Calibri" w:cs="Calibri"/>
          <w:szCs w:val="20"/>
          <w:vertAlign w:val="superscript"/>
          <w:lang w:val="en-AU"/>
        </w:rPr>
        <w:footnoteReference w:id="68"/>
      </w:r>
      <w:r w:rsidRPr="00A37634">
        <w:rPr>
          <w:rFonts w:ascii="Calibri" w:eastAsia="Calibri" w:hAnsi="Calibri" w:cs="Calibri"/>
          <w:szCs w:val="20"/>
          <w:lang w:val="en-AU"/>
        </w:rPr>
        <w:t xml:space="preserve"> The ACCC notes: </w:t>
      </w:r>
    </w:p>
    <w:p w14:paraId="34133940" w14:textId="77777777" w:rsidR="00A37634" w:rsidRPr="00A37634" w:rsidRDefault="00A37634" w:rsidP="00A37634">
      <w:pPr>
        <w:spacing w:before="120" w:after="120" w:line="276" w:lineRule="auto"/>
        <w:ind w:left="720"/>
        <w:rPr>
          <w:rFonts w:ascii="Calibri" w:eastAsia="Calibri" w:hAnsi="Calibri" w:cs="Calibri"/>
          <w:szCs w:val="20"/>
          <w:lang w:val="en-AU"/>
        </w:rPr>
      </w:pPr>
      <w:r w:rsidRPr="00A37634">
        <w:rPr>
          <w:rFonts w:ascii="Calibri" w:eastAsia="Calibri" w:hAnsi="Calibri" w:cs="Calibri"/>
          <w:szCs w:val="20"/>
          <w:lang w:val="en-AU"/>
        </w:rPr>
        <w:t xml:space="preserve">“Given the potential for negative bill shock outcomes from any transition to cost-reflective network tariffs should retailers pass these network tariffs through to customers, governments should legislate to ensure transitional assistance is provided for residential and small business customers. This assistance should focus on maximising the benefits, and reducing the transitional risks, of the move to cost-reflective pricing structures. This includes: </w:t>
      </w:r>
    </w:p>
    <w:p w14:paraId="60881DEC" w14:textId="77777777" w:rsidR="00A37634" w:rsidRPr="00A37634" w:rsidRDefault="00A37634" w:rsidP="00A37634">
      <w:pPr>
        <w:numPr>
          <w:ilvl w:val="0"/>
          <w:numId w:val="38"/>
        </w:numPr>
        <w:spacing w:before="120" w:after="120" w:line="276" w:lineRule="auto"/>
        <w:ind w:left="1080"/>
        <w:contextualSpacing/>
        <w:rPr>
          <w:rFonts w:ascii="Calibri" w:eastAsia="Calibri" w:hAnsi="Calibri" w:cs="Calibri"/>
          <w:szCs w:val="20"/>
          <w:lang w:val="en-AU"/>
        </w:rPr>
      </w:pPr>
      <w:r w:rsidRPr="00A37634">
        <w:rPr>
          <w:rFonts w:ascii="Calibri" w:eastAsia="Calibri" w:hAnsi="Calibri" w:cs="Calibri"/>
          <w:szCs w:val="20"/>
          <w:lang w:val="en-AU"/>
        </w:rPr>
        <w:t>compulsory ‘data sampling period’ for consumers following installation of a smart meter</w:t>
      </w:r>
    </w:p>
    <w:p w14:paraId="60F0C01F" w14:textId="77777777" w:rsidR="00A37634" w:rsidRPr="00A37634" w:rsidRDefault="00A37634" w:rsidP="00A37634">
      <w:pPr>
        <w:numPr>
          <w:ilvl w:val="0"/>
          <w:numId w:val="38"/>
        </w:numPr>
        <w:spacing w:before="120" w:after="120" w:line="276" w:lineRule="auto"/>
        <w:ind w:left="1080"/>
        <w:contextualSpacing/>
        <w:rPr>
          <w:rFonts w:ascii="Calibri" w:eastAsia="Calibri" w:hAnsi="Calibri" w:cs="Calibri"/>
          <w:szCs w:val="20"/>
          <w:lang w:val="en-AU"/>
        </w:rPr>
      </w:pPr>
      <w:r w:rsidRPr="00A37634">
        <w:rPr>
          <w:rFonts w:ascii="Calibri" w:eastAsia="Calibri" w:hAnsi="Calibri" w:cs="Calibri"/>
          <w:szCs w:val="20"/>
          <w:lang w:val="en-AU"/>
        </w:rPr>
        <w:t>a requirement for retailers to provide a retail offer using a flat rate structure</w:t>
      </w:r>
    </w:p>
    <w:p w14:paraId="0F0759DA" w14:textId="77777777" w:rsidR="00A37634" w:rsidRPr="00A37634" w:rsidRDefault="00A37634" w:rsidP="00A37634">
      <w:pPr>
        <w:numPr>
          <w:ilvl w:val="0"/>
          <w:numId w:val="38"/>
        </w:numPr>
        <w:spacing w:before="120" w:after="120" w:line="276" w:lineRule="auto"/>
        <w:ind w:left="1080"/>
        <w:contextualSpacing/>
        <w:rPr>
          <w:rFonts w:ascii="Calibri" w:eastAsia="Calibri" w:hAnsi="Calibri" w:cs="Calibri"/>
          <w:szCs w:val="20"/>
          <w:lang w:val="en-AU"/>
        </w:rPr>
      </w:pPr>
      <w:proofErr w:type="gramStart"/>
      <w:r w:rsidRPr="00A37634">
        <w:rPr>
          <w:rFonts w:ascii="Calibri" w:eastAsia="Calibri" w:hAnsi="Calibri" w:cs="Calibri"/>
          <w:szCs w:val="20"/>
          <w:lang w:val="en-AU"/>
        </w:rPr>
        <w:t>additional</w:t>
      </w:r>
      <w:proofErr w:type="gramEnd"/>
      <w:r w:rsidRPr="00A37634">
        <w:rPr>
          <w:rFonts w:ascii="Calibri" w:eastAsia="Calibri" w:hAnsi="Calibri" w:cs="Calibri"/>
          <w:szCs w:val="20"/>
          <w:lang w:val="en-AU"/>
        </w:rPr>
        <w:t xml:space="preserve"> targeted assistance for vulnerable consumers.” </w:t>
      </w:r>
    </w:p>
    <w:p w14:paraId="280ECBF3"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Enrolling consumers in an automated load-control DR program would be a very effective means of reducing their price exposure risk. It is theoretically possible that an appliance that is demand-managed during a DR event will try to recover that operation (and energy use) during a subsequent period when network charges are higher, and so impose higher tariff costs on the consumer. </w:t>
      </w:r>
    </w:p>
    <w:p w14:paraId="5AB2F541"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However, this is contrary to logic. DRSPs would derive most commercial benefit from activating the DR capability under their control at the times of </w:t>
      </w:r>
      <w:r w:rsidRPr="00A37634">
        <w:rPr>
          <w:rFonts w:ascii="Calibri" w:eastAsia="Calibri" w:hAnsi="Calibri" w:cs="Calibri"/>
          <w:i/>
          <w:iCs/>
          <w:szCs w:val="20"/>
          <w:lang w:val="en-AU"/>
        </w:rPr>
        <w:t>highest</w:t>
      </w:r>
      <w:r w:rsidRPr="00A37634">
        <w:rPr>
          <w:rFonts w:ascii="Calibri" w:eastAsia="Calibri" w:hAnsi="Calibri" w:cs="Calibri"/>
          <w:szCs w:val="20"/>
          <w:lang w:val="en-AU"/>
        </w:rPr>
        <w:t xml:space="preserve"> network costs, so shifting usage into times when network charges and tariffs are lower. Also, it would be relatively straightforward for DRSPs to contractually indemnify their customers against any such price risk.</w:t>
      </w:r>
    </w:p>
    <w:p w14:paraId="1E779F7F"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ultimate protection for consumers, however, is that participation in any DR programs, including those using the capabilities of their AS/NZS 4755-compliant products, would be voluntary. If the DRSP were unable to offer then sufficient incentive they would not join, and if they found that the costs exceeded the benefits they could withdraw. </w:t>
      </w:r>
    </w:p>
    <w:p w14:paraId="6E2E9FA7" w14:textId="77777777" w:rsidR="00A37634" w:rsidRPr="00A37634" w:rsidRDefault="00A37634" w:rsidP="00A37634">
      <w:pPr>
        <w:pageBreakBefore/>
        <w:pBdr>
          <w:bottom w:val="single" w:sz="12" w:space="1" w:color="ED1B24"/>
        </w:pBdr>
        <w:spacing w:before="200" w:after="600" w:line="240" w:lineRule="auto"/>
        <w:outlineLvl w:val="0"/>
        <w:rPr>
          <w:rFonts w:ascii="Calibri" w:eastAsia="Times New Roman" w:hAnsi="Calibri" w:cs="Calibri"/>
          <w:b/>
          <w:bCs/>
          <w:color w:val="ED1B24"/>
          <w:sz w:val="50"/>
          <w:szCs w:val="28"/>
          <w:lang w:val="en-AU"/>
        </w:rPr>
      </w:pPr>
      <w:bookmarkStart w:id="98" w:name="_Toc16500974"/>
      <w:r w:rsidRPr="00A37634">
        <w:rPr>
          <w:rFonts w:ascii="Calibri" w:eastAsia="Times New Roman" w:hAnsi="Calibri" w:cs="Calibri"/>
          <w:b/>
          <w:bCs/>
          <w:color w:val="ED1B24"/>
          <w:sz w:val="50"/>
          <w:szCs w:val="28"/>
          <w:lang w:val="en-AU"/>
        </w:rPr>
        <w:t>Implementation and Timing</w:t>
      </w:r>
      <w:bookmarkEnd w:id="98"/>
    </w:p>
    <w:p w14:paraId="0DAFC5AD"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It is proposed that all ACs, electric storage water heaters, pool pump controllers and EV chargers that are supplied or offered for supply would have to comply with either the relevant part of AS/NZS 4755 Part 3 or with AS 4755.2.</w:t>
      </w:r>
    </w:p>
    <w:p w14:paraId="2B3F4901"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For ACs and electric storage water heaters, which are covered by existing GEMS Determinations for energy efficiency, the measure will be implemented by revised Determinations under the GEMS Act 2012 to be made by 1 July 2021. </w:t>
      </w:r>
    </w:p>
    <w:p w14:paraId="35E065F5"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For pool pump controllers and EV chargers, implementation is less straightforward. There are no existing GEMS Determinations for these products, and the GEMS Act would need to be amended to allow a stand-alone GEMS Determination covering this type of requirement to be made. The final recommendations of the independent review of the GEMS Act, and the Commonwealth Government and COAG Energy Council responses to these recommendations, will largely determine whether this approach is possible. Given the timeframes involved with amending an Act, implementation under this approach would see a GEMS Determination by 1 July 2022. </w:t>
      </w:r>
    </w:p>
    <w:p w14:paraId="7CB4437D"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Some jurisdictions with imminent network issues requiring more controllable devices in the system may consider an earlier implementation using local regulation.</w:t>
      </w:r>
    </w:p>
    <w:p w14:paraId="2A8E0A4C"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This timing is predicated on COAG Energy Council Ministers deciding to proceed by the end of 2019. </w:t>
      </w:r>
    </w:p>
    <w:p w14:paraId="262DD110"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It is envisaged that In New Zealand, any policy proposals would be approved by Cabinet before being adopted under the Energy Efficiency (Energy Using Products) Regulations 2002.</w:t>
      </w:r>
    </w:p>
    <w:p w14:paraId="46BA2948"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At present, there is no part of AS/NZS 4755 covering EV chargers. A draft (AS/NZS 4755.3.4) was released for public comment in 2013, but later withdrawn.</w:t>
      </w:r>
      <w:r w:rsidRPr="00A37634">
        <w:rPr>
          <w:rFonts w:ascii="Calibri" w:eastAsia="Calibri" w:hAnsi="Calibri" w:cs="Calibri"/>
          <w:szCs w:val="20"/>
          <w:vertAlign w:val="superscript"/>
          <w:lang w:val="en-AU"/>
        </w:rPr>
        <w:footnoteReference w:id="69"/>
      </w:r>
      <w:r w:rsidRPr="00A37634">
        <w:rPr>
          <w:rFonts w:ascii="Calibri" w:eastAsia="Calibri" w:hAnsi="Calibri" w:cs="Calibri"/>
          <w:szCs w:val="20"/>
          <w:lang w:val="en-AU"/>
        </w:rPr>
        <w:t xml:space="preserve"> It will be necessary to re-commence drafting of AS/NZS 4755 and/or add a new Appendix to (DR) AS 4755.2, if the same compliance options are to be available for EV chargers as for the other products. Alternatively, implementation could be achieved by including the technical content in a GEMS Determination.</w:t>
      </w:r>
    </w:p>
    <w:p w14:paraId="6ECE7A28"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Since the 2013 Consultation RIS, two additional product categories have become significant for peak demand and for the management of an increasingly renewables-intensive network: home storage batteries and PV inverters. Some PV owners are installing batteries to absorb energy at peak solar times when their electricity demand is low and the excess energy would otherwise be sent to the grid, generally for a low buy-back rate. While battery owners usually manage charging and discharging to optimise their financial returns, this can create network peaks if all batteries charge or discharge simultaneously, as might occur at tariff step times. </w:t>
      </w:r>
    </w:p>
    <w:p w14:paraId="023149EB" w14:textId="77777777" w:rsidR="00A37634" w:rsidRPr="00A37634" w:rsidRDefault="00A37634" w:rsidP="00A37634">
      <w:pPr>
        <w:spacing w:before="120"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The ENA sponsored the development of AS/NZS 4755.3.5:2016 </w:t>
      </w:r>
      <w:r w:rsidRPr="00A37634">
        <w:rPr>
          <w:rFonts w:ascii="Calibri" w:eastAsia="Calibri" w:hAnsi="Calibri" w:cs="Calibri"/>
          <w:i/>
          <w:iCs/>
          <w:szCs w:val="20"/>
          <w:lang w:val="en-AU"/>
        </w:rPr>
        <w:t>Operational instructions and connections for grid-connected electrical energy storage systems</w:t>
      </w:r>
      <w:r w:rsidRPr="00A37634">
        <w:rPr>
          <w:rFonts w:ascii="Calibri" w:eastAsia="Calibri" w:hAnsi="Calibri" w:cs="Calibri"/>
          <w:szCs w:val="20"/>
          <w:lang w:val="en-AU"/>
        </w:rPr>
        <w:t xml:space="preserve"> (including battery charge controllers) in order to have a means of reducing this risk through DR. While compliance for battery charge controllers or PV inverters is not part of this proposal, there would be a longer-term opportunity to incorporate all major elements of distributed energy (generation, load and storage) into a unified, open-standard demand response platform.  </w:t>
      </w:r>
    </w:p>
    <w:p w14:paraId="37ED79BD" w14:textId="77777777" w:rsidR="00A37634" w:rsidRPr="00A37634" w:rsidRDefault="00A37634" w:rsidP="00A37634">
      <w:pPr>
        <w:spacing w:after="120" w:line="276" w:lineRule="auto"/>
        <w:rPr>
          <w:rFonts w:ascii="Calibri" w:eastAsia="Calibri" w:hAnsi="Calibri" w:cs="Calibri"/>
          <w:szCs w:val="20"/>
          <w:lang w:val="en-AU"/>
        </w:rPr>
      </w:pPr>
    </w:p>
    <w:p w14:paraId="2C641870" w14:textId="77777777" w:rsidR="00A37634" w:rsidRPr="00A37634" w:rsidRDefault="00A37634" w:rsidP="00A37634">
      <w:pPr>
        <w:spacing w:after="120" w:line="276" w:lineRule="auto"/>
        <w:rPr>
          <w:rFonts w:ascii="Calibri" w:eastAsia="Calibri" w:hAnsi="Calibri" w:cs="Calibri"/>
          <w:szCs w:val="20"/>
          <w:lang w:val="en-AU"/>
        </w:rPr>
      </w:pPr>
    </w:p>
    <w:p w14:paraId="170A43D3" w14:textId="77777777" w:rsidR="00A37634" w:rsidRPr="00A37634" w:rsidRDefault="00A37634" w:rsidP="00A37634">
      <w:pPr>
        <w:spacing w:after="120" w:line="276" w:lineRule="auto"/>
        <w:rPr>
          <w:rFonts w:ascii="Calibri" w:eastAsia="Calibri" w:hAnsi="Calibri" w:cs="Calibri"/>
          <w:szCs w:val="20"/>
          <w:lang w:val="en-AU"/>
        </w:rPr>
      </w:pPr>
    </w:p>
    <w:p w14:paraId="7FD8C5E6" w14:textId="77777777" w:rsidR="00A37634" w:rsidRPr="00A37634" w:rsidRDefault="00A37634" w:rsidP="00A37634">
      <w:pPr>
        <w:spacing w:after="120" w:line="276" w:lineRule="auto"/>
        <w:rPr>
          <w:rFonts w:ascii="Calibri" w:eastAsia="Calibri" w:hAnsi="Calibri" w:cs="Calibri"/>
          <w:szCs w:val="20"/>
          <w:lang w:val="en-AU"/>
        </w:rPr>
      </w:pPr>
    </w:p>
    <w:p w14:paraId="3A2CF700" w14:textId="77777777" w:rsidR="00A37634" w:rsidRPr="00A37634" w:rsidRDefault="00A37634" w:rsidP="00A37634">
      <w:pPr>
        <w:spacing w:after="120" w:line="276" w:lineRule="auto"/>
        <w:rPr>
          <w:rFonts w:ascii="Calibri" w:eastAsia="Calibri" w:hAnsi="Calibri" w:cs="Calibri"/>
          <w:szCs w:val="20"/>
          <w:lang w:val="en-AU"/>
        </w:rPr>
      </w:pPr>
    </w:p>
    <w:p w14:paraId="6A0C8AF2" w14:textId="77777777" w:rsidR="00A37634" w:rsidRPr="00A37634" w:rsidRDefault="00A37634" w:rsidP="00A37634">
      <w:pPr>
        <w:pageBreakBefore/>
        <w:pBdr>
          <w:bottom w:val="single" w:sz="12" w:space="1" w:color="ED1B24"/>
        </w:pBdr>
        <w:spacing w:before="200" w:after="600" w:line="240" w:lineRule="auto"/>
        <w:outlineLvl w:val="0"/>
        <w:rPr>
          <w:rFonts w:ascii="Calibri" w:eastAsia="Times New Roman" w:hAnsi="Calibri" w:cs="Calibri"/>
          <w:b/>
          <w:bCs/>
          <w:color w:val="ED1B24"/>
          <w:sz w:val="50"/>
          <w:szCs w:val="28"/>
          <w:lang w:val="en-AU"/>
        </w:rPr>
      </w:pPr>
      <w:bookmarkStart w:id="99" w:name="_Toc16500975"/>
      <w:r w:rsidRPr="00A37634">
        <w:rPr>
          <w:rFonts w:ascii="Calibri" w:eastAsia="Times New Roman" w:hAnsi="Calibri" w:cs="Calibri"/>
          <w:b/>
          <w:bCs/>
          <w:color w:val="ED1B24"/>
          <w:sz w:val="50"/>
          <w:szCs w:val="28"/>
          <w:lang w:val="en-AU"/>
        </w:rPr>
        <w:t>Questions for Stakeholders</w:t>
      </w:r>
      <w:bookmarkEnd w:id="99"/>
      <w:r w:rsidRPr="00A37634">
        <w:rPr>
          <w:rFonts w:ascii="Calibri" w:eastAsia="Times New Roman" w:hAnsi="Calibri" w:cs="Calibri"/>
          <w:b/>
          <w:bCs/>
          <w:color w:val="ED1B24"/>
          <w:sz w:val="50"/>
          <w:szCs w:val="28"/>
          <w:lang w:val="en-AU"/>
        </w:rPr>
        <w:t xml:space="preserve"> </w:t>
      </w:r>
    </w:p>
    <w:p w14:paraId="7E3B5ED8" w14:textId="77777777" w:rsidR="00A37634" w:rsidRPr="00A37634" w:rsidRDefault="00A37634" w:rsidP="00A37634">
      <w:pPr>
        <w:spacing w:after="120" w:line="276" w:lineRule="auto"/>
        <w:rPr>
          <w:rFonts w:ascii="Calibri" w:eastAsia="Calibri" w:hAnsi="Calibri" w:cs="Calibri"/>
          <w:szCs w:val="20"/>
          <w:lang w:val="en-AU"/>
        </w:rPr>
      </w:pPr>
      <w:r w:rsidRPr="00A37634">
        <w:rPr>
          <w:rFonts w:ascii="Calibri" w:eastAsia="Calibri" w:hAnsi="Calibri" w:cs="Calibri"/>
          <w:szCs w:val="20"/>
          <w:lang w:val="en-AU"/>
        </w:rPr>
        <w:t xml:space="preserve">Written submissions are invited on any of the material in this Consultation Paper, but particularly on the following questions. </w:t>
      </w:r>
    </w:p>
    <w:p w14:paraId="46B28B1D"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Do you support the proposal to mandate compliance with AS/NZS 4755 for the nominated priority appliances? Please give reasons.</w:t>
      </w:r>
    </w:p>
    <w:p w14:paraId="4A8FC11C" w14:textId="77777777" w:rsidR="00A37634" w:rsidRPr="00A37634" w:rsidRDefault="00A37634" w:rsidP="00A37634">
      <w:pPr>
        <w:spacing w:after="113" w:line="278" w:lineRule="auto"/>
        <w:rPr>
          <w:rFonts w:ascii="Calibri" w:eastAsia="Calibri" w:hAnsi="Calibri" w:cs="Calibri"/>
          <w:szCs w:val="20"/>
          <w:lang w:val="en-AU"/>
        </w:rPr>
      </w:pPr>
    </w:p>
    <w:p w14:paraId="07F02664"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a. Is there any viable alternative options for meeting the objectives of the proposal, apart from the BAU case or mandating compliance with AS/NZS 4755?</w:t>
      </w:r>
      <w:r w:rsidRPr="00A37634">
        <w:rPr>
          <w:rFonts w:ascii="Calibri" w:eastAsia="Calibri" w:hAnsi="Calibri" w:cs="Calibri"/>
          <w:szCs w:val="20"/>
          <w:lang w:val="en-AU"/>
        </w:rPr>
        <w:br/>
        <w:t>b. Do you agree that including demand response capabilities on energy efficiency labelling and voluntary compliance with AS/NZS 4755 is not a viable alternative option?</w:t>
      </w:r>
    </w:p>
    <w:p w14:paraId="22FD8E4A" w14:textId="77777777" w:rsidR="00A37634" w:rsidRPr="00A37634" w:rsidRDefault="00A37634" w:rsidP="00A37634">
      <w:pPr>
        <w:spacing w:after="113" w:line="278" w:lineRule="auto"/>
        <w:ind w:left="360"/>
        <w:rPr>
          <w:rFonts w:ascii="Calibri" w:eastAsia="Calibri" w:hAnsi="Calibri" w:cs="Calibri"/>
          <w:szCs w:val="20"/>
          <w:lang w:val="en-AU"/>
        </w:rPr>
      </w:pPr>
    </w:p>
    <w:p w14:paraId="74487D0E"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Do you support</w:t>
      </w:r>
      <w:proofErr w:type="gramStart"/>
      <w:r w:rsidRPr="00A37634">
        <w:rPr>
          <w:rFonts w:ascii="Calibri" w:eastAsia="Calibri" w:hAnsi="Calibri" w:cs="Calibri"/>
          <w:szCs w:val="20"/>
          <w:lang w:val="en-AU"/>
        </w:rPr>
        <w:t>:</w:t>
      </w:r>
      <w:proofErr w:type="gramEnd"/>
      <w:r w:rsidRPr="00A37634">
        <w:rPr>
          <w:rFonts w:ascii="Calibri" w:eastAsia="Calibri" w:hAnsi="Calibri" w:cs="Calibri"/>
          <w:szCs w:val="20"/>
          <w:lang w:val="en-AU"/>
        </w:rPr>
        <w:br/>
        <w:t xml:space="preserve">a. permitting compliance with </w:t>
      </w:r>
      <w:r w:rsidRPr="00A37634">
        <w:rPr>
          <w:rFonts w:ascii="Calibri" w:eastAsia="Calibri" w:hAnsi="Calibri" w:cs="Calibri"/>
          <w:i/>
          <w:iCs/>
          <w:szCs w:val="20"/>
          <w:lang w:val="en-AU"/>
        </w:rPr>
        <w:t>either</w:t>
      </w:r>
      <w:r w:rsidRPr="00A37634">
        <w:rPr>
          <w:rFonts w:ascii="Calibri" w:eastAsia="Calibri" w:hAnsi="Calibri" w:cs="Calibri"/>
          <w:szCs w:val="20"/>
          <w:lang w:val="en-AU"/>
        </w:rPr>
        <w:t xml:space="preserve"> AS/NZS 4755.3 </w:t>
      </w:r>
      <w:r w:rsidRPr="00A37634">
        <w:rPr>
          <w:rFonts w:ascii="Calibri" w:eastAsia="Calibri" w:hAnsi="Calibri" w:cs="Calibri"/>
          <w:i/>
          <w:iCs/>
          <w:szCs w:val="20"/>
          <w:lang w:val="en-AU"/>
        </w:rPr>
        <w:t>or</w:t>
      </w:r>
      <w:r w:rsidRPr="00A37634">
        <w:rPr>
          <w:rFonts w:ascii="Calibri" w:eastAsia="Calibri" w:hAnsi="Calibri" w:cs="Calibri"/>
          <w:szCs w:val="20"/>
          <w:lang w:val="en-AU"/>
        </w:rPr>
        <w:t xml:space="preserve"> (DR) AS 4755.2?</w:t>
      </w:r>
      <w:r w:rsidRPr="00A37634">
        <w:rPr>
          <w:rFonts w:ascii="Calibri" w:eastAsia="Calibri" w:hAnsi="Calibri" w:cs="Calibri"/>
          <w:szCs w:val="20"/>
          <w:lang w:val="en-AU"/>
        </w:rPr>
        <w:br/>
      </w:r>
      <w:proofErr w:type="gramStart"/>
      <w:r w:rsidRPr="00A37634">
        <w:rPr>
          <w:rFonts w:ascii="Calibri" w:eastAsia="Calibri" w:hAnsi="Calibri" w:cs="Calibri"/>
          <w:szCs w:val="20"/>
          <w:lang w:val="en-AU"/>
        </w:rPr>
        <w:t>b</w:t>
      </w:r>
      <w:proofErr w:type="gramEnd"/>
      <w:r w:rsidRPr="00A37634">
        <w:rPr>
          <w:rFonts w:ascii="Calibri" w:eastAsia="Calibri" w:hAnsi="Calibri" w:cs="Calibri"/>
          <w:szCs w:val="20"/>
          <w:lang w:val="en-AU"/>
        </w:rPr>
        <w:t>. requiring compliance with all Demand Response Modes (DRMs)?</w:t>
      </w:r>
      <w:r w:rsidRPr="00A37634">
        <w:rPr>
          <w:rFonts w:ascii="Calibri" w:eastAsia="Calibri" w:hAnsi="Calibri" w:cs="Calibri"/>
          <w:szCs w:val="20"/>
          <w:lang w:val="en-AU"/>
        </w:rPr>
        <w:br/>
      </w:r>
    </w:p>
    <w:p w14:paraId="1BF26990"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Do you agree with the scope of the proposal: </w:t>
      </w:r>
      <w:r w:rsidRPr="00A37634">
        <w:rPr>
          <w:rFonts w:ascii="Calibri" w:eastAsia="Calibri" w:hAnsi="Calibri" w:cs="Calibri"/>
          <w:szCs w:val="20"/>
          <w:lang w:val="en-AU"/>
        </w:rPr>
        <w:br/>
        <w:t>a. air conditioners: up to 19 kW cooling capacity;</w:t>
      </w:r>
      <w:r w:rsidRPr="00A37634">
        <w:rPr>
          <w:rFonts w:ascii="Calibri" w:eastAsia="Calibri" w:hAnsi="Calibri" w:cs="Calibri"/>
          <w:szCs w:val="20"/>
          <w:vertAlign w:val="superscript"/>
          <w:lang w:val="en-AU"/>
        </w:rPr>
        <w:footnoteReference w:id="70"/>
      </w:r>
      <w:r w:rsidRPr="00A37634">
        <w:rPr>
          <w:rFonts w:ascii="Calibri" w:eastAsia="Calibri" w:hAnsi="Calibri" w:cs="Calibri"/>
          <w:szCs w:val="20"/>
          <w:lang w:val="en-AU"/>
        </w:rPr>
        <w:t xml:space="preserve"> </w:t>
      </w:r>
      <w:r w:rsidRPr="00A37634">
        <w:rPr>
          <w:rFonts w:ascii="Calibri" w:eastAsia="Calibri" w:hAnsi="Calibri" w:cs="Calibri"/>
          <w:szCs w:val="20"/>
          <w:lang w:val="en-AU"/>
        </w:rPr>
        <w:br/>
        <w:t xml:space="preserve">b. pool pump-unit controllers; </w:t>
      </w:r>
      <w:r w:rsidRPr="00A37634">
        <w:rPr>
          <w:rFonts w:ascii="Calibri" w:eastAsia="Calibri" w:hAnsi="Calibri" w:cs="Calibri"/>
          <w:szCs w:val="20"/>
          <w:lang w:val="en-AU"/>
        </w:rPr>
        <w:br/>
        <w:t>c. electric storage water heaters (excluding solar-electric and heat pump water heaters);</w:t>
      </w:r>
      <w:r w:rsidRPr="00A37634">
        <w:rPr>
          <w:rFonts w:ascii="Calibri" w:eastAsia="Calibri" w:hAnsi="Calibri" w:cs="Calibri"/>
          <w:szCs w:val="20"/>
          <w:vertAlign w:val="superscript"/>
          <w:lang w:val="en-AU"/>
        </w:rPr>
        <w:footnoteReference w:id="71"/>
      </w:r>
      <w:r w:rsidRPr="00A37634">
        <w:rPr>
          <w:rFonts w:ascii="Calibri" w:eastAsia="Calibri" w:hAnsi="Calibri" w:cs="Calibri"/>
          <w:szCs w:val="20"/>
          <w:lang w:val="en-AU"/>
        </w:rPr>
        <w:t xml:space="preserve"> and </w:t>
      </w:r>
      <w:r w:rsidRPr="00A37634">
        <w:rPr>
          <w:rFonts w:ascii="Calibri" w:eastAsia="Calibri" w:hAnsi="Calibri" w:cs="Calibri"/>
          <w:szCs w:val="20"/>
          <w:lang w:val="en-AU"/>
        </w:rPr>
        <w:br/>
        <w:t xml:space="preserve">d. charge/discharge controllers for electric vehicles (SAE Level 2 or IEC Mode 3). </w:t>
      </w:r>
      <w:r w:rsidRPr="00A37634">
        <w:rPr>
          <w:rFonts w:ascii="Calibri" w:eastAsia="Calibri" w:hAnsi="Calibri" w:cs="Calibri"/>
          <w:szCs w:val="20"/>
          <w:lang w:val="en-AU"/>
        </w:rPr>
        <w:br/>
        <w:t>e. If not, what products (or capacity limits) would you propose be included or excluded, and why?</w:t>
      </w:r>
      <w:r w:rsidRPr="00A37634">
        <w:rPr>
          <w:rFonts w:ascii="Calibri" w:eastAsia="Calibri" w:hAnsi="Calibri" w:cs="Calibri"/>
          <w:szCs w:val="20"/>
          <w:lang w:val="en-AU"/>
        </w:rPr>
        <w:br/>
      </w:r>
    </w:p>
    <w:p w14:paraId="3DC88D4F"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a. Do you have information that demonstrates the ability of so-called “smart home” devices and systems to achieve automated demand response for the appliances within the scope of this proposal? Is so, please provide this information and specify which particular “smart” devices? (Please be specific with regard to the capabilities you envisage for such devices or systems, and whether you would expect them to conform to any particular standards).</w:t>
      </w:r>
      <w:r w:rsidRPr="00A37634">
        <w:rPr>
          <w:rFonts w:ascii="Calibri" w:eastAsia="Calibri" w:hAnsi="Calibri" w:cs="Calibri"/>
          <w:szCs w:val="20"/>
          <w:lang w:val="en-AU"/>
        </w:rPr>
        <w:br/>
        <w:t xml:space="preserve">b. Would adoption of proprietary “smart home” systems undermine the benefits of peak demand reduction into the future? </w:t>
      </w:r>
      <w:r w:rsidRPr="00A37634">
        <w:rPr>
          <w:rFonts w:ascii="Calibri" w:eastAsia="Calibri" w:hAnsi="Calibri" w:cs="Calibri"/>
          <w:szCs w:val="20"/>
          <w:lang w:val="en-AU"/>
        </w:rPr>
        <w:br/>
        <w:t>c. How many products currently on the market have the ability to connect to demand response programs? If so, which or what type of programs?</w:t>
      </w:r>
      <w:r w:rsidRPr="00A37634">
        <w:rPr>
          <w:rFonts w:ascii="Calibri" w:eastAsia="Calibri" w:hAnsi="Calibri" w:cs="Calibri"/>
          <w:szCs w:val="20"/>
          <w:lang w:val="en-AU"/>
        </w:rPr>
        <w:br/>
        <w:t xml:space="preserve">d. Is there a risk that a mandatory AS/NZS 4755 standard may become obsolete as new technologies/innovative products achieve the same objectives without using AS/NZS 4755? </w:t>
      </w:r>
      <w:r w:rsidRPr="00A37634">
        <w:rPr>
          <w:rFonts w:ascii="Calibri" w:eastAsia="Calibri" w:hAnsi="Calibri" w:cs="Calibri"/>
          <w:szCs w:val="20"/>
          <w:lang w:val="en-AU"/>
        </w:rPr>
        <w:br/>
      </w:r>
    </w:p>
    <w:p w14:paraId="51E1DAED"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What is your estimate of how much complying with the requirement will increase the price of each product? If a product complies with DRM 1, are there any additional costs incurred for a product to comply with the other DRM modes?</w:t>
      </w:r>
      <w:r w:rsidRPr="00A37634">
        <w:rPr>
          <w:rFonts w:ascii="Calibri" w:eastAsia="Calibri" w:hAnsi="Calibri" w:cs="Calibri"/>
          <w:szCs w:val="20"/>
          <w:lang w:val="en-AU"/>
        </w:rPr>
        <w:br/>
      </w:r>
    </w:p>
    <w:p w14:paraId="60989E06" w14:textId="77777777" w:rsidR="00A37634" w:rsidRPr="00A37634" w:rsidRDefault="00A37634" w:rsidP="00A37634">
      <w:pPr>
        <w:numPr>
          <w:ilvl w:val="0"/>
          <w:numId w:val="12"/>
        </w:numPr>
        <w:spacing w:after="120" w:line="276" w:lineRule="auto"/>
        <w:contextualSpacing/>
        <w:rPr>
          <w:rFonts w:ascii="Calibri" w:eastAsia="Calibri" w:hAnsi="Calibri" w:cs="Calibri"/>
          <w:szCs w:val="20"/>
          <w:lang w:val="en-AU"/>
        </w:rPr>
      </w:pPr>
      <w:r w:rsidRPr="00A37634">
        <w:rPr>
          <w:rFonts w:ascii="Calibri" w:eastAsia="Calibri" w:hAnsi="Calibri" w:cs="Calibri"/>
          <w:szCs w:val="20"/>
          <w:lang w:val="en-AU"/>
        </w:rPr>
        <w:t>Are the data and assumptions used in the cost-benefit estimates reasonable? Do you have information or data that can improve these estimates?</w:t>
      </w:r>
      <w:r w:rsidRPr="00A37634">
        <w:rPr>
          <w:rFonts w:ascii="Calibri" w:eastAsia="Calibri" w:hAnsi="Calibri" w:cs="Calibri"/>
          <w:szCs w:val="20"/>
          <w:lang w:val="en-AU"/>
        </w:rPr>
        <w:br/>
      </w:r>
    </w:p>
    <w:p w14:paraId="59F3238B"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Do you think the estimates of activation rates and costs are reasonable? </w:t>
      </w:r>
      <w:bookmarkStart w:id="101" w:name="_Hlk13085383"/>
      <w:r w:rsidRPr="00A37634">
        <w:rPr>
          <w:rFonts w:ascii="Calibri" w:eastAsia="Calibri" w:hAnsi="Calibri" w:cs="Calibri"/>
          <w:szCs w:val="20"/>
          <w:lang w:val="en-AU"/>
        </w:rPr>
        <w:t>Do you have information or data that can improve these estimates?</w:t>
      </w:r>
      <w:bookmarkEnd w:id="101"/>
      <w:r w:rsidRPr="00A37634">
        <w:rPr>
          <w:rFonts w:ascii="Calibri" w:eastAsia="Calibri" w:hAnsi="Calibri" w:cs="Calibri"/>
          <w:szCs w:val="20"/>
          <w:lang w:val="en-AU"/>
        </w:rPr>
        <w:br/>
      </w:r>
    </w:p>
    <w:p w14:paraId="5FA783C1"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Do you think the estimates of annual participant costs are reasonable? Do you have information or data that can improve these estimates? </w:t>
      </w:r>
      <w:r w:rsidRPr="00A37634">
        <w:rPr>
          <w:rFonts w:ascii="Calibri" w:eastAsia="Calibri" w:hAnsi="Calibri" w:cs="Calibri"/>
          <w:szCs w:val="20"/>
          <w:lang w:val="en-AU"/>
        </w:rPr>
        <w:br/>
      </w:r>
    </w:p>
    <w:p w14:paraId="38767169"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Is lack of demand response capable products a barrier to the introduction of demand response programs for small consumers? Do you think that mandating demand response capability for these products will lead to their activation and to consumer enrolment in DR programs?</w:t>
      </w:r>
      <w:r w:rsidRPr="00A37634">
        <w:rPr>
          <w:rFonts w:ascii="Calibri" w:eastAsia="Calibri" w:hAnsi="Calibri" w:cs="Calibri"/>
          <w:szCs w:val="20"/>
          <w:lang w:val="en-AU"/>
        </w:rPr>
        <w:br/>
      </w:r>
    </w:p>
    <w:p w14:paraId="32E98B02"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It is assumed that the cost of communications platforms to support demand response and direct load control services will be low (e.g. through the use of existing electricity supply infrastructure such as ripple controls or smart meters, or general infrastructure such as </w:t>
      </w:r>
      <w:proofErr w:type="spellStart"/>
      <w:r w:rsidRPr="00A37634">
        <w:rPr>
          <w:rFonts w:ascii="Calibri" w:eastAsia="Calibri" w:hAnsi="Calibri" w:cs="Calibri"/>
          <w:szCs w:val="20"/>
          <w:lang w:val="en-AU"/>
        </w:rPr>
        <w:t>WiFi</w:t>
      </w:r>
      <w:proofErr w:type="spellEnd"/>
      <w:r w:rsidRPr="00A37634">
        <w:rPr>
          <w:rFonts w:ascii="Calibri" w:eastAsia="Calibri" w:hAnsi="Calibri" w:cs="Calibri"/>
          <w:szCs w:val="20"/>
          <w:lang w:val="en-AU"/>
        </w:rPr>
        <w:t xml:space="preserve"> or 3G/4G/5G). Do you agree? If not, can you provide estimates of the platform set-up costs?</w:t>
      </w:r>
      <w:r w:rsidRPr="00A37634">
        <w:rPr>
          <w:rFonts w:ascii="Calibri" w:eastAsia="Calibri" w:hAnsi="Calibri" w:cs="Calibri"/>
          <w:szCs w:val="20"/>
          <w:lang w:val="en-AU"/>
        </w:rPr>
        <w:br/>
      </w:r>
    </w:p>
    <w:p w14:paraId="4486989A"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What implications (positive or negative) would the proposals have for your industry, in terms of activity, profitability and employment?</w:t>
      </w:r>
      <w:r w:rsidRPr="00A37634">
        <w:rPr>
          <w:rFonts w:ascii="Calibri" w:eastAsia="Calibri" w:hAnsi="Calibri" w:cs="Calibri"/>
          <w:szCs w:val="20"/>
          <w:lang w:val="en-AU"/>
        </w:rPr>
        <w:br/>
      </w:r>
    </w:p>
    <w:p w14:paraId="7A9933B8"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What can appliance suppliers, installers and energy utilities do to facilitate customer enrolment in direct load control or demand response programs?</w:t>
      </w:r>
      <w:r w:rsidRPr="00A37634">
        <w:rPr>
          <w:rFonts w:ascii="Calibri" w:eastAsia="Calibri" w:hAnsi="Calibri" w:cs="Calibri"/>
          <w:szCs w:val="20"/>
          <w:lang w:val="en-AU"/>
        </w:rPr>
        <w:br/>
      </w:r>
    </w:p>
    <w:p w14:paraId="626209A3"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Do you think the proposal would reduce competition among product suppliers, reduce consumer choice or lead to an increase in product prices (beyond what is expected to occur)?</w:t>
      </w:r>
      <w:r w:rsidRPr="00A37634">
        <w:rPr>
          <w:rFonts w:ascii="Calibri" w:eastAsia="Calibri" w:hAnsi="Calibri" w:cs="Calibri"/>
          <w:szCs w:val="20"/>
          <w:lang w:val="en-AU"/>
        </w:rPr>
        <w:br/>
      </w:r>
    </w:p>
    <w:p w14:paraId="66188C5A"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Times New Roman"/>
          <w:szCs w:val="20"/>
          <w:lang w:val="en-AU"/>
        </w:rPr>
        <w:t>If the measure is implemented, what is the earliest feasible date by which products could comply? How much lead time should there be after publication of the final requirements?</w:t>
      </w:r>
      <w:r w:rsidRPr="00A37634">
        <w:rPr>
          <w:rFonts w:ascii="Calibri" w:eastAsia="Calibri" w:hAnsi="Calibri" w:cs="Calibri"/>
          <w:szCs w:val="20"/>
          <w:lang w:val="en-AU"/>
        </w:rPr>
        <w:br/>
        <w:t xml:space="preserve"> </w:t>
      </w:r>
    </w:p>
    <w:p w14:paraId="56CD463D"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Do you consider that there are any major technical or functional issues related to the proposal? If so, how should these be addressed?</w:t>
      </w:r>
    </w:p>
    <w:p w14:paraId="1C0C816E" w14:textId="77777777" w:rsidR="00A37634" w:rsidRPr="00A37634" w:rsidRDefault="00A37634" w:rsidP="00A37634">
      <w:pPr>
        <w:spacing w:after="113" w:line="278" w:lineRule="auto"/>
        <w:ind w:left="360"/>
        <w:rPr>
          <w:rFonts w:ascii="Calibri" w:eastAsia="Calibri" w:hAnsi="Calibri" w:cs="Calibri"/>
          <w:szCs w:val="20"/>
          <w:lang w:val="en-AU"/>
        </w:rPr>
      </w:pPr>
    </w:p>
    <w:p w14:paraId="26CE28B0"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How should the changes in demand or energy during DR events involving AS/NZS 4755-compliant products be measured? What would should be the notional “baselines?”  Is the estimation of baselines more or less reliable than for other DR approaches? </w:t>
      </w:r>
      <w:r w:rsidRPr="00A37634">
        <w:rPr>
          <w:rFonts w:ascii="Calibri" w:eastAsia="Calibri" w:hAnsi="Calibri" w:cs="Calibri"/>
          <w:szCs w:val="20"/>
          <w:lang w:val="en-AU"/>
        </w:rPr>
        <w:br/>
      </w:r>
    </w:p>
    <w:p w14:paraId="4DFBA59A"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How will the proposal impact on electricity prices and energy network costs and investment requirements?</w:t>
      </w:r>
      <w:r w:rsidRPr="00A37634">
        <w:rPr>
          <w:rFonts w:ascii="Calibri" w:eastAsia="Calibri" w:hAnsi="Calibri" w:cs="Calibri"/>
          <w:szCs w:val="20"/>
          <w:lang w:val="en-AU"/>
        </w:rPr>
        <w:br/>
      </w:r>
    </w:p>
    <w:p w14:paraId="4A0CF197"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Do you think that the effectiveness of the proposal depends on the implementation of more cost-reflective pricing, e.g. time-of-use (TOU) tariffs?</w:t>
      </w:r>
      <w:r w:rsidRPr="00A37634">
        <w:rPr>
          <w:rFonts w:ascii="Calibri" w:eastAsia="Calibri" w:hAnsi="Calibri" w:cs="Calibri"/>
          <w:szCs w:val="20"/>
          <w:lang w:val="en-AU"/>
        </w:rPr>
        <w:br/>
        <w:t xml:space="preserve"> </w:t>
      </w:r>
    </w:p>
    <w:p w14:paraId="6D9D163A"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In regard to the regional aspects of the proposal do you consider that it would provide significantly more benefits in certain regions? If so which ones? Will any regions be largely unaffected? If so which ones? What causes these differences in impacts between regions?</w:t>
      </w:r>
      <w:r w:rsidRPr="00A37634">
        <w:rPr>
          <w:rFonts w:ascii="Calibri" w:eastAsia="Calibri" w:hAnsi="Calibri" w:cs="Calibri"/>
          <w:szCs w:val="20"/>
          <w:lang w:val="en-AU"/>
        </w:rPr>
        <w:br/>
      </w:r>
    </w:p>
    <w:p w14:paraId="3E6AB03F"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 xml:space="preserve">(To electricity network service providers, electricity retail companies and DR aggregators specifically). </w:t>
      </w:r>
      <w:r w:rsidRPr="00A37634">
        <w:rPr>
          <w:rFonts w:ascii="Calibri" w:eastAsia="Calibri" w:hAnsi="Calibri" w:cs="Calibri"/>
          <w:szCs w:val="20"/>
          <w:lang w:val="en-AU"/>
        </w:rPr>
        <w:br/>
        <w:t>a. Is it your company’s intention to offer tariff or other incentives for customers to have demand response capabilities on the appliances in question activated and to participate in demand response programs? Are there any specific barriers (or lack of incentives) that would prevent your company from offering and promoting such programs?</w:t>
      </w:r>
      <w:r w:rsidRPr="00A37634">
        <w:rPr>
          <w:rFonts w:ascii="Calibri" w:eastAsia="Calibri" w:hAnsi="Calibri" w:cs="Calibri"/>
          <w:szCs w:val="20"/>
          <w:lang w:val="en-AU"/>
        </w:rPr>
        <w:br/>
        <w:t>b. Would you offer tariff or other incentives to customers to participate in demand response programs using “smart home” device functionality? (</w:t>
      </w:r>
      <w:proofErr w:type="gramStart"/>
      <w:r w:rsidRPr="00A37634">
        <w:rPr>
          <w:rFonts w:ascii="Calibri" w:eastAsia="Calibri" w:hAnsi="Calibri" w:cs="Calibri"/>
          <w:szCs w:val="20"/>
          <w:lang w:val="en-AU"/>
        </w:rPr>
        <w:t>if</w:t>
      </w:r>
      <w:proofErr w:type="gramEnd"/>
      <w:r w:rsidRPr="00A37634">
        <w:rPr>
          <w:rFonts w:ascii="Calibri" w:eastAsia="Calibri" w:hAnsi="Calibri" w:cs="Calibri"/>
          <w:szCs w:val="20"/>
          <w:lang w:val="en-AU"/>
        </w:rPr>
        <w:t xml:space="preserve"> so, please specify the type of functionality/</w:t>
      </w:r>
      <w:proofErr w:type="spellStart"/>
      <w:r w:rsidRPr="00A37634">
        <w:rPr>
          <w:rFonts w:ascii="Calibri" w:eastAsia="Calibri" w:hAnsi="Calibri" w:cs="Calibri"/>
          <w:szCs w:val="20"/>
          <w:lang w:val="en-AU"/>
        </w:rPr>
        <w:t>ies</w:t>
      </w:r>
      <w:proofErr w:type="spellEnd"/>
      <w:r w:rsidRPr="00A37634">
        <w:rPr>
          <w:rFonts w:ascii="Calibri" w:eastAsia="Calibri" w:hAnsi="Calibri" w:cs="Calibri"/>
          <w:szCs w:val="20"/>
          <w:lang w:val="en-AU"/>
        </w:rPr>
        <w:t>). Are there any specific barriers (or lack of incentives) that would prevent your company from offering and promoting such programs?</w:t>
      </w:r>
      <w:r w:rsidRPr="00A37634">
        <w:rPr>
          <w:rFonts w:ascii="Calibri" w:eastAsia="Calibri" w:hAnsi="Calibri" w:cs="Calibri"/>
          <w:szCs w:val="20"/>
          <w:lang w:val="en-AU"/>
        </w:rPr>
        <w:br/>
        <w:t>c. In your opinion, what proportion of householders with appliances with the above type of “smart home” device functionality/</w:t>
      </w:r>
      <w:proofErr w:type="spellStart"/>
      <w:r w:rsidRPr="00A37634">
        <w:rPr>
          <w:rFonts w:ascii="Calibri" w:eastAsia="Calibri" w:hAnsi="Calibri" w:cs="Calibri"/>
          <w:szCs w:val="20"/>
          <w:lang w:val="en-AU"/>
        </w:rPr>
        <w:t>ies</w:t>
      </w:r>
      <w:proofErr w:type="spellEnd"/>
      <w:r w:rsidRPr="00A37634">
        <w:rPr>
          <w:rFonts w:ascii="Calibri" w:eastAsia="Calibri" w:hAnsi="Calibri" w:cs="Calibri"/>
          <w:szCs w:val="20"/>
          <w:lang w:val="en-AU"/>
        </w:rPr>
        <w:t xml:space="preserve"> will participate in demand response programs? Do you have survey or other evidence to support your view?</w:t>
      </w:r>
      <w:r w:rsidRPr="00A37634">
        <w:rPr>
          <w:rFonts w:ascii="Calibri" w:eastAsia="Calibri" w:hAnsi="Calibri" w:cs="Calibri"/>
          <w:szCs w:val="20"/>
          <w:lang w:val="en-AU"/>
        </w:rPr>
        <w:br/>
        <w:t>d. What would be the total MW of appliance demand response capability (or number of participating appliances) required to defer the need for network investment to manage peak demand in your area/s of operation?</w:t>
      </w:r>
      <w:r w:rsidRPr="00A37634">
        <w:rPr>
          <w:rFonts w:ascii="Calibri" w:eastAsia="Calibri" w:hAnsi="Calibri" w:cs="Calibri"/>
          <w:szCs w:val="20"/>
          <w:lang w:val="en-AU"/>
        </w:rPr>
        <w:br/>
        <w:t xml:space="preserve"> </w:t>
      </w:r>
    </w:p>
    <w:p w14:paraId="1DF8406C"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In your opinion, what proportion of householders with AS/NZS 4755-compliant appliances will have the demand response capabilities activated and will participate in demand response programs? Do you have survey or other evidence to support your view?</w:t>
      </w:r>
      <w:r w:rsidRPr="00A37634">
        <w:rPr>
          <w:rFonts w:ascii="Calibri" w:eastAsia="Calibri" w:hAnsi="Calibri" w:cs="Calibri"/>
          <w:szCs w:val="20"/>
          <w:lang w:val="en-AU"/>
        </w:rPr>
        <w:br/>
      </w:r>
    </w:p>
    <w:p w14:paraId="57CC396A"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(To consumer and welfare organisations). In your opinion, what measures should be taken to ensure that consumers are adequately informed of the potential costs, as well as the benefits, of entering contracts that enable the demand response capabilities on their appliances to be activated?</w:t>
      </w:r>
      <w:r w:rsidRPr="00A37634">
        <w:rPr>
          <w:rFonts w:ascii="Calibri" w:eastAsia="Calibri" w:hAnsi="Calibri" w:cs="Calibri"/>
          <w:szCs w:val="20"/>
          <w:lang w:val="en-AU"/>
        </w:rPr>
        <w:br/>
      </w:r>
    </w:p>
    <w:p w14:paraId="50C36A9A"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(To electricity market regulators). Do you consider that the regulatory arrangements provide utilities and potential DR aggregators with sufficient incentive to offer (or commission) small-consumer demand response as a means of reducing investment in supply-side infrastructure?</w:t>
      </w:r>
    </w:p>
    <w:p w14:paraId="73DD80A4" w14:textId="77777777" w:rsidR="00A37634" w:rsidRPr="00A37634" w:rsidRDefault="00A37634" w:rsidP="00A37634">
      <w:pPr>
        <w:spacing w:after="113" w:line="278" w:lineRule="auto"/>
        <w:ind w:left="360"/>
        <w:rPr>
          <w:rFonts w:ascii="Calibri" w:eastAsia="Calibri" w:hAnsi="Calibri" w:cs="Calibri"/>
          <w:szCs w:val="20"/>
          <w:lang w:val="en-AU"/>
        </w:rPr>
      </w:pPr>
    </w:p>
    <w:p w14:paraId="139D0699"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How do existing electricity market rules which enable and encourage DNSPs and TNSPs to invest in demand response programs impact on, or interact with the proposal?</w:t>
      </w:r>
    </w:p>
    <w:p w14:paraId="0A12C82B" w14:textId="77777777" w:rsidR="00A37634" w:rsidRPr="00A37634" w:rsidRDefault="00A37634" w:rsidP="00A37634">
      <w:pPr>
        <w:spacing w:after="120" w:line="276" w:lineRule="auto"/>
        <w:ind w:left="720"/>
        <w:contextualSpacing/>
        <w:rPr>
          <w:rFonts w:ascii="Calibri" w:eastAsia="Calibri" w:hAnsi="Calibri" w:cs="Calibri"/>
          <w:szCs w:val="20"/>
          <w:lang w:val="en-AU"/>
        </w:rPr>
      </w:pPr>
      <w:r w:rsidRPr="00A37634">
        <w:rPr>
          <w:rFonts w:ascii="Calibri" w:eastAsia="Calibri" w:hAnsi="Calibri" w:cs="Calibri"/>
          <w:szCs w:val="20"/>
          <w:lang w:val="en-AU"/>
        </w:rPr>
        <w:t xml:space="preserve"> </w:t>
      </w:r>
    </w:p>
    <w:p w14:paraId="0D95D006"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a. How would changes to electricity market rules (the Retailer Reliability Obligation and the wholesale market demand response mechanism draft determination announced by the AEMC) impact on or interact with the proposal?</w:t>
      </w:r>
      <w:r w:rsidRPr="00A37634">
        <w:rPr>
          <w:rFonts w:ascii="Calibri" w:eastAsia="Calibri" w:hAnsi="Calibri" w:cs="Calibri"/>
          <w:szCs w:val="20"/>
          <w:lang w:val="en-AU"/>
        </w:rPr>
        <w:br/>
        <w:t>b. Would a new class of DR aggregators make use of AS/NZS 4755 DR platform? If so, why. If not, why not?</w:t>
      </w:r>
      <w:r w:rsidRPr="00A37634">
        <w:rPr>
          <w:rFonts w:ascii="Calibri" w:eastAsia="Calibri" w:hAnsi="Calibri" w:cs="Calibri"/>
          <w:szCs w:val="20"/>
          <w:lang w:val="en-AU"/>
        </w:rPr>
        <w:br/>
        <w:t>c. Would the potential AEMC wholesale demand response mechanism be material to the benefits of mandating AS/NZS 4755 for the four selected appliances? Why or why not?</w:t>
      </w:r>
      <w:r w:rsidRPr="00A37634">
        <w:rPr>
          <w:rFonts w:ascii="Calibri" w:eastAsia="Calibri" w:hAnsi="Calibri" w:cs="Calibri"/>
          <w:szCs w:val="20"/>
          <w:lang w:val="en-AU"/>
        </w:rPr>
        <w:br/>
        <w:t>d. Would the benefits of deferring investment in network capacity from the wholesale demand response mechanism changes announced by AEMC also reduce the network investment benefits attributable to mandating AS/NZS 4755?</w:t>
      </w:r>
    </w:p>
    <w:p w14:paraId="475A24B6" w14:textId="77777777" w:rsidR="00A37634" w:rsidRPr="00A37634" w:rsidRDefault="00A37634" w:rsidP="00A37634">
      <w:pPr>
        <w:spacing w:after="120" w:line="276" w:lineRule="auto"/>
        <w:ind w:left="720"/>
        <w:contextualSpacing/>
        <w:rPr>
          <w:rFonts w:ascii="Calibri" w:eastAsia="Calibri" w:hAnsi="Calibri" w:cs="Calibri"/>
          <w:szCs w:val="20"/>
          <w:lang w:val="en-AU"/>
        </w:rPr>
      </w:pPr>
    </w:p>
    <w:p w14:paraId="683F2C3D"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lang w:val="en-AU"/>
        </w:rPr>
        <w:t xml:space="preserve">Could an option for Government to require utilities or independent DR </w:t>
      </w:r>
      <w:proofErr w:type="gramStart"/>
      <w:r w:rsidRPr="00A37634">
        <w:rPr>
          <w:rFonts w:ascii="Calibri" w:eastAsia="Calibri" w:hAnsi="Calibri" w:cs="Calibri"/>
          <w:lang w:val="en-AU"/>
        </w:rPr>
        <w:t>service</w:t>
      </w:r>
      <w:proofErr w:type="gramEnd"/>
      <w:r w:rsidRPr="00A37634">
        <w:rPr>
          <w:rFonts w:ascii="Calibri" w:eastAsia="Calibri" w:hAnsi="Calibri" w:cs="Calibri"/>
          <w:lang w:val="en-AU"/>
        </w:rPr>
        <w:t xml:space="preserve"> providers to offer incentives, or have the Government fund these incentives, achieve the same benefits as the mandatory standard but at a </w:t>
      </w:r>
      <w:r w:rsidRPr="00A37634">
        <w:rPr>
          <w:rFonts w:ascii="Calibri" w:eastAsia="Calibri" w:hAnsi="Calibri" w:cs="Calibri"/>
          <w:szCs w:val="20"/>
          <w:lang w:val="en-AU"/>
        </w:rPr>
        <w:t>lower</w:t>
      </w:r>
      <w:r w:rsidRPr="00A37634">
        <w:rPr>
          <w:rFonts w:ascii="Calibri" w:eastAsia="Calibri" w:hAnsi="Calibri" w:cs="Calibri"/>
          <w:lang w:val="en-AU"/>
        </w:rPr>
        <w:t xml:space="preserve"> overall cost to the community?</w:t>
      </w:r>
    </w:p>
    <w:p w14:paraId="5A90FCFF" w14:textId="77777777" w:rsidR="00A37634" w:rsidRPr="00A37634" w:rsidRDefault="00A37634" w:rsidP="00A37634">
      <w:pPr>
        <w:spacing w:after="120" w:line="276" w:lineRule="auto"/>
        <w:ind w:left="720"/>
        <w:contextualSpacing/>
        <w:rPr>
          <w:rFonts w:ascii="Calibri" w:eastAsia="Calibri" w:hAnsi="Calibri" w:cs="Calibri"/>
          <w:szCs w:val="20"/>
          <w:lang w:val="en-AU"/>
        </w:rPr>
      </w:pPr>
    </w:p>
    <w:p w14:paraId="07469E81" w14:textId="77777777" w:rsidR="00A37634" w:rsidRPr="00A37634" w:rsidRDefault="00A37634" w:rsidP="00A37634">
      <w:pPr>
        <w:numPr>
          <w:ilvl w:val="0"/>
          <w:numId w:val="12"/>
        </w:numPr>
        <w:spacing w:after="113" w:line="278" w:lineRule="auto"/>
        <w:contextualSpacing/>
        <w:rPr>
          <w:rFonts w:ascii="Calibri" w:eastAsia="Calibri" w:hAnsi="Calibri" w:cs="Calibri"/>
          <w:szCs w:val="20"/>
          <w:lang w:val="en-AU"/>
        </w:rPr>
      </w:pPr>
      <w:r w:rsidRPr="00A37634">
        <w:rPr>
          <w:rFonts w:ascii="Calibri" w:eastAsia="Calibri" w:hAnsi="Calibri" w:cs="Calibri"/>
          <w:szCs w:val="20"/>
          <w:lang w:val="en-AU"/>
        </w:rPr>
        <w:t>(To manufacturers and distributors of the products in the scope of this proposal). What percentage of the products you sold in Australia and in New Zealand in the last year</w:t>
      </w:r>
      <w:proofErr w:type="gramStart"/>
      <w:r w:rsidRPr="00A37634">
        <w:rPr>
          <w:rFonts w:ascii="Calibri" w:eastAsia="Calibri" w:hAnsi="Calibri" w:cs="Calibri"/>
          <w:szCs w:val="20"/>
          <w:lang w:val="en-AU"/>
        </w:rPr>
        <w:t>:</w:t>
      </w:r>
      <w:proofErr w:type="gramEnd"/>
      <w:r w:rsidRPr="00A37634">
        <w:rPr>
          <w:rFonts w:ascii="Calibri" w:eastAsia="Calibri" w:hAnsi="Calibri" w:cs="Calibri"/>
          <w:szCs w:val="20"/>
          <w:lang w:val="en-AU"/>
        </w:rPr>
        <w:br/>
        <w:t>a. Meet the minimum requirements of the relevant part of AS/NZS 4755;</w:t>
      </w:r>
      <w:r w:rsidRPr="00A37634">
        <w:rPr>
          <w:rFonts w:ascii="Calibri" w:eastAsia="Calibri" w:hAnsi="Calibri" w:cs="Calibri"/>
          <w:szCs w:val="20"/>
          <w:lang w:val="en-AU"/>
        </w:rPr>
        <w:br/>
        <w:t xml:space="preserve">b. Meet additional requirements (e.g. additional DRMs); and  </w:t>
      </w:r>
      <w:r w:rsidRPr="00A37634">
        <w:rPr>
          <w:rFonts w:ascii="Calibri" w:eastAsia="Calibri" w:hAnsi="Calibri" w:cs="Calibri"/>
          <w:szCs w:val="20"/>
          <w:lang w:val="en-AU"/>
        </w:rPr>
        <w:br/>
        <w:t xml:space="preserve">c. Comply with other published DR standards (please state which)? </w:t>
      </w:r>
    </w:p>
    <w:p w14:paraId="3B3B6280" w14:textId="77777777" w:rsidR="00A37634" w:rsidRPr="00A37634" w:rsidRDefault="00A37634" w:rsidP="00A37634">
      <w:pPr>
        <w:spacing w:after="113" w:line="278" w:lineRule="auto"/>
        <w:jc w:val="center"/>
        <w:rPr>
          <w:rFonts w:ascii="Calibri" w:eastAsia="Calibri" w:hAnsi="Calibri" w:cs="Calibri"/>
          <w:szCs w:val="20"/>
          <w:lang w:val="en-AU"/>
        </w:rPr>
      </w:pPr>
      <w:r w:rsidRPr="00A37634">
        <w:rPr>
          <w:rFonts w:ascii="Calibri" w:eastAsia="Calibri" w:hAnsi="Calibri" w:cs="Calibri"/>
          <w:szCs w:val="20"/>
          <w:lang w:val="en-AU"/>
        </w:rPr>
        <w:br/>
        <w:t>*****</w:t>
      </w:r>
    </w:p>
    <w:p w14:paraId="703EA5B5" w14:textId="77777777" w:rsidR="00A37634" w:rsidRPr="00A37634" w:rsidRDefault="00A37634" w:rsidP="00A37634">
      <w:pPr>
        <w:spacing w:after="120" w:line="276" w:lineRule="auto"/>
        <w:rPr>
          <w:rFonts w:ascii="Calibri" w:eastAsia="Calibri" w:hAnsi="Calibri" w:cs="Calibri"/>
          <w:szCs w:val="20"/>
          <w:lang w:val="en-AU"/>
        </w:rPr>
      </w:pPr>
    </w:p>
    <w:p w14:paraId="2E680F76" w14:textId="77777777" w:rsidR="00A37634" w:rsidRPr="00A37634" w:rsidRDefault="00A37634" w:rsidP="00A37634">
      <w:pPr>
        <w:keepNext/>
        <w:keepLines/>
        <w:pageBreakBefore/>
        <w:spacing w:before="200" w:after="600" w:line="240" w:lineRule="auto"/>
        <w:outlineLvl w:val="1"/>
        <w:rPr>
          <w:rFonts w:ascii="Calibri" w:eastAsia="Times New Roman" w:hAnsi="Calibri" w:cs="Calibri"/>
          <w:b/>
          <w:bCs/>
          <w:color w:val="ED1B24"/>
          <w:sz w:val="50"/>
          <w:szCs w:val="50"/>
          <w:lang w:val="en-AU"/>
        </w:rPr>
      </w:pPr>
      <w:bookmarkStart w:id="102" w:name="_Toc16500976"/>
      <w:r w:rsidRPr="00A37634">
        <w:rPr>
          <w:rFonts w:ascii="Calibri" w:eastAsia="Times New Roman" w:hAnsi="Calibri" w:cs="Calibri"/>
          <w:b/>
          <w:bCs/>
          <w:color w:val="ED1B24"/>
          <w:sz w:val="50"/>
          <w:szCs w:val="50"/>
          <w:lang w:val="en-AU"/>
        </w:rPr>
        <w:t>Appendix 1 Costs and Benefits</w:t>
      </w:r>
      <w:bookmarkEnd w:id="102"/>
    </w:p>
    <w:p w14:paraId="6925DB56"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szCs w:val="24"/>
          <w:lang w:val="en-AU"/>
        </w:rPr>
      </w:pPr>
      <w:r w:rsidRPr="00A37634">
        <w:rPr>
          <w:rFonts w:ascii="Calibri" w:eastAsia="Times New Roman" w:hAnsi="Calibri" w:cs="Calibri"/>
          <w:b/>
          <w:color w:val="FF0000"/>
          <w:sz w:val="28"/>
          <w:szCs w:val="24"/>
          <w:lang w:val="en-AU"/>
        </w:rPr>
        <w:t xml:space="preserve">Quantified Benefits </w:t>
      </w:r>
    </w:p>
    <w:p w14:paraId="6C5C584B" w14:textId="77777777" w:rsidR="00A37634" w:rsidRPr="00A37634" w:rsidRDefault="00A37634" w:rsidP="00A37634">
      <w:pPr>
        <w:spacing w:before="240" w:after="120" w:line="278" w:lineRule="auto"/>
        <w:rPr>
          <w:rFonts w:ascii="Calibri" w:eastAsia="Cambria" w:hAnsi="Calibri" w:cs="Calibri"/>
          <w:lang w:val="en-AU"/>
        </w:rPr>
      </w:pPr>
      <w:r w:rsidRPr="00A37634">
        <w:rPr>
          <w:rFonts w:ascii="Calibri" w:eastAsia="Cambria" w:hAnsi="Calibri" w:cs="Calibri"/>
          <w:lang w:val="en-AU"/>
        </w:rPr>
        <w:t>The only option likely to lead to the installation of a critical mass of smart appliances within a predictable time period is Option 3 – requiring mandatory compliance with AS/NZS 4755 for all products sold after a given date. Therefore, this is the only option for which costs and benefits can be projected, and compared with the BAU case. For the purposes of cost-benefit modelling it is assumed that:</w:t>
      </w:r>
    </w:p>
    <w:p w14:paraId="2DB41E39" w14:textId="77777777" w:rsidR="00A37634" w:rsidRPr="00A37634" w:rsidRDefault="00A37634" w:rsidP="00A37634">
      <w:pPr>
        <w:numPr>
          <w:ilvl w:val="0"/>
          <w:numId w:val="22"/>
        </w:numPr>
        <w:spacing w:before="120" w:after="120" w:line="278" w:lineRule="auto"/>
        <w:contextualSpacing/>
        <w:rPr>
          <w:rFonts w:ascii="Calibri" w:eastAsia="Cambria" w:hAnsi="Calibri" w:cs="Calibri"/>
          <w:lang w:val="en-AU"/>
        </w:rPr>
      </w:pPr>
      <w:r w:rsidRPr="00A37634">
        <w:rPr>
          <w:rFonts w:ascii="Calibri" w:eastAsia="Cambria" w:hAnsi="Calibri" w:cs="Calibri"/>
          <w:lang w:val="en-AU"/>
        </w:rPr>
        <w:t xml:space="preserve">An intention to proceed is announced by the end of 2019; and </w:t>
      </w:r>
    </w:p>
    <w:p w14:paraId="71F8369D" w14:textId="77777777" w:rsidR="00A37634" w:rsidRPr="00A37634" w:rsidRDefault="00A37634" w:rsidP="00A37634">
      <w:pPr>
        <w:numPr>
          <w:ilvl w:val="0"/>
          <w:numId w:val="22"/>
        </w:numPr>
        <w:spacing w:before="120" w:after="120" w:line="278" w:lineRule="auto"/>
        <w:contextualSpacing/>
        <w:rPr>
          <w:rFonts w:ascii="Calibri" w:eastAsia="Cambria" w:hAnsi="Calibri" w:cs="Calibri"/>
          <w:lang w:val="en-AU"/>
        </w:rPr>
      </w:pPr>
      <w:r w:rsidRPr="00A37634">
        <w:rPr>
          <w:rFonts w:ascii="Calibri" w:eastAsia="Cambria" w:hAnsi="Calibri" w:cs="Calibri"/>
          <w:lang w:val="en-AU"/>
        </w:rPr>
        <w:t xml:space="preserve">All products within the scope of the Determination must comply. </w:t>
      </w:r>
    </w:p>
    <w:p w14:paraId="5A5410EE" w14:textId="77777777" w:rsidR="00A37634" w:rsidRPr="00A37634" w:rsidRDefault="00A37634" w:rsidP="00A37634">
      <w:pPr>
        <w:spacing w:before="120" w:after="120" w:line="276" w:lineRule="auto"/>
        <w:contextualSpacing/>
        <w:rPr>
          <w:rFonts w:ascii="Calibri" w:eastAsia="Cambria" w:hAnsi="Calibri" w:cs="Calibri"/>
          <w:lang w:val="en-AU"/>
        </w:rPr>
      </w:pPr>
      <w:r w:rsidRPr="00A37634">
        <w:rPr>
          <w:rFonts w:ascii="Calibri" w:eastAsia="Cambria" w:hAnsi="Calibri" w:cs="Calibri"/>
          <w:lang w:val="en-AU"/>
        </w:rPr>
        <w:t xml:space="preserve">Whenever an air conditioner or any other appliance is connected to the network, there must be sufficient capital investment in both network and generation capacity to supply its projected contribution to peak demand, if the required security of supply criteria are to be maintained. This cost is not borne directly by the appliance purchaser at the time of purchase, but is anticipated by the network operator (as part of its capital and infrastructure planning process) and the costs are either recovered from all consumers without differentiation or, if there are price-reflective tariffs, there is a greater contribution from those actually imposing the costs. </w:t>
      </w:r>
    </w:p>
    <w:p w14:paraId="661A69E1" w14:textId="023845E9" w:rsidR="00A37634" w:rsidRPr="00A37634" w:rsidRDefault="00A37634" w:rsidP="00A37634">
      <w:pPr>
        <w:spacing w:before="120" w:after="120" w:line="276" w:lineRule="auto"/>
        <w:rPr>
          <w:rFonts w:ascii="Calibri" w:eastAsia="Cambria" w:hAnsi="Calibri" w:cs="Calibri"/>
          <w:sz w:val="19"/>
          <w:szCs w:val="24"/>
          <w:lang w:val="en-AU"/>
        </w:rPr>
      </w:pPr>
      <w:r w:rsidRPr="00A37634">
        <w:rPr>
          <w:rFonts w:ascii="Calibri" w:eastAsia="Cambria" w:hAnsi="Calibri" w:cs="Calibri"/>
          <w:lang w:val="en-AU"/>
        </w:rPr>
        <w:t xml:space="preserve">The marginal cost of meeting an expected 1 kW increase in peak demand on a given electricity network has been estimated from a range of sources. The ‘Medium’ values in </w:t>
      </w:r>
      <w:r w:rsidRPr="000516A3">
        <w:rPr>
          <w:rFonts w:ascii="Calibri" w:eastAsia="Cambria" w:hAnsi="Calibri" w:cs="Calibri"/>
          <w:b/>
          <w:lang w:val="en-AU"/>
        </w:rPr>
        <w:fldChar w:fldCharType="begin"/>
      </w:r>
      <w:r w:rsidRPr="000516A3">
        <w:rPr>
          <w:rFonts w:ascii="Calibri" w:eastAsia="Cambria" w:hAnsi="Calibri" w:cs="Calibri"/>
          <w:b/>
          <w:lang w:val="en-AU"/>
        </w:rPr>
        <w:instrText xml:space="preserve"> REF _Ref327025099 \h  \* MERGEFORMAT </w:instrText>
      </w:r>
      <w:r w:rsidRPr="000516A3">
        <w:rPr>
          <w:rFonts w:ascii="Calibri" w:eastAsia="Cambria" w:hAnsi="Calibri" w:cs="Calibri"/>
          <w:b/>
          <w:lang w:val="en-AU"/>
        </w:rPr>
      </w:r>
      <w:r w:rsidRPr="000516A3">
        <w:rPr>
          <w:rFonts w:ascii="Calibri" w:eastAsia="Cambria" w:hAnsi="Calibri" w:cs="Calibri"/>
          <w:b/>
          <w:lang w:val="en-AU"/>
        </w:rPr>
        <w:fldChar w:fldCharType="separate"/>
      </w:r>
      <w:r w:rsidR="00181136" w:rsidRPr="00181136">
        <w:rPr>
          <w:rFonts w:ascii="Calibri" w:eastAsia="Cambria" w:hAnsi="Calibri" w:cs="Calibri"/>
          <w:b/>
          <w:lang w:val="en-AU"/>
        </w:rPr>
        <w:t xml:space="preserve">Table </w:t>
      </w:r>
      <w:r w:rsidR="00181136" w:rsidRPr="00181136">
        <w:rPr>
          <w:rFonts w:ascii="Calibri" w:eastAsia="Cambria" w:hAnsi="Calibri" w:cs="Calibri"/>
          <w:b/>
          <w:noProof/>
          <w:lang w:val="en-AU"/>
        </w:rPr>
        <w:t>14</w:t>
      </w:r>
      <w:r w:rsidRPr="000516A3">
        <w:rPr>
          <w:rFonts w:ascii="Calibri" w:eastAsia="Cambria" w:hAnsi="Calibri" w:cs="Calibri"/>
          <w:b/>
          <w:lang w:val="en-AU"/>
        </w:rPr>
        <w:fldChar w:fldCharType="end"/>
      </w:r>
      <w:r w:rsidRPr="00A37634">
        <w:rPr>
          <w:rFonts w:ascii="Calibri" w:eastAsia="Cambria" w:hAnsi="Calibri" w:cs="Calibri"/>
          <w:lang w:val="en-AU"/>
        </w:rPr>
        <w:t xml:space="preserve"> were calculated using the data presented by DNSPs for the current round of AER distributor price determinations. The weighted average $/kW for the NEM is about 12% lower than in the 2013 Consultation RIS. The previous round of determinations led to historically high network costs and retail prices. The latest round of determinations has seen a moderation of network Augmentation Capex in NSW, ACT and NT, although other Capex claims (not directly related to demand growth) remain high. </w:t>
      </w:r>
    </w:p>
    <w:p w14:paraId="1E5CBA67" w14:textId="568E03F9"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103" w:name="_Ref327025099"/>
      <w:bookmarkStart w:id="104" w:name="_Toc333183012"/>
      <w:bookmarkStart w:id="105" w:name="_Toc369633224"/>
      <w:bookmarkStart w:id="106" w:name="_Toc11360598"/>
      <w:bookmarkStart w:id="107" w:name="_Toc16501005"/>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14</w:t>
      </w:r>
      <w:r w:rsidRPr="00A37634">
        <w:rPr>
          <w:rFonts w:ascii="Calibri" w:eastAsia="Cambria" w:hAnsi="Calibri" w:cs="Calibri"/>
          <w:b/>
          <w:bCs/>
          <w:noProof/>
          <w:sz w:val="20"/>
          <w:szCs w:val="16"/>
          <w:lang w:val="en-AU"/>
        </w:rPr>
        <w:fldChar w:fldCharType="end"/>
      </w:r>
      <w:bookmarkEnd w:id="103"/>
      <w:r w:rsidRPr="00A37634">
        <w:rPr>
          <w:rFonts w:ascii="Calibri" w:eastAsia="Cambria" w:hAnsi="Calibri" w:cs="Calibri"/>
          <w:b/>
          <w:bCs/>
          <w:sz w:val="20"/>
          <w:szCs w:val="16"/>
          <w:lang w:val="en-AU"/>
        </w:rPr>
        <w:t>. Estimated investment required per marginal peak load kW</w:t>
      </w:r>
      <w:bookmarkEnd w:id="104"/>
      <w:bookmarkEnd w:id="105"/>
      <w:bookmarkEnd w:id="106"/>
      <w:bookmarkEnd w:id="107"/>
      <w:r w:rsidRPr="00A37634">
        <w:rPr>
          <w:rFonts w:ascii="Calibri" w:eastAsia="Cambria" w:hAnsi="Calibri" w:cs="Calibri"/>
          <w:b/>
          <w:bCs/>
          <w:sz w:val="20"/>
          <w:szCs w:val="16"/>
          <w:lang w:val="en-AU"/>
        </w:rPr>
        <w:t xml:space="preserve"> </w:t>
      </w:r>
    </w:p>
    <w:tbl>
      <w:tblPr>
        <w:tblW w:w="6391" w:type="dxa"/>
        <w:jc w:val="center"/>
        <w:tblCellMar>
          <w:left w:w="0" w:type="dxa"/>
          <w:right w:w="0" w:type="dxa"/>
        </w:tblCellMar>
        <w:tblLook w:val="0000" w:firstRow="0" w:lastRow="0" w:firstColumn="0" w:lastColumn="0" w:noHBand="0" w:noVBand="0"/>
      </w:tblPr>
      <w:tblGrid>
        <w:gridCol w:w="1502"/>
        <w:gridCol w:w="1363"/>
        <w:gridCol w:w="1173"/>
        <w:gridCol w:w="1175"/>
        <w:gridCol w:w="1178"/>
      </w:tblGrid>
      <w:tr w:rsidR="00A37634" w:rsidRPr="00A37634" w14:paraId="5A3A6661" w14:textId="77777777" w:rsidTr="007C7289">
        <w:trPr>
          <w:cantSplit/>
          <w:trHeight w:val="391"/>
          <w:tblHeader/>
          <w:jc w:val="center"/>
        </w:trPr>
        <w:tc>
          <w:tcPr>
            <w:tcW w:w="1502" w:type="dxa"/>
            <w:tcBorders>
              <w:top w:val="single" w:sz="4" w:space="0" w:color="auto"/>
              <w:left w:val="single" w:sz="4" w:space="0" w:color="auto"/>
              <w:bottom w:val="single" w:sz="4" w:space="0" w:color="auto"/>
              <w:right w:val="single" w:sz="4" w:space="0" w:color="auto"/>
            </w:tcBorders>
            <w:noWrap/>
            <w:vAlign w:val="bottom"/>
          </w:tcPr>
          <w:p w14:paraId="6667B6D7"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p>
        </w:tc>
        <w:tc>
          <w:tcPr>
            <w:tcW w:w="1363" w:type="dxa"/>
            <w:tcBorders>
              <w:top w:val="single" w:sz="4" w:space="0" w:color="auto"/>
              <w:bottom w:val="single" w:sz="4" w:space="0" w:color="auto"/>
            </w:tcBorders>
          </w:tcPr>
          <w:p w14:paraId="33DE4380"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Medium</w:t>
            </w:r>
          </w:p>
          <w:p w14:paraId="70D066D4"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$/kW (a)</w:t>
            </w:r>
          </w:p>
        </w:tc>
        <w:tc>
          <w:tcPr>
            <w:tcW w:w="1173" w:type="dxa"/>
            <w:tcBorders>
              <w:top w:val="single" w:sz="4" w:space="0" w:color="auto"/>
              <w:left w:val="single" w:sz="4" w:space="0" w:color="auto"/>
              <w:bottom w:val="single" w:sz="4" w:space="0" w:color="auto"/>
            </w:tcBorders>
            <w:vAlign w:val="bottom"/>
          </w:tcPr>
          <w:p w14:paraId="0605D159"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Low</w:t>
            </w:r>
          </w:p>
          <w:p w14:paraId="283D0066"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$/kW (b)</w:t>
            </w:r>
          </w:p>
        </w:tc>
        <w:tc>
          <w:tcPr>
            <w:tcW w:w="1175" w:type="dxa"/>
            <w:tcBorders>
              <w:top w:val="single" w:sz="4" w:space="0" w:color="auto"/>
              <w:bottom w:val="single" w:sz="4" w:space="0" w:color="auto"/>
              <w:right w:val="single" w:sz="4" w:space="0" w:color="auto"/>
            </w:tcBorders>
            <w:vAlign w:val="bottom"/>
          </w:tcPr>
          <w:p w14:paraId="47452451"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High</w:t>
            </w:r>
          </w:p>
          <w:p w14:paraId="428F1A68"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$/kW (c)</w:t>
            </w:r>
          </w:p>
        </w:tc>
        <w:tc>
          <w:tcPr>
            <w:tcW w:w="1178" w:type="dxa"/>
            <w:tcBorders>
              <w:top w:val="single" w:sz="4" w:space="0" w:color="auto"/>
              <w:bottom w:val="single" w:sz="4" w:space="0" w:color="auto"/>
              <w:right w:val="single" w:sz="4" w:space="0" w:color="auto"/>
            </w:tcBorders>
          </w:tcPr>
          <w:p w14:paraId="06F4DF9A"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Period of</w:t>
            </w:r>
          </w:p>
          <w:p w14:paraId="7B32C5EC"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Latest</w:t>
            </w:r>
          </w:p>
          <w:p w14:paraId="65DFEAAA"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 xml:space="preserve">Determination  </w:t>
            </w:r>
          </w:p>
        </w:tc>
      </w:tr>
      <w:tr w:rsidR="00A37634" w:rsidRPr="00A37634" w14:paraId="77B6D6C8" w14:textId="77777777" w:rsidTr="007C7289">
        <w:trPr>
          <w:trHeight w:val="255"/>
          <w:jc w:val="center"/>
        </w:trPr>
        <w:tc>
          <w:tcPr>
            <w:tcW w:w="1502" w:type="dxa"/>
            <w:tcBorders>
              <w:top w:val="single" w:sz="4" w:space="0" w:color="auto"/>
              <w:left w:val="single" w:sz="4" w:space="0" w:color="auto"/>
              <w:bottom w:val="nil"/>
              <w:right w:val="single" w:sz="4" w:space="0" w:color="auto"/>
            </w:tcBorders>
            <w:noWrap/>
            <w:vAlign w:val="bottom"/>
          </w:tcPr>
          <w:p w14:paraId="0D76834A" w14:textId="77777777" w:rsidR="00A37634" w:rsidRPr="00A37634" w:rsidRDefault="00A37634" w:rsidP="00A37634">
            <w:pPr>
              <w:tabs>
                <w:tab w:val="left" w:pos="3293"/>
              </w:tabs>
              <w:spacing w:before="60" w:after="60" w:line="240" w:lineRule="auto"/>
              <w:ind w:left="35"/>
              <w:rPr>
                <w:rFonts w:ascii="Calibri" w:eastAsia="Arial Unicode MS" w:hAnsi="Calibri" w:cs="Calibri"/>
                <w:sz w:val="16"/>
                <w:szCs w:val="16"/>
                <w:lang w:val="en-AU"/>
              </w:rPr>
            </w:pPr>
            <w:r w:rsidRPr="00A37634">
              <w:rPr>
                <w:rFonts w:ascii="Calibri" w:eastAsia="Times New Roman" w:hAnsi="Calibri" w:cs="Calibri"/>
                <w:sz w:val="16"/>
                <w:szCs w:val="16"/>
                <w:lang w:val="en-AU"/>
              </w:rPr>
              <w:t>NSW</w:t>
            </w:r>
          </w:p>
        </w:tc>
        <w:tc>
          <w:tcPr>
            <w:tcW w:w="1363" w:type="dxa"/>
            <w:tcBorders>
              <w:top w:val="nil"/>
              <w:left w:val="nil"/>
              <w:bottom w:val="nil"/>
              <w:right w:val="nil"/>
            </w:tcBorders>
            <w:shd w:val="clear" w:color="auto" w:fill="auto"/>
            <w:vAlign w:val="bottom"/>
          </w:tcPr>
          <w:p w14:paraId="16975E84"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1017</w:t>
            </w:r>
          </w:p>
        </w:tc>
        <w:tc>
          <w:tcPr>
            <w:tcW w:w="0" w:type="auto"/>
            <w:tcBorders>
              <w:top w:val="single" w:sz="4" w:space="0" w:color="auto"/>
              <w:left w:val="single" w:sz="4" w:space="0" w:color="auto"/>
              <w:bottom w:val="nil"/>
              <w:right w:val="nil"/>
            </w:tcBorders>
            <w:shd w:val="clear" w:color="auto" w:fill="auto"/>
            <w:noWrap/>
            <w:vAlign w:val="bottom"/>
          </w:tcPr>
          <w:p w14:paraId="48119D02"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783</w:t>
            </w:r>
          </w:p>
        </w:tc>
        <w:tc>
          <w:tcPr>
            <w:tcW w:w="0" w:type="auto"/>
            <w:tcBorders>
              <w:top w:val="single" w:sz="4" w:space="0" w:color="auto"/>
              <w:left w:val="nil"/>
              <w:bottom w:val="nil"/>
              <w:right w:val="single" w:sz="4" w:space="0" w:color="auto"/>
            </w:tcBorders>
            <w:shd w:val="clear" w:color="auto" w:fill="auto"/>
            <w:noWrap/>
            <w:vAlign w:val="bottom"/>
          </w:tcPr>
          <w:p w14:paraId="66C1324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1323</w:t>
            </w:r>
          </w:p>
        </w:tc>
        <w:tc>
          <w:tcPr>
            <w:tcW w:w="0" w:type="auto"/>
            <w:tcBorders>
              <w:top w:val="nil"/>
              <w:left w:val="single" w:sz="4" w:space="0" w:color="auto"/>
              <w:bottom w:val="nil"/>
              <w:right w:val="single" w:sz="4" w:space="0" w:color="auto"/>
            </w:tcBorders>
            <w:shd w:val="clear" w:color="auto" w:fill="auto"/>
            <w:vAlign w:val="bottom"/>
          </w:tcPr>
          <w:p w14:paraId="1CB21AB2"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2020-24</w:t>
            </w:r>
          </w:p>
        </w:tc>
      </w:tr>
      <w:tr w:rsidR="00A37634" w:rsidRPr="00A37634" w14:paraId="6FB22B1E" w14:textId="77777777" w:rsidTr="007C7289">
        <w:trPr>
          <w:trHeight w:val="255"/>
          <w:jc w:val="center"/>
        </w:trPr>
        <w:tc>
          <w:tcPr>
            <w:tcW w:w="1502" w:type="dxa"/>
            <w:tcBorders>
              <w:top w:val="nil"/>
              <w:left w:val="single" w:sz="4" w:space="0" w:color="auto"/>
              <w:bottom w:val="nil"/>
              <w:right w:val="single" w:sz="4" w:space="0" w:color="auto"/>
            </w:tcBorders>
            <w:noWrap/>
            <w:vAlign w:val="bottom"/>
          </w:tcPr>
          <w:p w14:paraId="3C5AB8BB" w14:textId="77777777" w:rsidR="00A37634" w:rsidRPr="00A37634" w:rsidRDefault="00A37634" w:rsidP="00A37634">
            <w:pPr>
              <w:tabs>
                <w:tab w:val="left" w:pos="3293"/>
              </w:tabs>
              <w:spacing w:before="60" w:after="60" w:line="240" w:lineRule="auto"/>
              <w:ind w:left="35"/>
              <w:rPr>
                <w:rFonts w:ascii="Calibri" w:eastAsia="Arial Unicode MS" w:hAnsi="Calibri" w:cs="Calibri"/>
                <w:sz w:val="16"/>
                <w:szCs w:val="16"/>
                <w:lang w:val="en-AU"/>
              </w:rPr>
            </w:pPr>
            <w:r w:rsidRPr="00A37634">
              <w:rPr>
                <w:rFonts w:ascii="Calibri" w:eastAsia="Times New Roman" w:hAnsi="Calibri" w:cs="Calibri"/>
                <w:sz w:val="16"/>
                <w:szCs w:val="16"/>
                <w:lang w:val="en-AU"/>
              </w:rPr>
              <w:t>Vic</w:t>
            </w:r>
          </w:p>
        </w:tc>
        <w:tc>
          <w:tcPr>
            <w:tcW w:w="1363" w:type="dxa"/>
            <w:tcBorders>
              <w:top w:val="nil"/>
              <w:left w:val="nil"/>
              <w:bottom w:val="nil"/>
              <w:right w:val="nil"/>
            </w:tcBorders>
            <w:shd w:val="clear" w:color="auto" w:fill="auto"/>
            <w:vAlign w:val="bottom"/>
          </w:tcPr>
          <w:p w14:paraId="7F6DC45B"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1050</w:t>
            </w:r>
          </w:p>
        </w:tc>
        <w:tc>
          <w:tcPr>
            <w:tcW w:w="0" w:type="auto"/>
            <w:tcBorders>
              <w:top w:val="nil"/>
              <w:left w:val="single" w:sz="4" w:space="0" w:color="auto"/>
              <w:bottom w:val="nil"/>
              <w:right w:val="nil"/>
            </w:tcBorders>
            <w:shd w:val="clear" w:color="auto" w:fill="auto"/>
            <w:noWrap/>
            <w:vAlign w:val="bottom"/>
          </w:tcPr>
          <w:p w14:paraId="3112E2E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808</w:t>
            </w:r>
          </w:p>
        </w:tc>
        <w:tc>
          <w:tcPr>
            <w:tcW w:w="0" w:type="auto"/>
            <w:tcBorders>
              <w:top w:val="nil"/>
              <w:left w:val="nil"/>
              <w:bottom w:val="nil"/>
              <w:right w:val="single" w:sz="4" w:space="0" w:color="auto"/>
            </w:tcBorders>
            <w:shd w:val="clear" w:color="auto" w:fill="auto"/>
            <w:noWrap/>
            <w:vAlign w:val="bottom"/>
          </w:tcPr>
          <w:p w14:paraId="3C96831E"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1365</w:t>
            </w:r>
          </w:p>
        </w:tc>
        <w:tc>
          <w:tcPr>
            <w:tcW w:w="0" w:type="auto"/>
            <w:tcBorders>
              <w:top w:val="nil"/>
              <w:left w:val="single" w:sz="4" w:space="0" w:color="auto"/>
              <w:bottom w:val="nil"/>
              <w:right w:val="single" w:sz="4" w:space="0" w:color="auto"/>
            </w:tcBorders>
            <w:shd w:val="clear" w:color="auto" w:fill="auto"/>
            <w:vAlign w:val="bottom"/>
          </w:tcPr>
          <w:p w14:paraId="7530E445"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2016-20</w:t>
            </w:r>
          </w:p>
        </w:tc>
      </w:tr>
      <w:tr w:rsidR="00A37634" w:rsidRPr="00A37634" w14:paraId="2717EBF4" w14:textId="77777777" w:rsidTr="007C7289">
        <w:trPr>
          <w:trHeight w:val="255"/>
          <w:jc w:val="center"/>
        </w:trPr>
        <w:tc>
          <w:tcPr>
            <w:tcW w:w="1502" w:type="dxa"/>
            <w:tcBorders>
              <w:top w:val="nil"/>
              <w:left w:val="single" w:sz="4" w:space="0" w:color="auto"/>
              <w:bottom w:val="nil"/>
              <w:right w:val="single" w:sz="4" w:space="0" w:color="auto"/>
            </w:tcBorders>
            <w:noWrap/>
            <w:vAlign w:val="bottom"/>
          </w:tcPr>
          <w:p w14:paraId="212D0813" w14:textId="77777777" w:rsidR="00A37634" w:rsidRPr="00A37634" w:rsidRDefault="00A37634" w:rsidP="00A37634">
            <w:pPr>
              <w:tabs>
                <w:tab w:val="left" w:pos="3293"/>
              </w:tabs>
              <w:spacing w:before="60" w:after="60" w:line="240" w:lineRule="auto"/>
              <w:ind w:left="35"/>
              <w:rPr>
                <w:rFonts w:ascii="Calibri" w:eastAsia="Arial Unicode MS" w:hAnsi="Calibri" w:cs="Calibri"/>
                <w:sz w:val="16"/>
                <w:szCs w:val="16"/>
                <w:lang w:val="en-AU"/>
              </w:rPr>
            </w:pPr>
            <w:r w:rsidRPr="00A37634">
              <w:rPr>
                <w:rFonts w:ascii="Calibri" w:eastAsia="Times New Roman" w:hAnsi="Calibri" w:cs="Calibri"/>
                <w:sz w:val="16"/>
                <w:szCs w:val="16"/>
                <w:lang w:val="en-AU"/>
              </w:rPr>
              <w:t>Qld</w:t>
            </w:r>
          </w:p>
        </w:tc>
        <w:tc>
          <w:tcPr>
            <w:tcW w:w="1363" w:type="dxa"/>
            <w:tcBorders>
              <w:top w:val="nil"/>
              <w:left w:val="nil"/>
              <w:bottom w:val="nil"/>
              <w:right w:val="nil"/>
            </w:tcBorders>
            <w:shd w:val="clear" w:color="auto" w:fill="auto"/>
            <w:vAlign w:val="bottom"/>
          </w:tcPr>
          <w:p w14:paraId="579B8336"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3614</w:t>
            </w:r>
          </w:p>
        </w:tc>
        <w:tc>
          <w:tcPr>
            <w:tcW w:w="0" w:type="auto"/>
            <w:tcBorders>
              <w:top w:val="nil"/>
              <w:left w:val="single" w:sz="4" w:space="0" w:color="auto"/>
              <w:bottom w:val="nil"/>
              <w:right w:val="nil"/>
            </w:tcBorders>
            <w:shd w:val="clear" w:color="auto" w:fill="auto"/>
            <w:noWrap/>
            <w:vAlign w:val="bottom"/>
          </w:tcPr>
          <w:p w14:paraId="0405A54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2780</w:t>
            </w:r>
          </w:p>
        </w:tc>
        <w:tc>
          <w:tcPr>
            <w:tcW w:w="0" w:type="auto"/>
            <w:tcBorders>
              <w:top w:val="nil"/>
              <w:left w:val="nil"/>
              <w:bottom w:val="nil"/>
              <w:right w:val="single" w:sz="4" w:space="0" w:color="auto"/>
            </w:tcBorders>
            <w:shd w:val="clear" w:color="auto" w:fill="auto"/>
            <w:noWrap/>
            <w:vAlign w:val="bottom"/>
          </w:tcPr>
          <w:p w14:paraId="67A37062"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4698</w:t>
            </w:r>
          </w:p>
        </w:tc>
        <w:tc>
          <w:tcPr>
            <w:tcW w:w="0" w:type="auto"/>
            <w:tcBorders>
              <w:top w:val="nil"/>
              <w:left w:val="single" w:sz="4" w:space="0" w:color="auto"/>
              <w:bottom w:val="nil"/>
              <w:right w:val="single" w:sz="4" w:space="0" w:color="auto"/>
            </w:tcBorders>
            <w:shd w:val="clear" w:color="auto" w:fill="auto"/>
            <w:vAlign w:val="bottom"/>
          </w:tcPr>
          <w:p w14:paraId="041B51A5"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2021-25</w:t>
            </w:r>
          </w:p>
        </w:tc>
      </w:tr>
      <w:tr w:rsidR="00A37634" w:rsidRPr="00A37634" w14:paraId="79B9C49E" w14:textId="77777777" w:rsidTr="007C7289">
        <w:trPr>
          <w:trHeight w:val="255"/>
          <w:jc w:val="center"/>
        </w:trPr>
        <w:tc>
          <w:tcPr>
            <w:tcW w:w="1502" w:type="dxa"/>
            <w:tcBorders>
              <w:top w:val="nil"/>
              <w:left w:val="single" w:sz="4" w:space="0" w:color="auto"/>
              <w:bottom w:val="nil"/>
              <w:right w:val="single" w:sz="4" w:space="0" w:color="auto"/>
            </w:tcBorders>
            <w:noWrap/>
            <w:vAlign w:val="bottom"/>
          </w:tcPr>
          <w:p w14:paraId="5BC3AE48" w14:textId="77777777" w:rsidR="00A37634" w:rsidRPr="00A37634" w:rsidRDefault="00A37634" w:rsidP="00A37634">
            <w:pPr>
              <w:tabs>
                <w:tab w:val="left" w:pos="3293"/>
              </w:tabs>
              <w:spacing w:before="60" w:after="60" w:line="240" w:lineRule="auto"/>
              <w:ind w:left="35"/>
              <w:rPr>
                <w:rFonts w:ascii="Calibri" w:eastAsia="Arial Unicode MS" w:hAnsi="Calibri" w:cs="Calibri"/>
                <w:sz w:val="16"/>
                <w:szCs w:val="16"/>
                <w:lang w:val="en-AU"/>
              </w:rPr>
            </w:pPr>
            <w:r w:rsidRPr="00A37634">
              <w:rPr>
                <w:rFonts w:ascii="Calibri" w:eastAsia="Times New Roman" w:hAnsi="Calibri" w:cs="Calibri"/>
                <w:sz w:val="16"/>
                <w:szCs w:val="16"/>
                <w:lang w:val="en-AU"/>
              </w:rPr>
              <w:t>SA</w:t>
            </w:r>
          </w:p>
        </w:tc>
        <w:tc>
          <w:tcPr>
            <w:tcW w:w="1363" w:type="dxa"/>
            <w:tcBorders>
              <w:top w:val="nil"/>
              <w:left w:val="nil"/>
              <w:bottom w:val="nil"/>
              <w:right w:val="nil"/>
            </w:tcBorders>
            <w:shd w:val="clear" w:color="auto" w:fill="auto"/>
            <w:vAlign w:val="bottom"/>
          </w:tcPr>
          <w:p w14:paraId="7D01D44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3563</w:t>
            </w:r>
          </w:p>
        </w:tc>
        <w:tc>
          <w:tcPr>
            <w:tcW w:w="0" w:type="auto"/>
            <w:tcBorders>
              <w:top w:val="nil"/>
              <w:left w:val="single" w:sz="4" w:space="0" w:color="auto"/>
              <w:bottom w:val="nil"/>
              <w:right w:val="nil"/>
            </w:tcBorders>
            <w:shd w:val="clear" w:color="auto" w:fill="auto"/>
            <w:noWrap/>
            <w:vAlign w:val="bottom"/>
          </w:tcPr>
          <w:p w14:paraId="4A3A672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2741</w:t>
            </w:r>
          </w:p>
        </w:tc>
        <w:tc>
          <w:tcPr>
            <w:tcW w:w="0" w:type="auto"/>
            <w:tcBorders>
              <w:top w:val="nil"/>
              <w:left w:val="nil"/>
              <w:bottom w:val="nil"/>
              <w:right w:val="single" w:sz="4" w:space="0" w:color="auto"/>
            </w:tcBorders>
            <w:shd w:val="clear" w:color="auto" w:fill="auto"/>
            <w:noWrap/>
            <w:vAlign w:val="bottom"/>
          </w:tcPr>
          <w:p w14:paraId="3D93898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4632</w:t>
            </w:r>
          </w:p>
        </w:tc>
        <w:tc>
          <w:tcPr>
            <w:tcW w:w="0" w:type="auto"/>
            <w:tcBorders>
              <w:top w:val="nil"/>
              <w:left w:val="single" w:sz="4" w:space="0" w:color="auto"/>
              <w:bottom w:val="nil"/>
              <w:right w:val="single" w:sz="4" w:space="0" w:color="auto"/>
            </w:tcBorders>
            <w:shd w:val="clear" w:color="auto" w:fill="auto"/>
            <w:vAlign w:val="bottom"/>
          </w:tcPr>
          <w:p w14:paraId="6010A5E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2021-25</w:t>
            </w:r>
          </w:p>
        </w:tc>
      </w:tr>
      <w:tr w:rsidR="00A37634" w:rsidRPr="00A37634" w14:paraId="2A36208F" w14:textId="77777777" w:rsidTr="007C7289">
        <w:trPr>
          <w:trHeight w:val="255"/>
          <w:jc w:val="center"/>
        </w:trPr>
        <w:tc>
          <w:tcPr>
            <w:tcW w:w="1502" w:type="dxa"/>
            <w:tcBorders>
              <w:top w:val="nil"/>
              <w:left w:val="single" w:sz="4" w:space="0" w:color="auto"/>
              <w:bottom w:val="nil"/>
              <w:right w:val="single" w:sz="4" w:space="0" w:color="auto"/>
            </w:tcBorders>
            <w:noWrap/>
            <w:vAlign w:val="bottom"/>
          </w:tcPr>
          <w:p w14:paraId="66B8CD98" w14:textId="77777777" w:rsidR="00A37634" w:rsidRPr="00A37634" w:rsidRDefault="00A37634" w:rsidP="00A37634">
            <w:pPr>
              <w:tabs>
                <w:tab w:val="left" w:pos="3293"/>
              </w:tabs>
              <w:spacing w:before="60" w:after="60" w:line="240" w:lineRule="auto"/>
              <w:ind w:left="35"/>
              <w:rPr>
                <w:rFonts w:ascii="Calibri" w:eastAsia="Arial Unicode MS" w:hAnsi="Calibri" w:cs="Calibri"/>
                <w:sz w:val="16"/>
                <w:szCs w:val="16"/>
                <w:lang w:val="en-AU"/>
              </w:rPr>
            </w:pPr>
            <w:r w:rsidRPr="00A37634">
              <w:rPr>
                <w:rFonts w:ascii="Calibri" w:eastAsia="Times New Roman" w:hAnsi="Calibri" w:cs="Calibri"/>
                <w:sz w:val="16"/>
                <w:szCs w:val="16"/>
                <w:lang w:val="en-AU"/>
              </w:rPr>
              <w:t>WA</w:t>
            </w:r>
          </w:p>
        </w:tc>
        <w:tc>
          <w:tcPr>
            <w:tcW w:w="1363" w:type="dxa"/>
            <w:tcBorders>
              <w:top w:val="nil"/>
              <w:left w:val="nil"/>
              <w:bottom w:val="nil"/>
              <w:right w:val="nil"/>
            </w:tcBorders>
            <w:shd w:val="clear" w:color="auto" w:fill="auto"/>
            <w:vAlign w:val="bottom"/>
          </w:tcPr>
          <w:p w14:paraId="5AB42525"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3080</w:t>
            </w:r>
          </w:p>
        </w:tc>
        <w:tc>
          <w:tcPr>
            <w:tcW w:w="0" w:type="auto"/>
            <w:tcBorders>
              <w:top w:val="nil"/>
              <w:left w:val="single" w:sz="4" w:space="0" w:color="auto"/>
              <w:bottom w:val="nil"/>
              <w:right w:val="nil"/>
            </w:tcBorders>
            <w:shd w:val="clear" w:color="auto" w:fill="auto"/>
            <w:noWrap/>
            <w:vAlign w:val="bottom"/>
          </w:tcPr>
          <w:p w14:paraId="4C01EFFB"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2369</w:t>
            </w:r>
          </w:p>
        </w:tc>
        <w:tc>
          <w:tcPr>
            <w:tcW w:w="0" w:type="auto"/>
            <w:tcBorders>
              <w:top w:val="nil"/>
              <w:left w:val="nil"/>
              <w:bottom w:val="nil"/>
              <w:right w:val="single" w:sz="4" w:space="0" w:color="auto"/>
            </w:tcBorders>
            <w:shd w:val="clear" w:color="auto" w:fill="auto"/>
            <w:noWrap/>
            <w:vAlign w:val="bottom"/>
          </w:tcPr>
          <w:p w14:paraId="01604D7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4004</w:t>
            </w:r>
          </w:p>
        </w:tc>
        <w:tc>
          <w:tcPr>
            <w:tcW w:w="0" w:type="auto"/>
            <w:tcBorders>
              <w:top w:val="nil"/>
              <w:left w:val="single" w:sz="4" w:space="0" w:color="auto"/>
              <w:bottom w:val="nil"/>
              <w:right w:val="single" w:sz="4" w:space="0" w:color="auto"/>
            </w:tcBorders>
            <w:shd w:val="clear" w:color="auto" w:fill="auto"/>
            <w:vAlign w:val="bottom"/>
          </w:tcPr>
          <w:p w14:paraId="6688D3E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2019-24</w:t>
            </w:r>
          </w:p>
        </w:tc>
      </w:tr>
      <w:tr w:rsidR="00A37634" w:rsidRPr="00A37634" w14:paraId="2C8C49FE" w14:textId="77777777" w:rsidTr="007C7289">
        <w:trPr>
          <w:trHeight w:val="255"/>
          <w:jc w:val="center"/>
        </w:trPr>
        <w:tc>
          <w:tcPr>
            <w:tcW w:w="1502" w:type="dxa"/>
            <w:tcBorders>
              <w:top w:val="nil"/>
              <w:left w:val="single" w:sz="4" w:space="0" w:color="auto"/>
              <w:bottom w:val="nil"/>
              <w:right w:val="single" w:sz="4" w:space="0" w:color="auto"/>
            </w:tcBorders>
            <w:noWrap/>
            <w:vAlign w:val="bottom"/>
          </w:tcPr>
          <w:p w14:paraId="798BD281" w14:textId="77777777" w:rsidR="00A37634" w:rsidRPr="00A37634" w:rsidRDefault="00A37634" w:rsidP="00A37634">
            <w:pPr>
              <w:tabs>
                <w:tab w:val="left" w:pos="3293"/>
              </w:tabs>
              <w:spacing w:before="60" w:after="60" w:line="240" w:lineRule="auto"/>
              <w:ind w:left="35"/>
              <w:rPr>
                <w:rFonts w:ascii="Calibri" w:eastAsia="Arial Unicode MS" w:hAnsi="Calibri" w:cs="Calibri"/>
                <w:sz w:val="16"/>
                <w:szCs w:val="16"/>
                <w:lang w:val="en-AU"/>
              </w:rPr>
            </w:pPr>
            <w:proofErr w:type="spellStart"/>
            <w:r w:rsidRPr="00A37634">
              <w:rPr>
                <w:rFonts w:ascii="Calibri" w:eastAsia="Times New Roman" w:hAnsi="Calibri" w:cs="Calibri"/>
                <w:sz w:val="16"/>
                <w:szCs w:val="16"/>
                <w:lang w:val="en-AU"/>
              </w:rPr>
              <w:t>Tas</w:t>
            </w:r>
            <w:proofErr w:type="spellEnd"/>
          </w:p>
        </w:tc>
        <w:tc>
          <w:tcPr>
            <w:tcW w:w="1363" w:type="dxa"/>
            <w:tcBorders>
              <w:top w:val="nil"/>
              <w:left w:val="nil"/>
              <w:bottom w:val="nil"/>
              <w:right w:val="nil"/>
            </w:tcBorders>
            <w:shd w:val="clear" w:color="auto" w:fill="auto"/>
            <w:vAlign w:val="bottom"/>
          </w:tcPr>
          <w:p w14:paraId="0417A6C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1925</w:t>
            </w:r>
          </w:p>
        </w:tc>
        <w:tc>
          <w:tcPr>
            <w:tcW w:w="0" w:type="auto"/>
            <w:tcBorders>
              <w:top w:val="nil"/>
              <w:left w:val="single" w:sz="4" w:space="0" w:color="auto"/>
              <w:bottom w:val="nil"/>
              <w:right w:val="nil"/>
            </w:tcBorders>
            <w:shd w:val="clear" w:color="auto" w:fill="auto"/>
            <w:noWrap/>
            <w:vAlign w:val="bottom"/>
          </w:tcPr>
          <w:p w14:paraId="1A6633AE"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1481</w:t>
            </w:r>
          </w:p>
        </w:tc>
        <w:tc>
          <w:tcPr>
            <w:tcW w:w="0" w:type="auto"/>
            <w:tcBorders>
              <w:top w:val="nil"/>
              <w:left w:val="nil"/>
              <w:bottom w:val="nil"/>
              <w:right w:val="single" w:sz="4" w:space="0" w:color="auto"/>
            </w:tcBorders>
            <w:shd w:val="clear" w:color="auto" w:fill="auto"/>
            <w:noWrap/>
            <w:vAlign w:val="bottom"/>
          </w:tcPr>
          <w:p w14:paraId="5DD958B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2503</w:t>
            </w:r>
          </w:p>
        </w:tc>
        <w:tc>
          <w:tcPr>
            <w:tcW w:w="0" w:type="auto"/>
            <w:tcBorders>
              <w:top w:val="nil"/>
              <w:left w:val="single" w:sz="4" w:space="0" w:color="auto"/>
              <w:bottom w:val="nil"/>
              <w:right w:val="single" w:sz="4" w:space="0" w:color="auto"/>
            </w:tcBorders>
            <w:shd w:val="clear" w:color="auto" w:fill="auto"/>
            <w:vAlign w:val="bottom"/>
          </w:tcPr>
          <w:p w14:paraId="762CB798"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2019-24</w:t>
            </w:r>
          </w:p>
        </w:tc>
      </w:tr>
      <w:tr w:rsidR="00A37634" w:rsidRPr="00A37634" w14:paraId="1CC91465" w14:textId="77777777" w:rsidTr="007C7289">
        <w:trPr>
          <w:trHeight w:val="255"/>
          <w:jc w:val="center"/>
        </w:trPr>
        <w:tc>
          <w:tcPr>
            <w:tcW w:w="1502" w:type="dxa"/>
            <w:tcBorders>
              <w:top w:val="nil"/>
              <w:left w:val="single" w:sz="4" w:space="0" w:color="auto"/>
              <w:bottom w:val="nil"/>
              <w:right w:val="single" w:sz="4" w:space="0" w:color="auto"/>
            </w:tcBorders>
            <w:noWrap/>
            <w:vAlign w:val="bottom"/>
          </w:tcPr>
          <w:p w14:paraId="1CFF4DD9" w14:textId="77777777" w:rsidR="00A37634" w:rsidRPr="00A37634" w:rsidRDefault="00A37634" w:rsidP="00A37634">
            <w:pPr>
              <w:tabs>
                <w:tab w:val="left" w:pos="3293"/>
              </w:tabs>
              <w:spacing w:before="60" w:after="60" w:line="240" w:lineRule="auto"/>
              <w:ind w:left="35"/>
              <w:rPr>
                <w:rFonts w:ascii="Calibri" w:eastAsia="Arial Unicode MS" w:hAnsi="Calibri" w:cs="Calibri"/>
                <w:sz w:val="16"/>
                <w:szCs w:val="16"/>
                <w:lang w:val="en-AU"/>
              </w:rPr>
            </w:pPr>
            <w:r w:rsidRPr="00A37634">
              <w:rPr>
                <w:rFonts w:ascii="Calibri" w:eastAsia="Times New Roman" w:hAnsi="Calibri" w:cs="Calibri"/>
                <w:sz w:val="16"/>
                <w:szCs w:val="16"/>
                <w:lang w:val="en-AU"/>
              </w:rPr>
              <w:t>ACT</w:t>
            </w:r>
          </w:p>
        </w:tc>
        <w:tc>
          <w:tcPr>
            <w:tcW w:w="1363" w:type="dxa"/>
            <w:tcBorders>
              <w:top w:val="nil"/>
              <w:left w:val="nil"/>
              <w:bottom w:val="nil"/>
              <w:right w:val="nil"/>
            </w:tcBorders>
            <w:shd w:val="clear" w:color="auto" w:fill="auto"/>
            <w:vAlign w:val="bottom"/>
          </w:tcPr>
          <w:p w14:paraId="095A36A2"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203</w:t>
            </w:r>
          </w:p>
        </w:tc>
        <w:tc>
          <w:tcPr>
            <w:tcW w:w="0" w:type="auto"/>
            <w:tcBorders>
              <w:top w:val="nil"/>
              <w:left w:val="single" w:sz="4" w:space="0" w:color="auto"/>
              <w:bottom w:val="nil"/>
              <w:right w:val="nil"/>
            </w:tcBorders>
            <w:shd w:val="clear" w:color="auto" w:fill="auto"/>
            <w:noWrap/>
            <w:vAlign w:val="bottom"/>
          </w:tcPr>
          <w:p w14:paraId="64EE8C3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157</w:t>
            </w:r>
          </w:p>
        </w:tc>
        <w:tc>
          <w:tcPr>
            <w:tcW w:w="0" w:type="auto"/>
            <w:tcBorders>
              <w:top w:val="nil"/>
              <w:left w:val="nil"/>
              <w:bottom w:val="nil"/>
              <w:right w:val="single" w:sz="4" w:space="0" w:color="auto"/>
            </w:tcBorders>
            <w:shd w:val="clear" w:color="auto" w:fill="auto"/>
            <w:noWrap/>
            <w:vAlign w:val="bottom"/>
          </w:tcPr>
          <w:p w14:paraId="2E84F524"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265</w:t>
            </w:r>
          </w:p>
        </w:tc>
        <w:tc>
          <w:tcPr>
            <w:tcW w:w="0" w:type="auto"/>
            <w:tcBorders>
              <w:top w:val="nil"/>
              <w:left w:val="single" w:sz="4" w:space="0" w:color="auto"/>
              <w:bottom w:val="nil"/>
              <w:right w:val="single" w:sz="4" w:space="0" w:color="auto"/>
            </w:tcBorders>
            <w:shd w:val="clear" w:color="auto" w:fill="auto"/>
            <w:vAlign w:val="bottom"/>
          </w:tcPr>
          <w:p w14:paraId="3DBD288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2019-24</w:t>
            </w:r>
          </w:p>
        </w:tc>
      </w:tr>
      <w:tr w:rsidR="00A37634" w:rsidRPr="00A37634" w14:paraId="6E9530AC" w14:textId="77777777" w:rsidTr="007C7289">
        <w:trPr>
          <w:trHeight w:val="255"/>
          <w:jc w:val="center"/>
        </w:trPr>
        <w:tc>
          <w:tcPr>
            <w:tcW w:w="1502" w:type="dxa"/>
            <w:tcBorders>
              <w:top w:val="nil"/>
              <w:left w:val="single" w:sz="4" w:space="0" w:color="auto"/>
              <w:bottom w:val="nil"/>
              <w:right w:val="single" w:sz="4" w:space="0" w:color="auto"/>
            </w:tcBorders>
            <w:noWrap/>
            <w:vAlign w:val="bottom"/>
          </w:tcPr>
          <w:p w14:paraId="69202D7F" w14:textId="77777777" w:rsidR="00A37634" w:rsidRPr="00A37634" w:rsidRDefault="00A37634" w:rsidP="00A37634">
            <w:pPr>
              <w:tabs>
                <w:tab w:val="left" w:pos="3293"/>
              </w:tabs>
              <w:spacing w:before="60" w:after="60" w:line="240" w:lineRule="auto"/>
              <w:ind w:left="35"/>
              <w:rPr>
                <w:rFonts w:ascii="Calibri" w:eastAsia="Arial Unicode MS" w:hAnsi="Calibri" w:cs="Calibri"/>
                <w:sz w:val="16"/>
                <w:szCs w:val="16"/>
                <w:lang w:val="en-AU"/>
              </w:rPr>
            </w:pPr>
            <w:r w:rsidRPr="00A37634">
              <w:rPr>
                <w:rFonts w:ascii="Calibri" w:eastAsia="Times New Roman" w:hAnsi="Calibri" w:cs="Calibri"/>
                <w:sz w:val="16"/>
                <w:szCs w:val="16"/>
                <w:lang w:val="en-AU"/>
              </w:rPr>
              <w:t>NT</w:t>
            </w:r>
          </w:p>
        </w:tc>
        <w:tc>
          <w:tcPr>
            <w:tcW w:w="1363" w:type="dxa"/>
            <w:tcBorders>
              <w:top w:val="nil"/>
              <w:left w:val="nil"/>
              <w:bottom w:val="nil"/>
              <w:right w:val="nil"/>
            </w:tcBorders>
            <w:shd w:val="clear" w:color="auto" w:fill="auto"/>
            <w:vAlign w:val="bottom"/>
          </w:tcPr>
          <w:p w14:paraId="127E53EE"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713</w:t>
            </w:r>
          </w:p>
        </w:tc>
        <w:tc>
          <w:tcPr>
            <w:tcW w:w="0" w:type="auto"/>
            <w:tcBorders>
              <w:top w:val="nil"/>
              <w:left w:val="single" w:sz="4" w:space="0" w:color="auto"/>
              <w:bottom w:val="nil"/>
              <w:right w:val="nil"/>
            </w:tcBorders>
            <w:shd w:val="clear" w:color="auto" w:fill="auto"/>
            <w:noWrap/>
            <w:vAlign w:val="bottom"/>
          </w:tcPr>
          <w:p w14:paraId="13668F6E"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548</w:t>
            </w:r>
          </w:p>
        </w:tc>
        <w:tc>
          <w:tcPr>
            <w:tcW w:w="0" w:type="auto"/>
            <w:tcBorders>
              <w:top w:val="nil"/>
              <w:left w:val="nil"/>
              <w:bottom w:val="nil"/>
              <w:right w:val="single" w:sz="4" w:space="0" w:color="auto"/>
            </w:tcBorders>
            <w:shd w:val="clear" w:color="auto" w:fill="auto"/>
            <w:noWrap/>
            <w:vAlign w:val="bottom"/>
          </w:tcPr>
          <w:p w14:paraId="60992AC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926</w:t>
            </w:r>
          </w:p>
        </w:tc>
        <w:tc>
          <w:tcPr>
            <w:tcW w:w="0" w:type="auto"/>
            <w:tcBorders>
              <w:top w:val="nil"/>
              <w:left w:val="single" w:sz="4" w:space="0" w:color="auto"/>
              <w:bottom w:val="nil"/>
              <w:right w:val="single" w:sz="4" w:space="0" w:color="auto"/>
            </w:tcBorders>
            <w:shd w:val="clear" w:color="auto" w:fill="auto"/>
            <w:vAlign w:val="bottom"/>
          </w:tcPr>
          <w:p w14:paraId="6F0A060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2019-24</w:t>
            </w:r>
          </w:p>
        </w:tc>
      </w:tr>
      <w:tr w:rsidR="00A37634" w:rsidRPr="00A37634" w14:paraId="74D601D3" w14:textId="77777777" w:rsidTr="007C7289">
        <w:trPr>
          <w:trHeight w:val="255"/>
          <w:jc w:val="center"/>
        </w:trPr>
        <w:tc>
          <w:tcPr>
            <w:tcW w:w="1502" w:type="dxa"/>
            <w:tcBorders>
              <w:top w:val="single" w:sz="4" w:space="0" w:color="auto"/>
              <w:left w:val="single" w:sz="4" w:space="0" w:color="auto"/>
              <w:bottom w:val="single" w:sz="4" w:space="0" w:color="auto"/>
              <w:right w:val="single" w:sz="4" w:space="0" w:color="auto"/>
            </w:tcBorders>
            <w:noWrap/>
            <w:vAlign w:val="bottom"/>
          </w:tcPr>
          <w:p w14:paraId="6C792E4B" w14:textId="77777777" w:rsidR="00A37634" w:rsidRPr="00A37634" w:rsidRDefault="00A37634" w:rsidP="00A37634">
            <w:pPr>
              <w:tabs>
                <w:tab w:val="left" w:pos="3293"/>
              </w:tabs>
              <w:spacing w:before="60" w:after="60" w:line="240" w:lineRule="auto"/>
              <w:ind w:left="35"/>
              <w:rPr>
                <w:rFonts w:ascii="Calibri" w:eastAsia="Times New Roman" w:hAnsi="Calibri" w:cs="Calibri"/>
                <w:sz w:val="16"/>
                <w:szCs w:val="16"/>
                <w:lang w:val="en-AU"/>
              </w:rPr>
            </w:pPr>
            <w:r w:rsidRPr="00A37634">
              <w:rPr>
                <w:rFonts w:ascii="Calibri" w:eastAsia="Times New Roman" w:hAnsi="Calibri" w:cs="Calibri"/>
                <w:sz w:val="16"/>
                <w:szCs w:val="16"/>
                <w:lang w:val="en-AU"/>
              </w:rPr>
              <w:t>NEM – weighted</w:t>
            </w:r>
          </w:p>
        </w:tc>
        <w:tc>
          <w:tcPr>
            <w:tcW w:w="1363" w:type="dxa"/>
            <w:tcBorders>
              <w:top w:val="single" w:sz="4" w:space="0" w:color="auto"/>
              <w:left w:val="nil"/>
              <w:bottom w:val="single" w:sz="4" w:space="0" w:color="auto"/>
              <w:right w:val="nil"/>
            </w:tcBorders>
            <w:shd w:val="clear" w:color="auto" w:fill="auto"/>
            <w:vAlign w:val="bottom"/>
          </w:tcPr>
          <w:p w14:paraId="7FF1DE2A"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1800</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7CE4F94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1385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73B002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2340</w:t>
            </w:r>
          </w:p>
        </w:tc>
        <w:tc>
          <w:tcPr>
            <w:tcW w:w="0" w:type="auto"/>
            <w:tcBorders>
              <w:top w:val="single" w:sz="4" w:space="0" w:color="auto"/>
              <w:left w:val="nil"/>
              <w:bottom w:val="single" w:sz="4" w:space="0" w:color="auto"/>
              <w:right w:val="single" w:sz="4" w:space="0" w:color="auto"/>
            </w:tcBorders>
          </w:tcPr>
          <w:p w14:paraId="2D82251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p>
        </w:tc>
      </w:tr>
      <w:tr w:rsidR="00A37634" w:rsidRPr="00A37634" w14:paraId="54E65E59" w14:textId="77777777" w:rsidTr="007C7289">
        <w:trPr>
          <w:trHeight w:val="255"/>
          <w:jc w:val="center"/>
        </w:trPr>
        <w:tc>
          <w:tcPr>
            <w:tcW w:w="1502" w:type="dxa"/>
            <w:tcBorders>
              <w:top w:val="single" w:sz="4" w:space="0" w:color="auto"/>
              <w:left w:val="single" w:sz="4" w:space="0" w:color="auto"/>
              <w:bottom w:val="single" w:sz="4" w:space="0" w:color="auto"/>
              <w:right w:val="single" w:sz="4" w:space="0" w:color="auto"/>
            </w:tcBorders>
            <w:noWrap/>
            <w:vAlign w:val="bottom"/>
          </w:tcPr>
          <w:p w14:paraId="5111025F" w14:textId="77777777" w:rsidR="00A37634" w:rsidRPr="00A37634" w:rsidRDefault="00A37634" w:rsidP="00A37634">
            <w:pPr>
              <w:tabs>
                <w:tab w:val="left" w:pos="3293"/>
              </w:tabs>
              <w:spacing w:before="60" w:after="60" w:line="240" w:lineRule="auto"/>
              <w:ind w:left="35"/>
              <w:rPr>
                <w:rFonts w:ascii="Calibri" w:eastAsia="Times New Roman" w:hAnsi="Calibri" w:cs="Calibri"/>
                <w:sz w:val="16"/>
                <w:szCs w:val="16"/>
                <w:lang w:val="en-AU"/>
              </w:rPr>
            </w:pPr>
            <w:r w:rsidRPr="00A37634">
              <w:rPr>
                <w:rFonts w:ascii="Calibri" w:eastAsia="Times New Roman" w:hAnsi="Calibri" w:cs="Calibri"/>
                <w:sz w:val="16"/>
                <w:szCs w:val="16"/>
                <w:lang w:val="en-AU"/>
              </w:rPr>
              <w:t>NZ</w:t>
            </w:r>
          </w:p>
        </w:tc>
        <w:tc>
          <w:tcPr>
            <w:tcW w:w="1363" w:type="dxa"/>
            <w:tcBorders>
              <w:top w:val="nil"/>
              <w:left w:val="nil"/>
              <w:bottom w:val="single" w:sz="4" w:space="0" w:color="auto"/>
              <w:right w:val="nil"/>
            </w:tcBorders>
            <w:shd w:val="clear" w:color="auto" w:fill="auto"/>
            <w:vAlign w:val="bottom"/>
          </w:tcPr>
          <w:p w14:paraId="1494E722" w14:textId="77777777" w:rsidR="00A37634" w:rsidRPr="00A37634" w:rsidDel="0092190F"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1942</w:t>
            </w:r>
          </w:p>
        </w:tc>
        <w:tc>
          <w:tcPr>
            <w:tcW w:w="0" w:type="auto"/>
            <w:tcBorders>
              <w:top w:val="nil"/>
              <w:left w:val="single" w:sz="4" w:space="0" w:color="auto"/>
              <w:bottom w:val="single" w:sz="4" w:space="0" w:color="auto"/>
              <w:right w:val="nil"/>
            </w:tcBorders>
            <w:shd w:val="clear" w:color="auto" w:fill="auto"/>
            <w:noWrap/>
            <w:vAlign w:val="bottom"/>
          </w:tcPr>
          <w:p w14:paraId="2F73B70E" w14:textId="77777777" w:rsidR="00A37634" w:rsidRPr="00A37634" w:rsidDel="0092190F"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1494</w:t>
            </w:r>
          </w:p>
        </w:tc>
        <w:tc>
          <w:tcPr>
            <w:tcW w:w="0" w:type="auto"/>
            <w:tcBorders>
              <w:top w:val="nil"/>
              <w:left w:val="nil"/>
              <w:bottom w:val="single" w:sz="4" w:space="0" w:color="auto"/>
              <w:right w:val="single" w:sz="4" w:space="0" w:color="auto"/>
            </w:tcBorders>
            <w:shd w:val="clear" w:color="auto" w:fill="auto"/>
            <w:noWrap/>
            <w:vAlign w:val="bottom"/>
          </w:tcPr>
          <w:p w14:paraId="0542544E" w14:textId="77777777" w:rsidR="00A37634" w:rsidRPr="00A37634" w:rsidDel="0092190F"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2525</w:t>
            </w:r>
          </w:p>
        </w:tc>
        <w:tc>
          <w:tcPr>
            <w:tcW w:w="0" w:type="auto"/>
            <w:tcBorders>
              <w:top w:val="nil"/>
              <w:left w:val="nil"/>
              <w:bottom w:val="single" w:sz="4" w:space="0" w:color="auto"/>
              <w:right w:val="single" w:sz="4" w:space="0" w:color="auto"/>
            </w:tcBorders>
          </w:tcPr>
          <w:p w14:paraId="5CA8DAF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p>
        </w:tc>
      </w:tr>
    </w:tbl>
    <w:p w14:paraId="24BE63E3" w14:textId="77777777" w:rsidR="00A37634" w:rsidRPr="00A37634" w:rsidRDefault="00A37634" w:rsidP="00A37634">
      <w:pPr>
        <w:spacing w:after="0" w:line="278" w:lineRule="auto"/>
        <w:ind w:left="851" w:right="850"/>
        <w:jc w:val="center"/>
        <w:rPr>
          <w:rFonts w:ascii="Calibri" w:eastAsia="Cambria" w:hAnsi="Calibri" w:cs="Calibri"/>
          <w:sz w:val="16"/>
          <w:szCs w:val="24"/>
          <w:lang w:val="en-AU"/>
        </w:rPr>
      </w:pPr>
      <w:r w:rsidRPr="00A37634">
        <w:rPr>
          <w:rFonts w:ascii="Calibri" w:eastAsia="Cambria" w:hAnsi="Calibri" w:cs="Calibri"/>
          <w:sz w:val="16"/>
          <w:szCs w:val="24"/>
          <w:lang w:val="en-AU"/>
        </w:rPr>
        <w:t>(a) Extracted from DNSP submissions to latest round of AER price determinations. Includes 25% allowance over distribution cost for transmission and generation investment. (b) 76% of Medium value (c) 130% of Medium value.</w:t>
      </w:r>
    </w:p>
    <w:p w14:paraId="370AAFFE" w14:textId="0CB19E9E" w:rsidR="00A37634" w:rsidRPr="00A37634" w:rsidRDefault="00A37634" w:rsidP="00A37634">
      <w:pPr>
        <w:spacing w:before="240" w:after="120" w:line="278" w:lineRule="auto"/>
        <w:rPr>
          <w:rFonts w:ascii="Calibri" w:eastAsia="Cambria" w:hAnsi="Calibri" w:cs="Calibri"/>
          <w:szCs w:val="20"/>
          <w:lang w:val="en-AU"/>
        </w:rPr>
      </w:pPr>
      <w:r w:rsidRPr="00BB0627">
        <w:rPr>
          <w:rFonts w:ascii="Calibri" w:eastAsia="Cambria" w:hAnsi="Calibri" w:cs="Calibri"/>
          <w:b/>
          <w:szCs w:val="20"/>
          <w:lang w:val="en-AU"/>
        </w:rPr>
        <w:fldChar w:fldCharType="begin"/>
      </w:r>
      <w:r w:rsidRPr="00BB0627">
        <w:rPr>
          <w:rFonts w:ascii="Calibri" w:eastAsia="Cambria" w:hAnsi="Calibri" w:cs="Calibri"/>
          <w:b/>
          <w:szCs w:val="20"/>
          <w:lang w:val="en-AU"/>
        </w:rPr>
        <w:instrText xml:space="preserve"> REF _Ref277589877 \h  \* MERGEFORMAT </w:instrText>
      </w:r>
      <w:r w:rsidRPr="00BB0627">
        <w:rPr>
          <w:rFonts w:ascii="Calibri" w:eastAsia="Cambria" w:hAnsi="Calibri" w:cs="Calibri"/>
          <w:b/>
          <w:szCs w:val="20"/>
          <w:lang w:val="en-AU"/>
        </w:rPr>
      </w:r>
      <w:r w:rsidRPr="00BB0627">
        <w:rPr>
          <w:rFonts w:ascii="Calibri" w:eastAsia="Cambria" w:hAnsi="Calibri" w:cs="Calibri"/>
          <w:b/>
          <w:szCs w:val="20"/>
          <w:lang w:val="en-AU"/>
        </w:rPr>
        <w:fldChar w:fldCharType="separate"/>
      </w:r>
      <w:r w:rsidR="00181136" w:rsidRPr="00181136">
        <w:rPr>
          <w:rFonts w:ascii="Calibri" w:eastAsia="Cambria" w:hAnsi="Calibri" w:cs="Calibri"/>
          <w:b/>
          <w:szCs w:val="20"/>
          <w:lang w:val="en-AU"/>
        </w:rPr>
        <w:t xml:space="preserve">Table </w:t>
      </w:r>
      <w:r w:rsidR="00181136" w:rsidRPr="00181136">
        <w:rPr>
          <w:rFonts w:ascii="Calibri" w:eastAsia="Cambria" w:hAnsi="Calibri" w:cs="Calibri"/>
          <w:b/>
          <w:noProof/>
          <w:szCs w:val="20"/>
          <w:lang w:val="en-AU"/>
        </w:rPr>
        <w:t>15</w:t>
      </w:r>
      <w:r w:rsidRPr="00BB0627">
        <w:rPr>
          <w:rFonts w:ascii="Calibri" w:eastAsia="Cambria" w:hAnsi="Calibri" w:cs="Calibri"/>
          <w:b/>
          <w:szCs w:val="20"/>
          <w:lang w:val="en-AU"/>
        </w:rPr>
        <w:fldChar w:fldCharType="end"/>
      </w:r>
      <w:r w:rsidRPr="00A37634">
        <w:rPr>
          <w:rFonts w:ascii="Calibri" w:eastAsia="Cambria" w:hAnsi="Calibri" w:cs="Calibri"/>
          <w:szCs w:val="20"/>
          <w:lang w:val="en-AU"/>
        </w:rPr>
        <w:t xml:space="preserve"> indicates the load reduction available from each individual appliance participating in a DR program, and the capital cost that needs to be invested in the electricity supply network to meet the diversified peak demand contribution of each appliance. This ranges from an average of $1,600 for an air conditioner about $400 for an EV charger.</w:t>
      </w:r>
    </w:p>
    <w:p w14:paraId="300E636A" w14:textId="63F08743"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108" w:name="_Ref277589877"/>
      <w:bookmarkStart w:id="109" w:name="_Toc333183013"/>
      <w:bookmarkStart w:id="110" w:name="_Toc369633225"/>
      <w:bookmarkStart w:id="111" w:name="_Toc11360599"/>
      <w:bookmarkStart w:id="112" w:name="_Toc16501006"/>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15</w:t>
      </w:r>
      <w:r w:rsidRPr="00A37634">
        <w:rPr>
          <w:rFonts w:ascii="Calibri" w:eastAsia="Cambria" w:hAnsi="Calibri" w:cs="Calibri"/>
          <w:b/>
          <w:bCs/>
          <w:noProof/>
          <w:sz w:val="20"/>
          <w:szCs w:val="16"/>
          <w:lang w:val="en-AU"/>
        </w:rPr>
        <w:fldChar w:fldCharType="end"/>
      </w:r>
      <w:bookmarkEnd w:id="108"/>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Load reduction available from participating appliances</w:t>
      </w:r>
      <w:bookmarkEnd w:id="109"/>
      <w:bookmarkEnd w:id="110"/>
      <w:bookmarkEnd w:id="111"/>
      <w:bookmarkEnd w:id="112"/>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80"/>
        <w:gridCol w:w="1427"/>
        <w:gridCol w:w="1644"/>
        <w:gridCol w:w="1645"/>
        <w:gridCol w:w="1644"/>
        <w:gridCol w:w="1578"/>
      </w:tblGrid>
      <w:tr w:rsidR="00A37634" w:rsidRPr="00A37634" w14:paraId="6888035C" w14:textId="77777777" w:rsidTr="007C7289">
        <w:trPr>
          <w:cantSplit/>
          <w:tblHeader/>
          <w:jc w:val="center"/>
        </w:trPr>
        <w:tc>
          <w:tcPr>
            <w:tcW w:w="1980" w:type="dxa"/>
          </w:tcPr>
          <w:p w14:paraId="33089F91"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p>
        </w:tc>
        <w:tc>
          <w:tcPr>
            <w:tcW w:w="1427" w:type="dxa"/>
          </w:tcPr>
          <w:p w14:paraId="6CDE5125"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 xml:space="preserve">Average kW (electric) at full load </w:t>
            </w:r>
            <w:r w:rsidRPr="00A37634">
              <w:rPr>
                <w:rFonts w:ascii="Calibri" w:eastAsia="Times New Roman" w:hAnsi="Calibri" w:cs="Calibri"/>
                <w:b/>
                <w:sz w:val="15"/>
                <w:szCs w:val="14"/>
                <w:lang w:val="en-AU"/>
              </w:rPr>
              <w:br/>
            </w:r>
          </w:p>
        </w:tc>
        <w:tc>
          <w:tcPr>
            <w:tcW w:w="1644" w:type="dxa"/>
          </w:tcPr>
          <w:p w14:paraId="27DBDF9F"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 xml:space="preserve">% operating at </w:t>
            </w:r>
            <w:r w:rsidRPr="00A37634">
              <w:rPr>
                <w:rFonts w:ascii="Calibri" w:eastAsia="Times New Roman" w:hAnsi="Calibri" w:cs="Calibri"/>
                <w:b/>
                <w:sz w:val="15"/>
                <w:szCs w:val="14"/>
                <w:lang w:val="en-AU"/>
              </w:rPr>
              <w:br/>
              <w:t>time of MD</w:t>
            </w:r>
          </w:p>
        </w:tc>
        <w:tc>
          <w:tcPr>
            <w:tcW w:w="1645" w:type="dxa"/>
          </w:tcPr>
          <w:p w14:paraId="391E8EE2"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Diversified curtailable kW per activated unit available in 2020</w:t>
            </w:r>
          </w:p>
        </w:tc>
        <w:tc>
          <w:tcPr>
            <w:tcW w:w="1644" w:type="dxa"/>
          </w:tcPr>
          <w:p w14:paraId="645C4FD0"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Capital investment to accommodate peak load, per unit, 2020 (a)</w:t>
            </w:r>
          </w:p>
        </w:tc>
        <w:tc>
          <w:tcPr>
            <w:tcW w:w="1578" w:type="dxa"/>
          </w:tcPr>
          <w:p w14:paraId="446EC4FD"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Average controllable kW per activated unit available in 2020</w:t>
            </w:r>
          </w:p>
        </w:tc>
      </w:tr>
      <w:tr w:rsidR="00A37634" w:rsidRPr="00A37634" w14:paraId="7509733C" w14:textId="77777777" w:rsidTr="007C7289">
        <w:trPr>
          <w:jc w:val="center"/>
        </w:trPr>
        <w:tc>
          <w:tcPr>
            <w:tcW w:w="1980" w:type="dxa"/>
          </w:tcPr>
          <w:p w14:paraId="44F5DE60" w14:textId="77777777" w:rsidR="00A37634" w:rsidRPr="00A37634" w:rsidRDefault="00A37634" w:rsidP="00A37634">
            <w:pPr>
              <w:tabs>
                <w:tab w:val="left" w:pos="3293"/>
              </w:tabs>
              <w:spacing w:before="60" w:after="60" w:line="240" w:lineRule="auto"/>
              <w:ind w:left="35"/>
              <w:rPr>
                <w:rFonts w:ascii="Calibri" w:eastAsia="Times New Roman" w:hAnsi="Calibri" w:cs="Calibri"/>
                <w:sz w:val="16"/>
                <w:szCs w:val="16"/>
                <w:lang w:val="en-AU"/>
              </w:rPr>
            </w:pPr>
            <w:r w:rsidRPr="00A37634">
              <w:rPr>
                <w:rFonts w:ascii="Calibri" w:eastAsia="Times New Roman" w:hAnsi="Calibri" w:cs="Calibri"/>
                <w:sz w:val="16"/>
                <w:szCs w:val="16"/>
                <w:lang w:val="en-AU"/>
              </w:rPr>
              <w:t xml:space="preserve">All air </w:t>
            </w:r>
            <w:proofErr w:type="spellStart"/>
            <w:r w:rsidRPr="00A37634">
              <w:rPr>
                <w:rFonts w:ascii="Calibri" w:eastAsia="Times New Roman" w:hAnsi="Calibri" w:cs="Calibri"/>
                <w:sz w:val="16"/>
                <w:szCs w:val="16"/>
                <w:lang w:val="en-AU"/>
              </w:rPr>
              <w:t>conds</w:t>
            </w:r>
            <w:proofErr w:type="spellEnd"/>
            <w:r w:rsidRPr="00A37634">
              <w:rPr>
                <w:rFonts w:ascii="Calibri" w:eastAsia="Times New Roman" w:hAnsi="Calibri" w:cs="Calibri"/>
                <w:sz w:val="16"/>
                <w:szCs w:val="16"/>
                <w:lang w:val="en-AU"/>
              </w:rPr>
              <w:t xml:space="preserve"> (weighted average of all categories)</w:t>
            </w:r>
          </w:p>
        </w:tc>
        <w:tc>
          <w:tcPr>
            <w:tcW w:w="1427" w:type="dxa"/>
          </w:tcPr>
          <w:p w14:paraId="2760EFAE"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1.27 (Cooling)</w:t>
            </w:r>
            <w:r w:rsidRPr="00A37634">
              <w:rPr>
                <w:rFonts w:ascii="Calibri" w:eastAsia="Times New Roman" w:hAnsi="Calibri" w:cs="Calibri"/>
                <w:sz w:val="16"/>
                <w:szCs w:val="16"/>
                <w:lang w:val="en-AU"/>
              </w:rPr>
              <w:br/>
              <w:t>1.33 (Heating)</w:t>
            </w:r>
          </w:p>
        </w:tc>
        <w:tc>
          <w:tcPr>
            <w:tcW w:w="1644" w:type="dxa"/>
          </w:tcPr>
          <w:p w14:paraId="4CD7A1C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70% at 2020 SMD</w:t>
            </w:r>
            <w:r w:rsidRPr="00A37634">
              <w:rPr>
                <w:rFonts w:ascii="Calibri" w:eastAsia="Times New Roman" w:hAnsi="Calibri" w:cs="Calibri"/>
                <w:sz w:val="16"/>
                <w:szCs w:val="16"/>
                <w:lang w:val="en-AU"/>
              </w:rPr>
              <w:br/>
              <w:t>80% at 2035 SMD</w:t>
            </w:r>
          </w:p>
        </w:tc>
        <w:tc>
          <w:tcPr>
            <w:tcW w:w="1645" w:type="dxa"/>
          </w:tcPr>
          <w:p w14:paraId="076638A5"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SMD 0.89</w:t>
            </w:r>
            <w:r w:rsidRPr="00A37634">
              <w:rPr>
                <w:rFonts w:ascii="Calibri" w:eastAsia="Times New Roman" w:hAnsi="Calibri" w:cs="Calibri"/>
                <w:sz w:val="16"/>
                <w:szCs w:val="16"/>
                <w:lang w:val="en-AU"/>
              </w:rPr>
              <w:br/>
              <w:t>WMD 0.93</w:t>
            </w:r>
          </w:p>
        </w:tc>
        <w:tc>
          <w:tcPr>
            <w:tcW w:w="1644" w:type="dxa"/>
          </w:tcPr>
          <w:p w14:paraId="7797D44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$ 1,600</w:t>
            </w:r>
          </w:p>
        </w:tc>
        <w:tc>
          <w:tcPr>
            <w:tcW w:w="1578" w:type="dxa"/>
          </w:tcPr>
          <w:p w14:paraId="16B691F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SMD 0.45 (b)</w:t>
            </w:r>
            <w:r w:rsidRPr="00A37634">
              <w:rPr>
                <w:rFonts w:ascii="Calibri" w:eastAsia="Times New Roman" w:hAnsi="Calibri" w:cs="Calibri"/>
                <w:sz w:val="16"/>
                <w:szCs w:val="16"/>
                <w:lang w:val="en-AU"/>
              </w:rPr>
              <w:br/>
              <w:t>WMD 0.47</w:t>
            </w:r>
          </w:p>
        </w:tc>
      </w:tr>
      <w:tr w:rsidR="00A37634" w:rsidRPr="00A37634" w14:paraId="5C16EDF1" w14:textId="77777777" w:rsidTr="007C7289">
        <w:trPr>
          <w:jc w:val="center"/>
        </w:trPr>
        <w:tc>
          <w:tcPr>
            <w:tcW w:w="1980" w:type="dxa"/>
          </w:tcPr>
          <w:p w14:paraId="0696B6D7" w14:textId="77777777" w:rsidR="00A37634" w:rsidRPr="00A37634" w:rsidRDefault="00A37634" w:rsidP="00A37634">
            <w:pPr>
              <w:tabs>
                <w:tab w:val="left" w:pos="3293"/>
              </w:tabs>
              <w:spacing w:before="60" w:after="60" w:line="240" w:lineRule="auto"/>
              <w:ind w:left="35"/>
              <w:rPr>
                <w:rFonts w:ascii="Calibri" w:eastAsia="Times New Roman" w:hAnsi="Calibri" w:cs="Calibri"/>
                <w:sz w:val="16"/>
                <w:szCs w:val="16"/>
                <w:lang w:val="en-AU"/>
              </w:rPr>
            </w:pPr>
            <w:r w:rsidRPr="00A37634">
              <w:rPr>
                <w:rFonts w:ascii="Calibri" w:eastAsia="Times New Roman" w:hAnsi="Calibri" w:cs="Calibri"/>
                <w:sz w:val="16"/>
                <w:szCs w:val="16"/>
                <w:lang w:val="en-AU"/>
              </w:rPr>
              <w:t>Pool pumps switched by controllers</w:t>
            </w:r>
          </w:p>
        </w:tc>
        <w:tc>
          <w:tcPr>
            <w:tcW w:w="1427" w:type="dxa"/>
          </w:tcPr>
          <w:p w14:paraId="5EF11B4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0.9</w:t>
            </w:r>
          </w:p>
        </w:tc>
        <w:tc>
          <w:tcPr>
            <w:tcW w:w="1644" w:type="dxa"/>
          </w:tcPr>
          <w:p w14:paraId="62AFCC4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50%</w:t>
            </w:r>
          </w:p>
        </w:tc>
        <w:tc>
          <w:tcPr>
            <w:tcW w:w="1645" w:type="dxa"/>
          </w:tcPr>
          <w:p w14:paraId="0D3CB21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SMD 0.45</w:t>
            </w:r>
          </w:p>
        </w:tc>
        <w:tc>
          <w:tcPr>
            <w:tcW w:w="1644" w:type="dxa"/>
          </w:tcPr>
          <w:p w14:paraId="6C87C35C"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$ 810</w:t>
            </w:r>
          </w:p>
        </w:tc>
        <w:tc>
          <w:tcPr>
            <w:tcW w:w="1578" w:type="dxa"/>
          </w:tcPr>
          <w:p w14:paraId="2F5E9F6D"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SMD 0.9 (c)</w:t>
            </w:r>
          </w:p>
        </w:tc>
      </w:tr>
      <w:tr w:rsidR="00A37634" w:rsidRPr="00A37634" w14:paraId="13970795" w14:textId="77777777" w:rsidTr="007C7289">
        <w:trPr>
          <w:jc w:val="center"/>
        </w:trPr>
        <w:tc>
          <w:tcPr>
            <w:tcW w:w="1980" w:type="dxa"/>
          </w:tcPr>
          <w:p w14:paraId="76B30C1E" w14:textId="77777777" w:rsidR="00A37634" w:rsidRPr="00A37634" w:rsidRDefault="00A37634" w:rsidP="00A37634">
            <w:pPr>
              <w:tabs>
                <w:tab w:val="left" w:pos="3293"/>
              </w:tabs>
              <w:spacing w:before="60" w:after="60" w:line="240" w:lineRule="auto"/>
              <w:ind w:left="35"/>
              <w:rPr>
                <w:rFonts w:ascii="Calibri" w:eastAsia="Times New Roman" w:hAnsi="Calibri" w:cs="Calibri"/>
                <w:sz w:val="16"/>
                <w:szCs w:val="16"/>
                <w:lang w:val="en-AU"/>
              </w:rPr>
            </w:pPr>
            <w:r w:rsidRPr="00A37634">
              <w:rPr>
                <w:rFonts w:ascii="Calibri" w:eastAsia="Times New Roman" w:hAnsi="Calibri" w:cs="Calibri"/>
                <w:sz w:val="16"/>
                <w:szCs w:val="16"/>
                <w:lang w:val="en-AU"/>
              </w:rPr>
              <w:t xml:space="preserve">Electric storage water heaters – small </w:t>
            </w:r>
          </w:p>
        </w:tc>
        <w:tc>
          <w:tcPr>
            <w:tcW w:w="1427" w:type="dxa"/>
          </w:tcPr>
          <w:p w14:paraId="4DE4C55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2.4</w:t>
            </w:r>
          </w:p>
        </w:tc>
        <w:tc>
          <w:tcPr>
            <w:tcW w:w="1644" w:type="dxa"/>
          </w:tcPr>
          <w:p w14:paraId="5C74ABB2"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100%</w:t>
            </w:r>
          </w:p>
        </w:tc>
        <w:tc>
          <w:tcPr>
            <w:tcW w:w="1645" w:type="dxa"/>
          </w:tcPr>
          <w:p w14:paraId="02EBB1D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SMD 0.4</w:t>
            </w:r>
            <w:r w:rsidRPr="00A37634">
              <w:rPr>
                <w:rFonts w:ascii="Calibri" w:eastAsia="Times New Roman" w:hAnsi="Calibri" w:cs="Calibri"/>
                <w:sz w:val="16"/>
                <w:szCs w:val="16"/>
                <w:lang w:val="en-AU"/>
              </w:rPr>
              <w:br/>
              <w:t>WMD 0.6</w:t>
            </w:r>
          </w:p>
        </w:tc>
        <w:tc>
          <w:tcPr>
            <w:tcW w:w="1644" w:type="dxa"/>
          </w:tcPr>
          <w:p w14:paraId="2713623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$ 1,080</w:t>
            </w:r>
          </w:p>
        </w:tc>
        <w:tc>
          <w:tcPr>
            <w:tcW w:w="1578" w:type="dxa"/>
          </w:tcPr>
          <w:p w14:paraId="2DAAFC1F"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SMD 0.4 (d)</w:t>
            </w:r>
            <w:r w:rsidRPr="00A37634">
              <w:rPr>
                <w:rFonts w:ascii="Calibri" w:eastAsia="Times New Roman" w:hAnsi="Calibri" w:cs="Calibri"/>
                <w:sz w:val="16"/>
                <w:szCs w:val="16"/>
                <w:lang w:val="en-AU"/>
              </w:rPr>
              <w:br/>
              <w:t>WMD 0.6</w:t>
            </w:r>
          </w:p>
        </w:tc>
      </w:tr>
      <w:tr w:rsidR="00A37634" w:rsidRPr="00A37634" w14:paraId="00E05D28" w14:textId="77777777" w:rsidTr="007C7289">
        <w:trPr>
          <w:jc w:val="center"/>
        </w:trPr>
        <w:tc>
          <w:tcPr>
            <w:tcW w:w="1980" w:type="dxa"/>
          </w:tcPr>
          <w:p w14:paraId="240A9C33" w14:textId="77777777" w:rsidR="00A37634" w:rsidRPr="00A37634" w:rsidRDefault="00A37634" w:rsidP="00A37634">
            <w:pPr>
              <w:tabs>
                <w:tab w:val="left" w:pos="3293"/>
              </w:tabs>
              <w:spacing w:before="60" w:after="60" w:line="240" w:lineRule="auto"/>
              <w:ind w:left="35"/>
              <w:rPr>
                <w:rFonts w:ascii="Calibri" w:eastAsia="Times New Roman" w:hAnsi="Calibri" w:cs="Calibri"/>
                <w:sz w:val="16"/>
                <w:szCs w:val="16"/>
                <w:lang w:val="en-AU"/>
              </w:rPr>
            </w:pPr>
            <w:r w:rsidRPr="00A37634">
              <w:rPr>
                <w:rFonts w:ascii="Calibri" w:eastAsia="Times New Roman" w:hAnsi="Calibri" w:cs="Calibri"/>
                <w:sz w:val="16"/>
                <w:szCs w:val="16"/>
                <w:lang w:val="en-AU"/>
              </w:rPr>
              <w:t>Electric storage water heaters – large</w:t>
            </w:r>
          </w:p>
        </w:tc>
        <w:tc>
          <w:tcPr>
            <w:tcW w:w="1427" w:type="dxa"/>
          </w:tcPr>
          <w:p w14:paraId="4617056D"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3.6</w:t>
            </w:r>
          </w:p>
        </w:tc>
        <w:tc>
          <w:tcPr>
            <w:tcW w:w="1644" w:type="dxa"/>
          </w:tcPr>
          <w:p w14:paraId="7C380993"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100%</w:t>
            </w:r>
          </w:p>
        </w:tc>
        <w:tc>
          <w:tcPr>
            <w:tcW w:w="1645" w:type="dxa"/>
          </w:tcPr>
          <w:p w14:paraId="0CD44A96"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SMD 0.3</w:t>
            </w:r>
            <w:r w:rsidRPr="00A37634">
              <w:rPr>
                <w:rFonts w:ascii="Calibri" w:eastAsia="Times New Roman" w:hAnsi="Calibri" w:cs="Calibri"/>
                <w:sz w:val="16"/>
                <w:szCs w:val="16"/>
                <w:lang w:val="en-AU"/>
              </w:rPr>
              <w:br/>
              <w:t>WMD 0.5</w:t>
            </w:r>
          </w:p>
        </w:tc>
        <w:tc>
          <w:tcPr>
            <w:tcW w:w="1644" w:type="dxa"/>
          </w:tcPr>
          <w:p w14:paraId="473E0B79"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$ 900</w:t>
            </w:r>
          </w:p>
        </w:tc>
        <w:tc>
          <w:tcPr>
            <w:tcW w:w="1578" w:type="dxa"/>
          </w:tcPr>
          <w:p w14:paraId="324AF68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SMD 0.3 (e)</w:t>
            </w:r>
            <w:r w:rsidRPr="00A37634">
              <w:rPr>
                <w:rFonts w:ascii="Calibri" w:eastAsia="Times New Roman" w:hAnsi="Calibri" w:cs="Calibri"/>
                <w:sz w:val="16"/>
                <w:szCs w:val="16"/>
                <w:lang w:val="en-AU"/>
              </w:rPr>
              <w:br/>
              <w:t>WMD 0.5</w:t>
            </w:r>
          </w:p>
        </w:tc>
      </w:tr>
      <w:tr w:rsidR="00A37634" w:rsidRPr="00A37634" w14:paraId="44787BE7" w14:textId="77777777" w:rsidTr="007C7289">
        <w:trPr>
          <w:jc w:val="center"/>
        </w:trPr>
        <w:tc>
          <w:tcPr>
            <w:tcW w:w="1980" w:type="dxa"/>
          </w:tcPr>
          <w:p w14:paraId="3A627F47" w14:textId="77777777" w:rsidR="00A37634" w:rsidRPr="00A37634" w:rsidRDefault="00A37634" w:rsidP="00A37634">
            <w:pPr>
              <w:tabs>
                <w:tab w:val="left" w:pos="3293"/>
              </w:tabs>
              <w:spacing w:before="60" w:after="60" w:line="240" w:lineRule="auto"/>
              <w:ind w:left="35"/>
              <w:rPr>
                <w:rFonts w:ascii="Calibri" w:eastAsia="Times New Roman" w:hAnsi="Calibri" w:cs="Calibri"/>
                <w:sz w:val="16"/>
                <w:szCs w:val="16"/>
                <w:lang w:val="en-AU"/>
              </w:rPr>
            </w:pPr>
            <w:r w:rsidRPr="00A37634">
              <w:rPr>
                <w:rFonts w:ascii="Calibri" w:eastAsia="Times New Roman" w:hAnsi="Calibri" w:cs="Calibri"/>
                <w:sz w:val="16"/>
                <w:szCs w:val="16"/>
                <w:lang w:val="en-AU"/>
              </w:rPr>
              <w:t>EV Chargers</w:t>
            </w:r>
          </w:p>
        </w:tc>
        <w:tc>
          <w:tcPr>
            <w:tcW w:w="1427" w:type="dxa"/>
          </w:tcPr>
          <w:p w14:paraId="6FB9A607"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9.6</w:t>
            </w:r>
          </w:p>
        </w:tc>
        <w:tc>
          <w:tcPr>
            <w:tcW w:w="1644" w:type="dxa"/>
          </w:tcPr>
          <w:p w14:paraId="40233AAD"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100%</w:t>
            </w:r>
          </w:p>
        </w:tc>
        <w:tc>
          <w:tcPr>
            <w:tcW w:w="1645" w:type="dxa"/>
          </w:tcPr>
          <w:p w14:paraId="228EDA7D"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SMD 0.22</w:t>
            </w:r>
            <w:r w:rsidRPr="00A37634">
              <w:rPr>
                <w:rFonts w:ascii="Calibri" w:eastAsia="Times New Roman" w:hAnsi="Calibri" w:cs="Calibri"/>
                <w:sz w:val="16"/>
                <w:szCs w:val="16"/>
                <w:lang w:val="en-AU"/>
              </w:rPr>
              <w:br/>
            </w:r>
          </w:p>
        </w:tc>
        <w:tc>
          <w:tcPr>
            <w:tcW w:w="1644" w:type="dxa"/>
          </w:tcPr>
          <w:p w14:paraId="5D60A681"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$ 400</w:t>
            </w:r>
          </w:p>
        </w:tc>
        <w:tc>
          <w:tcPr>
            <w:tcW w:w="1578" w:type="dxa"/>
          </w:tcPr>
          <w:p w14:paraId="5FE08C70" w14:textId="77777777" w:rsidR="00A37634" w:rsidRPr="00A37634" w:rsidRDefault="00A37634" w:rsidP="00A37634">
            <w:pPr>
              <w:tabs>
                <w:tab w:val="left" w:pos="3293"/>
              </w:tabs>
              <w:spacing w:before="60" w:after="60" w:line="240" w:lineRule="auto"/>
              <w:ind w:left="35"/>
              <w:jc w:val="center"/>
              <w:rPr>
                <w:rFonts w:ascii="Calibri" w:eastAsia="Times New Roman" w:hAnsi="Calibri" w:cs="Calibri"/>
                <w:sz w:val="16"/>
                <w:szCs w:val="16"/>
                <w:lang w:val="en-AU"/>
              </w:rPr>
            </w:pPr>
            <w:r w:rsidRPr="00A37634">
              <w:rPr>
                <w:rFonts w:ascii="Calibri" w:eastAsia="Times New Roman" w:hAnsi="Calibri" w:cs="Calibri"/>
                <w:sz w:val="16"/>
                <w:szCs w:val="16"/>
                <w:lang w:val="en-AU"/>
              </w:rPr>
              <w:t>SMD 0.22</w:t>
            </w:r>
            <w:r w:rsidRPr="00A37634">
              <w:rPr>
                <w:rFonts w:ascii="Calibri" w:eastAsia="Times New Roman" w:hAnsi="Calibri" w:cs="Calibri"/>
                <w:sz w:val="16"/>
                <w:szCs w:val="16"/>
                <w:lang w:val="en-AU"/>
              </w:rPr>
              <w:br/>
              <w:t>WMD 0.4</w:t>
            </w:r>
          </w:p>
        </w:tc>
      </w:tr>
    </w:tbl>
    <w:p w14:paraId="5D36373D"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mbria" w:hAnsi="Calibri" w:cs="Calibri"/>
          <w:sz w:val="16"/>
          <w:szCs w:val="16"/>
          <w:lang w:val="en-AU"/>
        </w:rPr>
        <w:t>(a) Average $/peak kW in NEM region multiplied by average curtailable kW/activated unit at SMD. (b) At DRM 2 - limited to 50% of reference load during DR events. (</w:t>
      </w:r>
      <w:proofErr w:type="gramStart"/>
      <w:r w:rsidRPr="00A37634">
        <w:rPr>
          <w:rFonts w:ascii="Calibri" w:eastAsia="Cambria" w:hAnsi="Calibri" w:cs="Calibri"/>
          <w:sz w:val="16"/>
          <w:szCs w:val="16"/>
          <w:lang w:val="en-AU"/>
        </w:rPr>
        <w:t>c</w:t>
      </w:r>
      <w:proofErr w:type="gramEnd"/>
      <w:r w:rsidRPr="00A37634">
        <w:rPr>
          <w:rFonts w:ascii="Calibri" w:eastAsia="Cambria" w:hAnsi="Calibri" w:cs="Calibri"/>
          <w:sz w:val="16"/>
          <w:szCs w:val="16"/>
          <w:lang w:val="en-AU"/>
        </w:rPr>
        <w:t xml:space="preserve">) DRM1 during DR events (d) Water heaters on uncontrolled tariffs. (e) Includes water heaters on 16-hr heating tariffs topping up during peak periods. (f) Includes diversification factors  </w:t>
      </w:r>
    </w:p>
    <w:p w14:paraId="03F215B3" w14:textId="77777777" w:rsidR="00A37634" w:rsidRPr="00A37634" w:rsidRDefault="00A37634" w:rsidP="00A37634">
      <w:pPr>
        <w:spacing w:before="240" w:after="120" w:line="278" w:lineRule="auto"/>
        <w:rPr>
          <w:rFonts w:ascii="Calibri" w:eastAsia="Cambria" w:hAnsi="Calibri" w:cs="Calibri"/>
          <w:lang w:val="en-AU"/>
        </w:rPr>
      </w:pPr>
      <w:r w:rsidRPr="00A37634">
        <w:rPr>
          <w:rFonts w:ascii="Calibri" w:eastAsia="Cambria" w:hAnsi="Calibri" w:cs="Calibri"/>
          <w:lang w:val="en-AU"/>
        </w:rPr>
        <w:t xml:space="preserve">The estimates of diversified curtailable kW per activated AC can be tested against field monitoring of 44 AS/NZS 4755.3.1-compliant air conditioners participating in the Energex </w:t>
      </w:r>
      <w:proofErr w:type="spellStart"/>
      <w:r w:rsidRPr="00A37634">
        <w:rPr>
          <w:rFonts w:ascii="Calibri" w:eastAsia="Cambria" w:hAnsi="Calibri" w:cs="Calibri"/>
          <w:lang w:val="en-AU"/>
        </w:rPr>
        <w:t>PeakSmart</w:t>
      </w:r>
      <w:proofErr w:type="spellEnd"/>
      <w:r w:rsidRPr="00A37634">
        <w:rPr>
          <w:rFonts w:ascii="Calibri" w:eastAsia="Cambria" w:hAnsi="Calibri" w:cs="Calibri"/>
          <w:lang w:val="en-AU"/>
        </w:rPr>
        <w:t xml:space="preserve"> program during a DRM 3 event on 17 March 2014 (15:00 – 16:30 hrs, temp range 29-30</w:t>
      </w:r>
      <w:r w:rsidRPr="00A37634">
        <w:rPr>
          <w:rFonts w:ascii="Calibri" w:eastAsia="Cambria" w:hAnsi="Calibri" w:cs="Calibri"/>
          <w:vertAlign w:val="superscript"/>
          <w:lang w:val="en-AU"/>
        </w:rPr>
        <w:t>o</w:t>
      </w:r>
      <w:r w:rsidRPr="00A37634">
        <w:rPr>
          <w:rFonts w:ascii="Calibri" w:eastAsia="Cambria" w:hAnsi="Calibri" w:cs="Calibri"/>
          <w:lang w:val="en-AU"/>
        </w:rPr>
        <w:t>C, relative humidity range 54-58%).</w:t>
      </w:r>
      <w:r w:rsidRPr="00A37634">
        <w:rPr>
          <w:rFonts w:ascii="Calibri" w:eastAsia="Cambria" w:hAnsi="Calibri" w:cs="Calibri"/>
          <w:vertAlign w:val="superscript"/>
          <w:lang w:val="en-AU"/>
        </w:rPr>
        <w:footnoteReference w:id="72"/>
      </w:r>
      <w:r w:rsidRPr="00A37634">
        <w:rPr>
          <w:rFonts w:ascii="Calibri" w:eastAsia="Cambria" w:hAnsi="Calibri" w:cs="Calibri"/>
          <w:lang w:val="en-AU"/>
        </w:rPr>
        <w:t xml:space="preserve">  </w:t>
      </w:r>
    </w:p>
    <w:p w14:paraId="79373523" w14:textId="77777777" w:rsidR="00A37634" w:rsidRPr="00A37634" w:rsidRDefault="00A37634" w:rsidP="00A37634">
      <w:pPr>
        <w:numPr>
          <w:ilvl w:val="0"/>
          <w:numId w:val="40"/>
        </w:numPr>
        <w:spacing w:before="120" w:after="120" w:line="278" w:lineRule="auto"/>
        <w:contextualSpacing/>
        <w:rPr>
          <w:rFonts w:ascii="Calibri" w:eastAsia="Cambria" w:hAnsi="Calibri" w:cs="Calibri"/>
          <w:lang w:val="en-AU"/>
        </w:rPr>
      </w:pPr>
      <w:r w:rsidRPr="00A37634">
        <w:rPr>
          <w:rFonts w:ascii="Calibri" w:eastAsia="Cambria" w:hAnsi="Calibri" w:cs="Calibri"/>
          <w:lang w:val="en-AU"/>
        </w:rPr>
        <w:t>40 units received the instruction (i.e. 90% communications success rate);</w:t>
      </w:r>
    </w:p>
    <w:p w14:paraId="55FE79FF" w14:textId="77777777" w:rsidR="00A37634" w:rsidRPr="00A37634" w:rsidRDefault="00A37634" w:rsidP="00A37634">
      <w:pPr>
        <w:numPr>
          <w:ilvl w:val="0"/>
          <w:numId w:val="40"/>
        </w:numPr>
        <w:spacing w:before="120" w:after="120" w:line="278" w:lineRule="auto"/>
        <w:contextualSpacing/>
        <w:rPr>
          <w:rFonts w:ascii="Calibri" w:eastAsia="Cambria" w:hAnsi="Calibri" w:cs="Calibri"/>
          <w:lang w:val="en-AU"/>
        </w:rPr>
      </w:pPr>
      <w:r w:rsidRPr="00A37634">
        <w:rPr>
          <w:rFonts w:ascii="Calibri" w:eastAsia="Cambria" w:hAnsi="Calibri" w:cs="Calibri"/>
          <w:lang w:val="en-AU"/>
        </w:rPr>
        <w:t>20 were off at the time;</w:t>
      </w:r>
    </w:p>
    <w:p w14:paraId="1E9B1643" w14:textId="77777777" w:rsidR="00A37634" w:rsidRPr="00A37634" w:rsidRDefault="00A37634" w:rsidP="00A37634">
      <w:pPr>
        <w:numPr>
          <w:ilvl w:val="0"/>
          <w:numId w:val="40"/>
        </w:numPr>
        <w:spacing w:before="120" w:after="120" w:line="278" w:lineRule="auto"/>
        <w:contextualSpacing/>
        <w:rPr>
          <w:rFonts w:ascii="Calibri" w:eastAsia="Cambria" w:hAnsi="Calibri" w:cs="Calibri"/>
          <w:lang w:val="en-AU"/>
        </w:rPr>
      </w:pPr>
      <w:r w:rsidRPr="00A37634">
        <w:rPr>
          <w:rFonts w:ascii="Calibri" w:eastAsia="Cambria" w:hAnsi="Calibri" w:cs="Calibri"/>
          <w:lang w:val="en-AU"/>
        </w:rPr>
        <w:t>10 were running under the reference power level and so did not deliver load reductions;</w:t>
      </w:r>
    </w:p>
    <w:p w14:paraId="3EB1CE06" w14:textId="77777777" w:rsidR="00A37634" w:rsidRPr="00A37634" w:rsidRDefault="00A37634" w:rsidP="00A37634">
      <w:pPr>
        <w:numPr>
          <w:ilvl w:val="0"/>
          <w:numId w:val="40"/>
        </w:numPr>
        <w:spacing w:before="120" w:after="120" w:line="278" w:lineRule="auto"/>
        <w:contextualSpacing/>
        <w:rPr>
          <w:rFonts w:ascii="Calibri" w:eastAsia="Cambria" w:hAnsi="Calibri" w:cs="Calibri"/>
          <w:lang w:val="en-AU"/>
        </w:rPr>
      </w:pPr>
      <w:r w:rsidRPr="00A37634">
        <w:rPr>
          <w:rFonts w:ascii="Calibri" w:eastAsia="Cambria" w:hAnsi="Calibri" w:cs="Calibri"/>
          <w:lang w:val="en-AU"/>
        </w:rPr>
        <w:t xml:space="preserve">10 were running above the reference power level and delivered a total of 10kW load reduction (1.0 kW/unit for those 10 units, or 0.5 kW per unit for the 20 units that were operating at the time). </w:t>
      </w:r>
    </w:p>
    <w:p w14:paraId="4639932C" w14:textId="7AA343B3"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 xml:space="preserve">DRM 2 would produce greater load reductions in operating AC than DRM 3, so the assumptions in </w:t>
      </w:r>
      <w:r w:rsidRPr="00BB0627">
        <w:rPr>
          <w:rFonts w:ascii="Calibri" w:eastAsia="Cambria" w:hAnsi="Calibri" w:cs="Calibri"/>
          <w:b/>
          <w:lang w:val="en-AU"/>
        </w:rPr>
        <w:fldChar w:fldCharType="begin"/>
      </w:r>
      <w:r w:rsidRPr="00BB0627">
        <w:rPr>
          <w:rFonts w:ascii="Calibri" w:eastAsia="Cambria" w:hAnsi="Calibri" w:cs="Calibri"/>
          <w:b/>
          <w:lang w:val="en-AU"/>
        </w:rPr>
        <w:instrText xml:space="preserve"> REF _Ref277589877 \h  \* MERGEFORMAT </w:instrText>
      </w:r>
      <w:r w:rsidRPr="00BB0627">
        <w:rPr>
          <w:rFonts w:ascii="Calibri" w:eastAsia="Cambria" w:hAnsi="Calibri" w:cs="Calibri"/>
          <w:b/>
          <w:lang w:val="en-AU"/>
        </w:rPr>
      </w:r>
      <w:r w:rsidRPr="00BB0627">
        <w:rPr>
          <w:rFonts w:ascii="Calibri" w:eastAsia="Cambria" w:hAnsi="Calibri" w:cs="Calibri"/>
          <w:b/>
          <w:lang w:val="en-AU"/>
        </w:rPr>
        <w:fldChar w:fldCharType="separate"/>
      </w:r>
      <w:r w:rsidR="00181136" w:rsidRPr="00181136">
        <w:rPr>
          <w:rFonts w:ascii="Calibri" w:eastAsia="Calibri" w:hAnsi="Calibri" w:cs="Calibri"/>
          <w:b/>
          <w:lang w:val="en-AU"/>
        </w:rPr>
        <w:t xml:space="preserve">Table </w:t>
      </w:r>
      <w:r w:rsidR="00181136" w:rsidRPr="00181136">
        <w:rPr>
          <w:rFonts w:ascii="Calibri" w:eastAsia="Calibri" w:hAnsi="Calibri" w:cs="Calibri"/>
          <w:b/>
          <w:noProof/>
          <w:lang w:val="en-AU"/>
        </w:rPr>
        <w:t>15</w:t>
      </w:r>
      <w:r w:rsidRPr="00BB0627">
        <w:rPr>
          <w:rFonts w:ascii="Calibri" w:eastAsia="Cambria" w:hAnsi="Calibri" w:cs="Calibri"/>
          <w:b/>
          <w:lang w:val="en-AU"/>
        </w:rPr>
        <w:fldChar w:fldCharType="end"/>
      </w:r>
      <w:r w:rsidRPr="00A37634">
        <w:rPr>
          <w:rFonts w:ascii="Calibri" w:eastAsia="Cambria" w:hAnsi="Calibri" w:cs="Calibri"/>
          <w:lang w:val="en-AU"/>
        </w:rPr>
        <w:t xml:space="preserve"> are conservative. The economic benefit that would be created by the proposal comes from the gross values created by the reduction in the real costs of the physical infrastructure needed to meet peak demand, compared to BAU, and the other system benefits identified in </w:t>
      </w:r>
      <w:r w:rsidRPr="00BB0627">
        <w:rPr>
          <w:rFonts w:ascii="Calibri" w:eastAsia="Cambria" w:hAnsi="Calibri" w:cs="Calibri"/>
          <w:b/>
          <w:lang w:val="en-AU"/>
        </w:rPr>
        <w:fldChar w:fldCharType="begin"/>
      </w:r>
      <w:r w:rsidRPr="00BB0627">
        <w:rPr>
          <w:rFonts w:ascii="Calibri" w:eastAsia="Cambria" w:hAnsi="Calibri" w:cs="Calibri"/>
          <w:b/>
          <w:lang w:val="en-AU"/>
        </w:rPr>
        <w:instrText xml:space="preserve"> REF _Ref276550999 \h  \* MERGEFORMAT </w:instrText>
      </w:r>
      <w:r w:rsidRPr="00BB0627">
        <w:rPr>
          <w:rFonts w:ascii="Calibri" w:eastAsia="Cambria" w:hAnsi="Calibri" w:cs="Calibri"/>
          <w:b/>
          <w:lang w:val="en-AU"/>
        </w:rPr>
      </w:r>
      <w:r w:rsidRPr="00BB0627">
        <w:rPr>
          <w:rFonts w:ascii="Calibri" w:eastAsia="Cambria" w:hAnsi="Calibri" w:cs="Calibri"/>
          <w:b/>
          <w:lang w:val="en-AU"/>
        </w:rPr>
        <w:fldChar w:fldCharType="separate"/>
      </w:r>
      <w:r w:rsidR="00181136" w:rsidRPr="00181136">
        <w:rPr>
          <w:rFonts w:ascii="Calibri" w:eastAsia="Calibri" w:hAnsi="Calibri" w:cs="Calibri"/>
          <w:b/>
          <w:lang w:val="en-AU"/>
        </w:rPr>
        <w:t xml:space="preserve">Table </w:t>
      </w:r>
      <w:r w:rsidR="00181136" w:rsidRPr="00181136">
        <w:rPr>
          <w:rFonts w:ascii="Calibri" w:eastAsia="Calibri" w:hAnsi="Calibri" w:cs="Calibri"/>
          <w:b/>
          <w:noProof/>
          <w:lang w:val="en-AU"/>
        </w:rPr>
        <w:t>16</w:t>
      </w:r>
      <w:r w:rsidRPr="00BB0627">
        <w:rPr>
          <w:rFonts w:ascii="Calibri" w:eastAsia="Cambria" w:hAnsi="Calibri" w:cs="Calibri"/>
          <w:b/>
          <w:lang w:val="en-AU"/>
        </w:rPr>
        <w:fldChar w:fldCharType="end"/>
      </w:r>
      <w:r w:rsidRPr="00A37634">
        <w:rPr>
          <w:rFonts w:ascii="Calibri" w:eastAsia="Cambria" w:hAnsi="Calibri" w:cs="Calibri"/>
          <w:lang w:val="en-AU"/>
        </w:rPr>
        <w:t>. The quantum of net benefit is the difference between the sum of these values and the cost of establishing and operating the DR programs.</w:t>
      </w:r>
    </w:p>
    <w:p w14:paraId="29CFD468"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 xml:space="preserve">The timing and allocation of net benefits among customers is up to the electricity utilities or DRSPs.  The full net benefits could be passed on to all electricity consumers equally in the form of tariff reductions. Alternatively, a share of the benefits could be distributed in the form of cash incentives for DR contract participants, so reducing the pool available for tariff or bill reductions. </w:t>
      </w:r>
    </w:p>
    <w:p w14:paraId="25144FF5"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 xml:space="preserve">Contracts would have to be designed so that the favourable tariffs or other incentives offered would be sufficient to motivate householders to participate. It is up to the DRSPs to devise the right balance of incentives to achieve the necessary participation rates. </w:t>
      </w:r>
    </w:p>
    <w:p w14:paraId="174C29FF"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The timing of costs and benefits is modelled as follows:</w:t>
      </w:r>
    </w:p>
    <w:p w14:paraId="5FF3D3C2" w14:textId="77777777" w:rsidR="00A37634" w:rsidRPr="00A37634" w:rsidRDefault="00A37634" w:rsidP="00A37634">
      <w:pPr>
        <w:numPr>
          <w:ilvl w:val="0"/>
          <w:numId w:val="23"/>
        </w:numPr>
        <w:spacing w:before="120" w:after="120" w:line="240" w:lineRule="auto"/>
        <w:rPr>
          <w:rFonts w:ascii="Calibri" w:eastAsia="Cambria" w:hAnsi="Calibri" w:cs="Calibri"/>
          <w:lang w:val="en-AU"/>
        </w:rPr>
      </w:pPr>
      <w:r w:rsidRPr="00A37634">
        <w:rPr>
          <w:rFonts w:ascii="Calibri" w:eastAsia="Cambria" w:hAnsi="Calibri" w:cs="Calibri"/>
          <w:lang w:val="en-AU"/>
        </w:rPr>
        <w:t>The additional costs which DR-capability adds to the price of appliances is borne by consumers in the year in which those appliances are purchased;</w:t>
      </w:r>
    </w:p>
    <w:p w14:paraId="280F9531" w14:textId="77777777" w:rsidR="00A37634" w:rsidRPr="00A37634" w:rsidRDefault="00A37634" w:rsidP="00A37634">
      <w:pPr>
        <w:numPr>
          <w:ilvl w:val="0"/>
          <w:numId w:val="23"/>
        </w:numPr>
        <w:spacing w:before="120" w:after="120" w:line="240" w:lineRule="auto"/>
        <w:rPr>
          <w:rFonts w:ascii="Calibri" w:eastAsia="Cambria" w:hAnsi="Calibri" w:cs="Calibri"/>
          <w:lang w:val="en-AU"/>
        </w:rPr>
      </w:pPr>
      <w:r w:rsidRPr="00A37634">
        <w:rPr>
          <w:rFonts w:ascii="Calibri" w:eastAsia="Cambria" w:hAnsi="Calibri" w:cs="Calibri"/>
          <w:lang w:val="en-AU"/>
        </w:rPr>
        <w:t xml:space="preserve">The activation costs are incurred in the year the DR capability is activated and the consumer joins a DLC program (assumed to occur simultaneously). This may be at the time of appliance purchase or later. Activation costs will be lower at the time of installation, because no extra service call is necessary; </w:t>
      </w:r>
    </w:p>
    <w:p w14:paraId="78DB38DD" w14:textId="77777777" w:rsidR="00A37634" w:rsidRPr="00A37634" w:rsidRDefault="00A37634" w:rsidP="00A37634">
      <w:pPr>
        <w:numPr>
          <w:ilvl w:val="0"/>
          <w:numId w:val="23"/>
        </w:numPr>
        <w:spacing w:before="120" w:after="120" w:line="240" w:lineRule="auto"/>
        <w:rPr>
          <w:rFonts w:ascii="Calibri" w:eastAsia="Cambria" w:hAnsi="Calibri" w:cs="Calibri"/>
          <w:lang w:val="en-AU"/>
        </w:rPr>
      </w:pPr>
      <w:r w:rsidRPr="00A37634">
        <w:rPr>
          <w:rFonts w:ascii="Calibri" w:eastAsia="Cambria" w:hAnsi="Calibri" w:cs="Calibri"/>
          <w:lang w:val="en-AU"/>
        </w:rPr>
        <w:t xml:space="preserve">The benefit of avoiding infrastructure investment to meet future maximum demand (after accounting for the diversity of the load under control) accrues in the year that the appliance is activated; </w:t>
      </w:r>
    </w:p>
    <w:p w14:paraId="0D215BBE" w14:textId="77777777" w:rsidR="00A37634" w:rsidRPr="00A37634" w:rsidRDefault="00A37634" w:rsidP="00A37634">
      <w:pPr>
        <w:numPr>
          <w:ilvl w:val="0"/>
          <w:numId w:val="23"/>
        </w:numPr>
        <w:spacing w:before="120" w:after="120" w:line="240" w:lineRule="auto"/>
        <w:rPr>
          <w:rFonts w:ascii="Calibri" w:eastAsia="Cambria" w:hAnsi="Calibri" w:cs="Calibri"/>
          <w:lang w:val="en-AU"/>
        </w:rPr>
      </w:pPr>
      <w:r w:rsidRPr="00A37634">
        <w:rPr>
          <w:rFonts w:ascii="Calibri" w:eastAsia="Cambria" w:hAnsi="Calibri" w:cs="Calibri"/>
          <w:lang w:val="en-AU"/>
        </w:rPr>
        <w:t xml:space="preserve">The value of other benefits (wholesale price reductions, load shifts and bidding DR into the reliability and emergency market) accrue in each year that DR is invoked for that purposes, and depend on the assumed number of hours invoked. </w:t>
      </w:r>
    </w:p>
    <w:p w14:paraId="53C93966" w14:textId="7075C1AA" w:rsidR="00A37634" w:rsidRPr="00A37634" w:rsidRDefault="00A37634" w:rsidP="00A37634">
      <w:pPr>
        <w:spacing w:before="120" w:after="120" w:line="240" w:lineRule="auto"/>
        <w:jc w:val="center"/>
        <w:rPr>
          <w:rFonts w:ascii="Calibri" w:eastAsia="Cambria" w:hAnsi="Calibri" w:cs="Calibri"/>
          <w:b/>
          <w:bCs/>
          <w:sz w:val="20"/>
          <w:szCs w:val="16"/>
          <w:lang w:val="en-AU"/>
        </w:rPr>
      </w:pPr>
      <w:bookmarkStart w:id="113" w:name="_Ref276550999"/>
      <w:bookmarkStart w:id="114" w:name="_Toc333183010"/>
      <w:bookmarkStart w:id="115" w:name="_Toc369633222"/>
      <w:bookmarkStart w:id="116" w:name="_Toc11360596"/>
      <w:bookmarkStart w:id="117" w:name="_Toc16501007"/>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16</w:t>
      </w:r>
      <w:r w:rsidRPr="00A37634">
        <w:rPr>
          <w:rFonts w:ascii="Calibri" w:eastAsia="Cambria" w:hAnsi="Calibri" w:cs="Calibri"/>
          <w:b/>
          <w:bCs/>
          <w:noProof/>
          <w:sz w:val="20"/>
          <w:szCs w:val="16"/>
          <w:lang w:val="en-AU"/>
        </w:rPr>
        <w:fldChar w:fldCharType="end"/>
      </w:r>
      <w:bookmarkEnd w:id="113"/>
      <w:r w:rsidRPr="00A37634">
        <w:rPr>
          <w:rFonts w:ascii="Calibri" w:eastAsia="Cambria" w:hAnsi="Calibri" w:cs="Calibri"/>
          <w:b/>
          <w:bCs/>
          <w:sz w:val="20"/>
          <w:szCs w:val="16"/>
          <w:lang w:val="en-AU"/>
        </w:rPr>
        <w:t>. Demand response costs and benefits quantified in this RIS</w:t>
      </w:r>
      <w:bookmarkEnd w:id="114"/>
      <w:bookmarkEnd w:id="115"/>
      <w:bookmarkEnd w:id="116"/>
      <w:bookmarkEnd w:id="117"/>
    </w:p>
    <w:tbl>
      <w:tblPr>
        <w:tblW w:w="5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5"/>
        <w:gridCol w:w="900"/>
        <w:gridCol w:w="900"/>
        <w:gridCol w:w="907"/>
        <w:gridCol w:w="900"/>
        <w:gridCol w:w="900"/>
        <w:gridCol w:w="900"/>
        <w:gridCol w:w="900"/>
        <w:gridCol w:w="900"/>
        <w:gridCol w:w="900"/>
        <w:gridCol w:w="856"/>
        <w:gridCol w:w="849"/>
      </w:tblGrid>
      <w:tr w:rsidR="00A37634" w:rsidRPr="00A37634" w14:paraId="74F6D3DD" w14:textId="77777777" w:rsidTr="007C7289">
        <w:trPr>
          <w:cantSplit/>
          <w:tblHeader/>
          <w:jc w:val="center"/>
        </w:trPr>
        <w:tc>
          <w:tcPr>
            <w:tcW w:w="563" w:type="pct"/>
            <w:tcMar>
              <w:left w:w="57" w:type="dxa"/>
              <w:right w:w="57" w:type="dxa"/>
            </w:tcMar>
          </w:tcPr>
          <w:p w14:paraId="69ABF2CA" w14:textId="77777777" w:rsidR="00A37634" w:rsidRPr="00A37634" w:rsidRDefault="00A37634" w:rsidP="00A37634">
            <w:pPr>
              <w:spacing w:before="60" w:after="60" w:line="240" w:lineRule="auto"/>
              <w:rPr>
                <w:rFonts w:ascii="Calibri" w:eastAsia="Times New Roman" w:hAnsi="Calibri" w:cs="Calibri"/>
                <w:b/>
                <w:sz w:val="15"/>
                <w:szCs w:val="14"/>
                <w:lang w:val="en-AU"/>
              </w:rPr>
            </w:pPr>
            <w:r w:rsidRPr="00A37634">
              <w:rPr>
                <w:rFonts w:ascii="Calibri" w:eastAsia="Times New Roman" w:hAnsi="Calibri" w:cs="Calibri"/>
                <w:b/>
                <w:sz w:val="15"/>
                <w:szCs w:val="14"/>
                <w:lang w:val="en-AU"/>
              </w:rPr>
              <w:t>Electrical Products</w:t>
            </w:r>
          </w:p>
        </w:tc>
        <w:tc>
          <w:tcPr>
            <w:tcW w:w="1224" w:type="pct"/>
            <w:gridSpan w:val="3"/>
            <w:tcMar>
              <w:left w:w="57" w:type="dxa"/>
              <w:right w:w="57" w:type="dxa"/>
            </w:tcMar>
          </w:tcPr>
          <w:p w14:paraId="048E2F70"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Costs</w:t>
            </w:r>
          </w:p>
        </w:tc>
        <w:tc>
          <w:tcPr>
            <w:tcW w:w="3212" w:type="pct"/>
            <w:gridSpan w:val="8"/>
          </w:tcPr>
          <w:p w14:paraId="5DBE9F6C" w14:textId="77777777" w:rsidR="00A37634" w:rsidRPr="00A37634" w:rsidRDefault="00A37634" w:rsidP="00A37634">
            <w:pPr>
              <w:spacing w:before="60" w:after="60" w:line="240" w:lineRule="auto"/>
              <w:jc w:val="center"/>
              <w:rPr>
                <w:rFonts w:ascii="Calibri" w:eastAsia="Times New Roman" w:hAnsi="Calibri" w:cs="Calibri"/>
                <w:b/>
                <w:sz w:val="15"/>
                <w:szCs w:val="14"/>
                <w:lang w:val="en-AU"/>
              </w:rPr>
            </w:pPr>
            <w:r w:rsidRPr="00A37634">
              <w:rPr>
                <w:rFonts w:ascii="Calibri" w:eastAsia="Times New Roman" w:hAnsi="Calibri" w:cs="Calibri"/>
                <w:b/>
                <w:sz w:val="15"/>
                <w:szCs w:val="14"/>
                <w:lang w:val="en-AU"/>
              </w:rPr>
              <w:t>Benefits</w:t>
            </w:r>
          </w:p>
        </w:tc>
      </w:tr>
      <w:tr w:rsidR="00A37634" w:rsidRPr="00A37634" w14:paraId="5F09521A" w14:textId="77777777" w:rsidTr="007C7289">
        <w:trPr>
          <w:cantSplit/>
          <w:jc w:val="center"/>
        </w:trPr>
        <w:tc>
          <w:tcPr>
            <w:tcW w:w="563" w:type="pct"/>
            <w:tcMar>
              <w:left w:w="57" w:type="dxa"/>
              <w:right w:w="57" w:type="dxa"/>
            </w:tcMar>
          </w:tcPr>
          <w:p w14:paraId="3C2AB920" w14:textId="77777777" w:rsidR="00A37634" w:rsidRPr="00A37634" w:rsidRDefault="00A37634" w:rsidP="00A37634">
            <w:pPr>
              <w:spacing w:before="60" w:after="60" w:line="240" w:lineRule="auto"/>
              <w:rPr>
                <w:rFonts w:ascii="Calibri" w:eastAsia="Times New Roman" w:hAnsi="Calibri" w:cs="Calibri"/>
                <w:b/>
                <w:sz w:val="18"/>
                <w:szCs w:val="14"/>
                <w:lang w:val="en-AU"/>
              </w:rPr>
            </w:pPr>
          </w:p>
        </w:tc>
        <w:tc>
          <w:tcPr>
            <w:tcW w:w="407" w:type="pct"/>
            <w:tcBorders>
              <w:bottom w:val="single" w:sz="4" w:space="0" w:color="auto"/>
            </w:tcBorders>
            <w:tcMar>
              <w:left w:w="57" w:type="dxa"/>
              <w:right w:w="57" w:type="dxa"/>
            </w:tcMar>
          </w:tcPr>
          <w:p w14:paraId="4E0CD392" w14:textId="77777777" w:rsidR="00A37634" w:rsidRPr="00A37634" w:rsidRDefault="00A37634" w:rsidP="00A37634">
            <w:pPr>
              <w:spacing w:before="60" w:after="60" w:line="240" w:lineRule="auto"/>
              <w:jc w:val="center"/>
              <w:rPr>
                <w:rFonts w:ascii="Calibri" w:eastAsia="Times New Roman" w:hAnsi="Calibri" w:cs="Calibri"/>
                <w:b/>
                <w:sz w:val="14"/>
                <w:szCs w:val="14"/>
                <w:lang w:val="en-AU"/>
              </w:rPr>
            </w:pPr>
            <w:r w:rsidRPr="00A37634">
              <w:rPr>
                <w:rFonts w:ascii="Calibri" w:eastAsia="Times New Roman" w:hAnsi="Calibri" w:cs="Calibri"/>
                <w:b/>
                <w:sz w:val="14"/>
                <w:szCs w:val="14"/>
                <w:lang w:val="en-AU"/>
              </w:rPr>
              <w:t>Interface costs</w:t>
            </w:r>
          </w:p>
        </w:tc>
        <w:tc>
          <w:tcPr>
            <w:tcW w:w="407" w:type="pct"/>
            <w:tcBorders>
              <w:bottom w:val="single" w:sz="4" w:space="0" w:color="auto"/>
            </w:tcBorders>
            <w:tcMar>
              <w:left w:w="57" w:type="dxa"/>
              <w:right w:w="57" w:type="dxa"/>
            </w:tcMar>
          </w:tcPr>
          <w:p w14:paraId="5D1D64CD" w14:textId="77777777" w:rsidR="00A37634" w:rsidRPr="00A37634" w:rsidRDefault="00A37634" w:rsidP="00A37634">
            <w:pPr>
              <w:spacing w:before="60" w:after="60" w:line="240" w:lineRule="auto"/>
              <w:jc w:val="center"/>
              <w:rPr>
                <w:rFonts w:ascii="Calibri" w:eastAsia="Times New Roman" w:hAnsi="Calibri" w:cs="Calibri"/>
                <w:b/>
                <w:sz w:val="14"/>
                <w:szCs w:val="14"/>
                <w:lang w:val="en-AU"/>
              </w:rPr>
            </w:pPr>
            <w:proofErr w:type="spellStart"/>
            <w:r w:rsidRPr="00A37634">
              <w:rPr>
                <w:rFonts w:ascii="Calibri" w:eastAsia="Times New Roman" w:hAnsi="Calibri" w:cs="Calibri"/>
                <w:b/>
                <w:sz w:val="14"/>
                <w:szCs w:val="14"/>
                <w:lang w:val="en-AU"/>
              </w:rPr>
              <w:t>Connec-tion</w:t>
            </w:r>
            <w:proofErr w:type="spellEnd"/>
            <w:r w:rsidRPr="00A37634">
              <w:rPr>
                <w:rFonts w:ascii="Calibri" w:eastAsia="Times New Roman" w:hAnsi="Calibri" w:cs="Calibri"/>
                <w:b/>
                <w:sz w:val="14"/>
                <w:szCs w:val="14"/>
                <w:lang w:val="en-AU"/>
              </w:rPr>
              <w:t xml:space="preserve"> &amp; activation costs</w:t>
            </w:r>
          </w:p>
        </w:tc>
        <w:tc>
          <w:tcPr>
            <w:tcW w:w="410" w:type="pct"/>
            <w:tcBorders>
              <w:bottom w:val="single" w:sz="4" w:space="0" w:color="auto"/>
            </w:tcBorders>
          </w:tcPr>
          <w:p w14:paraId="4BB0E15E" w14:textId="77777777" w:rsidR="00A37634" w:rsidRPr="00A37634" w:rsidRDefault="00A37634" w:rsidP="00A37634">
            <w:pPr>
              <w:spacing w:before="60" w:after="60" w:line="240" w:lineRule="auto"/>
              <w:jc w:val="center"/>
              <w:rPr>
                <w:rFonts w:ascii="Calibri" w:eastAsia="Times New Roman" w:hAnsi="Calibri" w:cs="Calibri"/>
                <w:b/>
                <w:sz w:val="14"/>
                <w:szCs w:val="14"/>
                <w:lang w:val="en-AU"/>
              </w:rPr>
            </w:pPr>
            <w:r w:rsidRPr="00A37634">
              <w:rPr>
                <w:rFonts w:ascii="Calibri" w:eastAsia="Times New Roman" w:hAnsi="Calibri" w:cs="Calibri"/>
                <w:b/>
                <w:sz w:val="14"/>
                <w:szCs w:val="14"/>
                <w:lang w:val="en-AU"/>
              </w:rPr>
              <w:t>Annual cost of servicing part-</w:t>
            </w:r>
            <w:proofErr w:type="spellStart"/>
            <w:r w:rsidRPr="00A37634">
              <w:rPr>
                <w:rFonts w:ascii="Calibri" w:eastAsia="Times New Roman" w:hAnsi="Calibri" w:cs="Calibri"/>
                <w:b/>
                <w:sz w:val="14"/>
                <w:szCs w:val="14"/>
                <w:lang w:val="en-AU"/>
              </w:rPr>
              <w:t>icipants</w:t>
            </w:r>
            <w:proofErr w:type="spellEnd"/>
          </w:p>
        </w:tc>
        <w:tc>
          <w:tcPr>
            <w:tcW w:w="407" w:type="pct"/>
            <w:tcBorders>
              <w:bottom w:val="single" w:sz="4" w:space="0" w:color="auto"/>
            </w:tcBorders>
            <w:tcMar>
              <w:left w:w="57" w:type="dxa"/>
              <w:right w:w="57" w:type="dxa"/>
            </w:tcMar>
          </w:tcPr>
          <w:p w14:paraId="5BC2A545" w14:textId="77777777" w:rsidR="00A37634" w:rsidRPr="00A37634" w:rsidRDefault="00A37634" w:rsidP="00A37634">
            <w:pPr>
              <w:spacing w:before="60" w:after="60" w:line="240" w:lineRule="auto"/>
              <w:jc w:val="center"/>
              <w:rPr>
                <w:rFonts w:ascii="Calibri" w:eastAsia="Times New Roman" w:hAnsi="Calibri" w:cs="Calibri"/>
                <w:b/>
                <w:sz w:val="14"/>
                <w:szCs w:val="14"/>
                <w:lang w:val="en-AU"/>
              </w:rPr>
            </w:pPr>
            <w:r w:rsidRPr="00A37634">
              <w:rPr>
                <w:rFonts w:ascii="Calibri" w:eastAsia="Times New Roman" w:hAnsi="Calibri" w:cs="Calibri"/>
                <w:b/>
                <w:sz w:val="14"/>
                <w:szCs w:val="14"/>
                <w:lang w:val="en-AU"/>
              </w:rPr>
              <w:t>Reduce summer peak</w:t>
            </w:r>
          </w:p>
        </w:tc>
        <w:tc>
          <w:tcPr>
            <w:tcW w:w="407" w:type="pct"/>
            <w:tcBorders>
              <w:bottom w:val="single" w:sz="4" w:space="0" w:color="auto"/>
            </w:tcBorders>
            <w:tcMar>
              <w:left w:w="57" w:type="dxa"/>
              <w:right w:w="57" w:type="dxa"/>
            </w:tcMar>
          </w:tcPr>
          <w:p w14:paraId="554B24E7" w14:textId="77777777" w:rsidR="00A37634" w:rsidRPr="00A37634" w:rsidRDefault="00A37634" w:rsidP="00A37634">
            <w:pPr>
              <w:spacing w:before="60" w:after="60" w:line="240" w:lineRule="auto"/>
              <w:jc w:val="center"/>
              <w:rPr>
                <w:rFonts w:ascii="Calibri" w:eastAsia="Times New Roman" w:hAnsi="Calibri" w:cs="Calibri"/>
                <w:b/>
                <w:sz w:val="14"/>
                <w:szCs w:val="14"/>
                <w:lang w:val="en-AU"/>
              </w:rPr>
            </w:pPr>
            <w:r w:rsidRPr="00A37634">
              <w:rPr>
                <w:rFonts w:ascii="Calibri" w:eastAsia="Times New Roman" w:hAnsi="Calibri" w:cs="Calibri"/>
                <w:b/>
                <w:sz w:val="14"/>
                <w:szCs w:val="14"/>
                <w:lang w:val="en-AU"/>
              </w:rPr>
              <w:t>Reduce winter peak</w:t>
            </w:r>
            <w:r w:rsidRPr="00A37634">
              <w:rPr>
                <w:rFonts w:ascii="Calibri" w:eastAsia="Times New Roman" w:hAnsi="Calibri" w:cs="Calibri"/>
                <w:b/>
                <w:sz w:val="14"/>
                <w:szCs w:val="14"/>
                <w:lang w:val="en-AU"/>
              </w:rPr>
              <w:br/>
              <w:t>(a)</w:t>
            </w:r>
          </w:p>
        </w:tc>
        <w:tc>
          <w:tcPr>
            <w:tcW w:w="407" w:type="pct"/>
            <w:tcBorders>
              <w:bottom w:val="single" w:sz="4" w:space="0" w:color="auto"/>
            </w:tcBorders>
            <w:tcMar>
              <w:left w:w="57" w:type="dxa"/>
              <w:right w:w="57" w:type="dxa"/>
            </w:tcMar>
          </w:tcPr>
          <w:p w14:paraId="3ED38DC8" w14:textId="77777777" w:rsidR="00A37634" w:rsidRPr="00A37634" w:rsidRDefault="00A37634" w:rsidP="00A37634">
            <w:pPr>
              <w:spacing w:before="60" w:after="60" w:line="240" w:lineRule="auto"/>
              <w:jc w:val="center"/>
              <w:rPr>
                <w:rFonts w:ascii="Calibri" w:eastAsia="Times New Roman" w:hAnsi="Calibri" w:cs="Calibri"/>
                <w:b/>
                <w:sz w:val="14"/>
                <w:szCs w:val="14"/>
                <w:lang w:val="en-AU"/>
              </w:rPr>
            </w:pPr>
            <w:r w:rsidRPr="00A37634">
              <w:rPr>
                <w:rFonts w:ascii="Calibri" w:eastAsia="Times New Roman" w:hAnsi="Calibri" w:cs="Calibri"/>
                <w:b/>
                <w:sz w:val="14"/>
                <w:szCs w:val="14"/>
                <w:lang w:val="en-AU"/>
              </w:rPr>
              <w:t>Reduce w/sale price to part-</w:t>
            </w:r>
            <w:proofErr w:type="spellStart"/>
            <w:r w:rsidRPr="00A37634">
              <w:rPr>
                <w:rFonts w:ascii="Calibri" w:eastAsia="Times New Roman" w:hAnsi="Calibri" w:cs="Calibri"/>
                <w:b/>
                <w:sz w:val="14"/>
                <w:szCs w:val="14"/>
                <w:lang w:val="en-AU"/>
              </w:rPr>
              <w:t>icipants</w:t>
            </w:r>
            <w:proofErr w:type="spellEnd"/>
            <w:r w:rsidRPr="00A37634">
              <w:rPr>
                <w:rFonts w:ascii="Calibri" w:eastAsia="Times New Roman" w:hAnsi="Calibri" w:cs="Calibri"/>
                <w:b/>
                <w:sz w:val="14"/>
                <w:szCs w:val="14"/>
                <w:lang w:val="en-AU"/>
              </w:rPr>
              <w:t xml:space="preserve"> </w:t>
            </w:r>
          </w:p>
        </w:tc>
        <w:tc>
          <w:tcPr>
            <w:tcW w:w="407" w:type="pct"/>
            <w:tcBorders>
              <w:bottom w:val="single" w:sz="4" w:space="0" w:color="auto"/>
            </w:tcBorders>
            <w:tcMar>
              <w:left w:w="57" w:type="dxa"/>
              <w:right w:w="57" w:type="dxa"/>
            </w:tcMar>
          </w:tcPr>
          <w:p w14:paraId="54F2FFA8" w14:textId="77777777" w:rsidR="00A37634" w:rsidRPr="00A37634" w:rsidRDefault="00A37634" w:rsidP="00A37634">
            <w:pPr>
              <w:spacing w:before="60" w:after="60" w:line="240" w:lineRule="auto"/>
              <w:jc w:val="center"/>
              <w:rPr>
                <w:rFonts w:ascii="Calibri" w:eastAsia="Times New Roman" w:hAnsi="Calibri" w:cs="Calibri"/>
                <w:b/>
                <w:sz w:val="14"/>
                <w:szCs w:val="14"/>
                <w:lang w:val="en-AU"/>
              </w:rPr>
            </w:pPr>
            <w:r w:rsidRPr="00A37634">
              <w:rPr>
                <w:rFonts w:ascii="Calibri" w:eastAsia="Times New Roman" w:hAnsi="Calibri" w:cs="Calibri"/>
                <w:b/>
                <w:sz w:val="14"/>
                <w:szCs w:val="14"/>
                <w:lang w:val="en-AU"/>
              </w:rPr>
              <w:t xml:space="preserve">Reduce </w:t>
            </w:r>
            <w:r w:rsidRPr="00A37634">
              <w:rPr>
                <w:rFonts w:ascii="Calibri" w:eastAsia="Times New Roman" w:hAnsi="Calibri" w:cs="Calibri"/>
                <w:b/>
                <w:sz w:val="14"/>
                <w:szCs w:val="14"/>
                <w:lang w:val="en-AU"/>
              </w:rPr>
              <w:br/>
              <w:t xml:space="preserve">w/sale </w:t>
            </w:r>
            <w:r w:rsidRPr="00A37634">
              <w:rPr>
                <w:rFonts w:ascii="Calibri" w:eastAsia="Times New Roman" w:hAnsi="Calibri" w:cs="Calibri"/>
                <w:b/>
                <w:sz w:val="14"/>
                <w:szCs w:val="14"/>
                <w:lang w:val="en-AU"/>
              </w:rPr>
              <w:br/>
              <w:t>price to other users</w:t>
            </w:r>
          </w:p>
        </w:tc>
        <w:tc>
          <w:tcPr>
            <w:tcW w:w="407" w:type="pct"/>
            <w:tcBorders>
              <w:bottom w:val="single" w:sz="4" w:space="0" w:color="auto"/>
            </w:tcBorders>
            <w:tcMar>
              <w:left w:w="57" w:type="dxa"/>
              <w:right w:w="57" w:type="dxa"/>
            </w:tcMar>
          </w:tcPr>
          <w:p w14:paraId="0946AD3F" w14:textId="77777777" w:rsidR="00A37634" w:rsidRPr="00A37634" w:rsidRDefault="00A37634" w:rsidP="00A37634">
            <w:pPr>
              <w:spacing w:before="60" w:after="60" w:line="240" w:lineRule="auto"/>
              <w:jc w:val="center"/>
              <w:rPr>
                <w:rFonts w:ascii="Calibri" w:eastAsia="Times New Roman" w:hAnsi="Calibri" w:cs="Calibri"/>
                <w:b/>
                <w:sz w:val="14"/>
                <w:szCs w:val="14"/>
                <w:lang w:val="en-AU"/>
              </w:rPr>
            </w:pPr>
            <w:proofErr w:type="spellStart"/>
            <w:r w:rsidRPr="00A37634">
              <w:rPr>
                <w:rFonts w:ascii="Calibri" w:eastAsia="Times New Roman" w:hAnsi="Calibri" w:cs="Calibri"/>
                <w:b/>
                <w:sz w:val="14"/>
                <w:szCs w:val="14"/>
                <w:lang w:val="en-AU"/>
              </w:rPr>
              <w:t>Reliab-ility</w:t>
            </w:r>
            <w:proofErr w:type="spellEnd"/>
            <w:r w:rsidRPr="00A37634">
              <w:rPr>
                <w:rFonts w:ascii="Calibri" w:eastAsia="Times New Roman" w:hAnsi="Calibri" w:cs="Calibri"/>
                <w:b/>
                <w:sz w:val="14"/>
                <w:szCs w:val="14"/>
                <w:lang w:val="en-AU"/>
              </w:rPr>
              <w:t xml:space="preserve"> &amp; </w:t>
            </w:r>
            <w:proofErr w:type="spellStart"/>
            <w:r w:rsidRPr="00A37634">
              <w:rPr>
                <w:rFonts w:ascii="Calibri" w:eastAsia="Times New Roman" w:hAnsi="Calibri" w:cs="Calibri"/>
                <w:b/>
                <w:sz w:val="14"/>
                <w:szCs w:val="14"/>
                <w:lang w:val="en-AU"/>
              </w:rPr>
              <w:t>Emerg</w:t>
            </w:r>
            <w:proofErr w:type="spellEnd"/>
            <w:r w:rsidRPr="00A37634">
              <w:rPr>
                <w:rFonts w:ascii="Calibri" w:eastAsia="Times New Roman" w:hAnsi="Calibri" w:cs="Calibri"/>
                <w:b/>
                <w:sz w:val="14"/>
                <w:szCs w:val="14"/>
                <w:lang w:val="en-AU"/>
              </w:rPr>
              <w:t>-</w:t>
            </w:r>
            <w:r w:rsidRPr="00A37634">
              <w:rPr>
                <w:rFonts w:ascii="Calibri" w:eastAsia="Times New Roman" w:hAnsi="Calibri" w:cs="Calibri"/>
                <w:b/>
                <w:sz w:val="14"/>
                <w:szCs w:val="14"/>
                <w:lang w:val="en-AU"/>
              </w:rPr>
              <w:br/>
            </w:r>
            <w:proofErr w:type="spellStart"/>
            <w:r w:rsidRPr="00A37634">
              <w:rPr>
                <w:rFonts w:ascii="Calibri" w:eastAsia="Times New Roman" w:hAnsi="Calibri" w:cs="Calibri"/>
                <w:b/>
                <w:sz w:val="14"/>
                <w:szCs w:val="14"/>
                <w:lang w:val="en-AU"/>
              </w:rPr>
              <w:t>ency</w:t>
            </w:r>
            <w:proofErr w:type="spellEnd"/>
            <w:r w:rsidRPr="00A37634">
              <w:rPr>
                <w:rFonts w:ascii="Calibri" w:eastAsia="Times New Roman" w:hAnsi="Calibri" w:cs="Calibri"/>
                <w:b/>
                <w:sz w:val="14"/>
                <w:szCs w:val="14"/>
                <w:lang w:val="en-AU"/>
              </w:rPr>
              <w:br/>
              <w:t>(b)</w:t>
            </w:r>
          </w:p>
        </w:tc>
        <w:tc>
          <w:tcPr>
            <w:tcW w:w="407" w:type="pct"/>
            <w:tcMar>
              <w:left w:w="57" w:type="dxa"/>
              <w:right w:w="57" w:type="dxa"/>
            </w:tcMar>
          </w:tcPr>
          <w:p w14:paraId="7770FBDC" w14:textId="77777777" w:rsidR="00A37634" w:rsidRPr="00A37634" w:rsidRDefault="00A37634" w:rsidP="00A37634">
            <w:pPr>
              <w:spacing w:before="60" w:after="60" w:line="240" w:lineRule="auto"/>
              <w:jc w:val="center"/>
              <w:rPr>
                <w:rFonts w:ascii="Calibri" w:eastAsia="Times New Roman" w:hAnsi="Calibri" w:cs="Calibri"/>
                <w:b/>
                <w:sz w:val="14"/>
                <w:szCs w:val="14"/>
                <w:lang w:val="en-AU"/>
              </w:rPr>
            </w:pPr>
            <w:r w:rsidRPr="00A37634">
              <w:rPr>
                <w:rFonts w:ascii="Calibri" w:eastAsia="Times New Roman" w:hAnsi="Calibri" w:cs="Calibri"/>
                <w:b/>
                <w:sz w:val="14"/>
                <w:szCs w:val="14"/>
                <w:lang w:val="en-AU"/>
              </w:rPr>
              <w:t>Energy storage &amp; time-shift</w:t>
            </w:r>
          </w:p>
        </w:tc>
        <w:tc>
          <w:tcPr>
            <w:tcW w:w="387" w:type="pct"/>
            <w:tcMar>
              <w:left w:w="57" w:type="dxa"/>
              <w:right w:w="57" w:type="dxa"/>
            </w:tcMar>
          </w:tcPr>
          <w:p w14:paraId="447B2D0B" w14:textId="77777777" w:rsidR="00A37634" w:rsidRPr="00A37634" w:rsidRDefault="00A37634" w:rsidP="00A37634">
            <w:pPr>
              <w:spacing w:before="60" w:after="60" w:line="240" w:lineRule="auto"/>
              <w:jc w:val="center"/>
              <w:rPr>
                <w:rFonts w:ascii="Calibri" w:eastAsia="Times New Roman" w:hAnsi="Calibri" w:cs="Calibri"/>
                <w:b/>
                <w:sz w:val="14"/>
                <w:szCs w:val="14"/>
                <w:lang w:val="en-AU"/>
              </w:rPr>
            </w:pPr>
            <w:r w:rsidRPr="00A37634">
              <w:rPr>
                <w:rFonts w:ascii="Calibri" w:eastAsia="Times New Roman" w:hAnsi="Calibri" w:cs="Calibri"/>
                <w:b/>
                <w:sz w:val="14"/>
                <w:szCs w:val="14"/>
                <w:lang w:val="en-AU"/>
              </w:rPr>
              <w:t>Return energy to grid</w:t>
            </w:r>
          </w:p>
        </w:tc>
        <w:tc>
          <w:tcPr>
            <w:tcW w:w="384" w:type="pct"/>
          </w:tcPr>
          <w:p w14:paraId="447BDE3B" w14:textId="77777777" w:rsidR="00A37634" w:rsidRPr="00A37634" w:rsidRDefault="00A37634" w:rsidP="00A37634">
            <w:pPr>
              <w:spacing w:before="60" w:after="60" w:line="240" w:lineRule="auto"/>
              <w:jc w:val="center"/>
              <w:rPr>
                <w:rFonts w:ascii="Calibri" w:eastAsia="Times New Roman" w:hAnsi="Calibri" w:cs="Calibri"/>
                <w:b/>
                <w:sz w:val="14"/>
                <w:szCs w:val="14"/>
                <w:lang w:val="en-AU"/>
              </w:rPr>
            </w:pPr>
            <w:r w:rsidRPr="00A37634">
              <w:rPr>
                <w:rFonts w:ascii="Calibri" w:eastAsia="Times New Roman" w:hAnsi="Calibri" w:cs="Calibri"/>
                <w:b/>
                <w:sz w:val="14"/>
                <w:szCs w:val="14"/>
                <w:lang w:val="en-AU"/>
              </w:rPr>
              <w:t>User-managed  DR with 4755 products</w:t>
            </w:r>
          </w:p>
        </w:tc>
      </w:tr>
      <w:tr w:rsidR="00A37634" w:rsidRPr="00A37634" w14:paraId="537B2705" w14:textId="77777777" w:rsidTr="007C7289">
        <w:trPr>
          <w:jc w:val="center"/>
        </w:trPr>
        <w:tc>
          <w:tcPr>
            <w:tcW w:w="563" w:type="pct"/>
            <w:tcMar>
              <w:left w:w="57" w:type="dxa"/>
              <w:right w:w="57" w:type="dxa"/>
            </w:tcMar>
          </w:tcPr>
          <w:p w14:paraId="039F9307"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Air conditioners</w:t>
            </w:r>
          </w:p>
        </w:tc>
        <w:tc>
          <w:tcPr>
            <w:tcW w:w="407" w:type="pct"/>
            <w:shd w:val="clear" w:color="auto" w:fill="92D050"/>
            <w:tcMar>
              <w:left w:w="57" w:type="dxa"/>
              <w:right w:w="57" w:type="dxa"/>
            </w:tcMar>
          </w:tcPr>
          <w:p w14:paraId="1BD83662"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50AB01FA"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10" w:type="pct"/>
            <w:shd w:val="clear" w:color="auto" w:fill="92D050"/>
          </w:tcPr>
          <w:p w14:paraId="4B77AC63"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491D2044"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7D6BA36C"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25695475"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54D9C779"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41C644EC"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tcBorders>
              <w:bottom w:val="single" w:sz="4" w:space="0" w:color="auto"/>
            </w:tcBorders>
            <w:tcMar>
              <w:left w:w="57" w:type="dxa"/>
              <w:right w:w="57" w:type="dxa"/>
            </w:tcMar>
          </w:tcPr>
          <w:p w14:paraId="6E4EF503"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NA</w:t>
            </w:r>
          </w:p>
        </w:tc>
        <w:tc>
          <w:tcPr>
            <w:tcW w:w="387" w:type="pct"/>
            <w:tcMar>
              <w:left w:w="57" w:type="dxa"/>
              <w:right w:w="57" w:type="dxa"/>
            </w:tcMar>
          </w:tcPr>
          <w:p w14:paraId="661A67C7"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NA</w:t>
            </w:r>
          </w:p>
        </w:tc>
        <w:tc>
          <w:tcPr>
            <w:tcW w:w="384" w:type="pct"/>
            <w:shd w:val="clear" w:color="auto" w:fill="FFCC00"/>
          </w:tcPr>
          <w:p w14:paraId="1E0C2885"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 xml:space="preserve">Not </w:t>
            </w:r>
            <w:r w:rsidRPr="00A37634">
              <w:rPr>
                <w:rFonts w:ascii="Calibri" w:eastAsia="Times New Roman" w:hAnsi="Calibri" w:cs="Calibri"/>
                <w:sz w:val="14"/>
                <w:szCs w:val="14"/>
                <w:lang w:val="en-AU"/>
              </w:rPr>
              <w:br/>
              <w:t>quantified</w:t>
            </w:r>
          </w:p>
        </w:tc>
      </w:tr>
      <w:tr w:rsidR="00A37634" w:rsidRPr="00A37634" w14:paraId="7DDF318D" w14:textId="77777777" w:rsidTr="007C7289">
        <w:trPr>
          <w:jc w:val="center"/>
        </w:trPr>
        <w:tc>
          <w:tcPr>
            <w:tcW w:w="563" w:type="pct"/>
            <w:tcMar>
              <w:left w:w="57" w:type="dxa"/>
              <w:right w:w="57" w:type="dxa"/>
            </w:tcMar>
          </w:tcPr>
          <w:p w14:paraId="3694C734"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Pool pump controllers</w:t>
            </w:r>
          </w:p>
        </w:tc>
        <w:tc>
          <w:tcPr>
            <w:tcW w:w="407" w:type="pct"/>
            <w:shd w:val="clear" w:color="auto" w:fill="92D050"/>
            <w:tcMar>
              <w:left w:w="57" w:type="dxa"/>
              <w:right w:w="57" w:type="dxa"/>
            </w:tcMar>
          </w:tcPr>
          <w:p w14:paraId="04AAEE4F"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2C850D10"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10" w:type="pct"/>
            <w:shd w:val="clear" w:color="auto" w:fill="92D050"/>
          </w:tcPr>
          <w:p w14:paraId="0752F9C7"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15450E67"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1546475C"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 xml:space="preserve"> Quantified</w:t>
            </w:r>
          </w:p>
        </w:tc>
        <w:tc>
          <w:tcPr>
            <w:tcW w:w="407" w:type="pct"/>
            <w:shd w:val="clear" w:color="auto" w:fill="92D050"/>
            <w:tcMar>
              <w:left w:w="57" w:type="dxa"/>
              <w:right w:w="57" w:type="dxa"/>
            </w:tcMar>
          </w:tcPr>
          <w:p w14:paraId="442C41E7"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tcBorders>
              <w:bottom w:val="single" w:sz="4" w:space="0" w:color="auto"/>
            </w:tcBorders>
            <w:shd w:val="clear" w:color="auto" w:fill="92D050"/>
            <w:tcMar>
              <w:left w:w="57" w:type="dxa"/>
              <w:right w:w="57" w:type="dxa"/>
            </w:tcMar>
          </w:tcPr>
          <w:p w14:paraId="70E91E92"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 xml:space="preserve">Quantified </w:t>
            </w:r>
          </w:p>
        </w:tc>
        <w:tc>
          <w:tcPr>
            <w:tcW w:w="407" w:type="pct"/>
            <w:tcBorders>
              <w:bottom w:val="single" w:sz="4" w:space="0" w:color="auto"/>
            </w:tcBorders>
            <w:shd w:val="clear" w:color="auto" w:fill="92D050"/>
            <w:tcMar>
              <w:left w:w="57" w:type="dxa"/>
              <w:right w:w="57" w:type="dxa"/>
            </w:tcMar>
          </w:tcPr>
          <w:p w14:paraId="3A46B735"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br/>
              <w:t>Quantified</w:t>
            </w:r>
          </w:p>
        </w:tc>
        <w:tc>
          <w:tcPr>
            <w:tcW w:w="407" w:type="pct"/>
            <w:tcBorders>
              <w:bottom w:val="single" w:sz="4" w:space="0" w:color="auto"/>
            </w:tcBorders>
            <w:shd w:val="clear" w:color="auto" w:fill="92D050"/>
            <w:tcMar>
              <w:left w:w="57" w:type="dxa"/>
              <w:right w:w="57" w:type="dxa"/>
            </w:tcMar>
          </w:tcPr>
          <w:p w14:paraId="45EF42F2"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387" w:type="pct"/>
            <w:tcMar>
              <w:left w:w="57" w:type="dxa"/>
              <w:right w:w="57" w:type="dxa"/>
            </w:tcMar>
          </w:tcPr>
          <w:p w14:paraId="06E81DD3"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NA</w:t>
            </w:r>
          </w:p>
        </w:tc>
        <w:tc>
          <w:tcPr>
            <w:tcW w:w="384" w:type="pct"/>
            <w:shd w:val="clear" w:color="auto" w:fill="FFCC00"/>
          </w:tcPr>
          <w:p w14:paraId="11CCEE50"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Not quantified</w:t>
            </w:r>
          </w:p>
        </w:tc>
      </w:tr>
      <w:tr w:rsidR="00A37634" w:rsidRPr="00A37634" w14:paraId="5B405035" w14:textId="77777777" w:rsidTr="007C7289">
        <w:trPr>
          <w:jc w:val="center"/>
        </w:trPr>
        <w:tc>
          <w:tcPr>
            <w:tcW w:w="563" w:type="pct"/>
            <w:tcMar>
              <w:left w:w="57" w:type="dxa"/>
              <w:right w:w="57" w:type="dxa"/>
            </w:tcMar>
          </w:tcPr>
          <w:p w14:paraId="767CDACA"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Small electric storage water heaters</w:t>
            </w:r>
          </w:p>
        </w:tc>
        <w:tc>
          <w:tcPr>
            <w:tcW w:w="407" w:type="pct"/>
            <w:shd w:val="clear" w:color="auto" w:fill="92D050"/>
            <w:tcMar>
              <w:left w:w="57" w:type="dxa"/>
              <w:right w:w="57" w:type="dxa"/>
            </w:tcMar>
          </w:tcPr>
          <w:p w14:paraId="2EE27F3B"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4237BA0C"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10" w:type="pct"/>
            <w:shd w:val="clear" w:color="auto" w:fill="92D050"/>
          </w:tcPr>
          <w:p w14:paraId="6EE9405D"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0557201B"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7A776A12"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522D3291"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2AF9D299"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4D10FCF7"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1FC57137"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387" w:type="pct"/>
            <w:tcMar>
              <w:left w:w="57" w:type="dxa"/>
              <w:right w:w="57" w:type="dxa"/>
            </w:tcMar>
          </w:tcPr>
          <w:p w14:paraId="74950A84"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NA</w:t>
            </w:r>
          </w:p>
        </w:tc>
        <w:tc>
          <w:tcPr>
            <w:tcW w:w="384" w:type="pct"/>
            <w:shd w:val="clear" w:color="auto" w:fill="FFCC00"/>
          </w:tcPr>
          <w:p w14:paraId="14C16B5B"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Not quantified</w:t>
            </w:r>
          </w:p>
        </w:tc>
      </w:tr>
      <w:tr w:rsidR="00A37634" w:rsidRPr="00A37634" w14:paraId="396DEA91" w14:textId="77777777" w:rsidTr="007C7289">
        <w:trPr>
          <w:jc w:val="center"/>
        </w:trPr>
        <w:tc>
          <w:tcPr>
            <w:tcW w:w="563" w:type="pct"/>
            <w:tcMar>
              <w:left w:w="57" w:type="dxa"/>
              <w:right w:w="57" w:type="dxa"/>
            </w:tcMar>
          </w:tcPr>
          <w:p w14:paraId="4D51EC67"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Large electric storage water heaters</w:t>
            </w:r>
          </w:p>
        </w:tc>
        <w:tc>
          <w:tcPr>
            <w:tcW w:w="407" w:type="pct"/>
            <w:shd w:val="clear" w:color="auto" w:fill="92D050"/>
            <w:tcMar>
              <w:left w:w="57" w:type="dxa"/>
              <w:right w:w="57" w:type="dxa"/>
            </w:tcMar>
          </w:tcPr>
          <w:p w14:paraId="5AE6FB84"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6A4BD775"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10" w:type="pct"/>
            <w:shd w:val="clear" w:color="auto" w:fill="92D050"/>
          </w:tcPr>
          <w:p w14:paraId="7A95A1E8"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59712B87"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659FC9C2"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3E0C1103"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6FF56B64"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r w:rsidRPr="00A37634">
              <w:rPr>
                <w:rFonts w:ascii="Calibri" w:eastAsia="Times New Roman" w:hAnsi="Calibri" w:cs="Calibri"/>
                <w:sz w:val="14"/>
                <w:szCs w:val="14"/>
                <w:lang w:val="en-AU"/>
              </w:rPr>
              <w:br/>
            </w:r>
          </w:p>
        </w:tc>
        <w:tc>
          <w:tcPr>
            <w:tcW w:w="407" w:type="pct"/>
            <w:shd w:val="clear" w:color="auto" w:fill="92D050"/>
            <w:tcMar>
              <w:left w:w="57" w:type="dxa"/>
              <w:right w:w="57" w:type="dxa"/>
            </w:tcMar>
          </w:tcPr>
          <w:p w14:paraId="3525CA39"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shd w:val="clear" w:color="auto" w:fill="92D050"/>
            <w:tcMar>
              <w:left w:w="57" w:type="dxa"/>
              <w:right w:w="57" w:type="dxa"/>
            </w:tcMar>
          </w:tcPr>
          <w:p w14:paraId="05CBBFF5"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387" w:type="pct"/>
            <w:tcMar>
              <w:left w:w="57" w:type="dxa"/>
              <w:right w:w="57" w:type="dxa"/>
            </w:tcMar>
          </w:tcPr>
          <w:p w14:paraId="748FC5E9"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NA</w:t>
            </w:r>
          </w:p>
        </w:tc>
        <w:tc>
          <w:tcPr>
            <w:tcW w:w="384" w:type="pct"/>
            <w:shd w:val="clear" w:color="auto" w:fill="FFCC00"/>
          </w:tcPr>
          <w:p w14:paraId="4AA8666B"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Not quantified</w:t>
            </w:r>
          </w:p>
        </w:tc>
      </w:tr>
      <w:tr w:rsidR="00A37634" w:rsidRPr="00A37634" w14:paraId="709E981C" w14:textId="77777777" w:rsidTr="007C7289">
        <w:trPr>
          <w:jc w:val="center"/>
        </w:trPr>
        <w:tc>
          <w:tcPr>
            <w:tcW w:w="563" w:type="pct"/>
            <w:tcBorders>
              <w:bottom w:val="single" w:sz="4" w:space="0" w:color="auto"/>
            </w:tcBorders>
            <w:tcMar>
              <w:left w:w="57" w:type="dxa"/>
              <w:right w:w="57" w:type="dxa"/>
            </w:tcMar>
          </w:tcPr>
          <w:p w14:paraId="48CC9265"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Electric Vehicle charge/discharge</w:t>
            </w:r>
          </w:p>
        </w:tc>
        <w:tc>
          <w:tcPr>
            <w:tcW w:w="407" w:type="pct"/>
            <w:tcBorders>
              <w:bottom w:val="single" w:sz="4" w:space="0" w:color="auto"/>
            </w:tcBorders>
            <w:shd w:val="clear" w:color="auto" w:fill="92D050"/>
            <w:tcMar>
              <w:left w:w="57" w:type="dxa"/>
              <w:right w:w="57" w:type="dxa"/>
            </w:tcMar>
          </w:tcPr>
          <w:p w14:paraId="6B18FEBC"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tcBorders>
              <w:bottom w:val="single" w:sz="4" w:space="0" w:color="auto"/>
            </w:tcBorders>
            <w:shd w:val="clear" w:color="auto" w:fill="92D050"/>
            <w:tcMar>
              <w:left w:w="57" w:type="dxa"/>
              <w:right w:w="57" w:type="dxa"/>
            </w:tcMar>
          </w:tcPr>
          <w:p w14:paraId="38F16E87"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10" w:type="pct"/>
            <w:tcBorders>
              <w:bottom w:val="single" w:sz="4" w:space="0" w:color="auto"/>
            </w:tcBorders>
            <w:shd w:val="clear" w:color="auto" w:fill="92D050"/>
          </w:tcPr>
          <w:p w14:paraId="212A112E"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tcBorders>
              <w:bottom w:val="single" w:sz="4" w:space="0" w:color="auto"/>
            </w:tcBorders>
            <w:shd w:val="clear" w:color="auto" w:fill="92D050"/>
            <w:tcMar>
              <w:left w:w="57" w:type="dxa"/>
              <w:right w:w="57" w:type="dxa"/>
            </w:tcMar>
          </w:tcPr>
          <w:p w14:paraId="65E1C6E8"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tcBorders>
              <w:bottom w:val="single" w:sz="4" w:space="0" w:color="auto"/>
            </w:tcBorders>
            <w:shd w:val="clear" w:color="auto" w:fill="92D050"/>
            <w:tcMar>
              <w:left w:w="57" w:type="dxa"/>
              <w:right w:w="57" w:type="dxa"/>
            </w:tcMar>
          </w:tcPr>
          <w:p w14:paraId="2198B123"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tcBorders>
              <w:bottom w:val="single" w:sz="4" w:space="0" w:color="auto"/>
            </w:tcBorders>
            <w:shd w:val="clear" w:color="auto" w:fill="92D050"/>
            <w:tcMar>
              <w:left w:w="57" w:type="dxa"/>
              <w:right w:w="57" w:type="dxa"/>
            </w:tcMar>
          </w:tcPr>
          <w:p w14:paraId="79D0530B"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tcBorders>
              <w:bottom w:val="single" w:sz="4" w:space="0" w:color="auto"/>
            </w:tcBorders>
            <w:shd w:val="clear" w:color="auto" w:fill="92D050"/>
            <w:tcMar>
              <w:left w:w="57" w:type="dxa"/>
              <w:right w:w="57" w:type="dxa"/>
            </w:tcMar>
          </w:tcPr>
          <w:p w14:paraId="480ECA33"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tcBorders>
              <w:bottom w:val="single" w:sz="4" w:space="0" w:color="auto"/>
            </w:tcBorders>
            <w:shd w:val="clear" w:color="auto" w:fill="92D050"/>
            <w:tcMar>
              <w:left w:w="57" w:type="dxa"/>
              <w:right w:w="57" w:type="dxa"/>
            </w:tcMar>
          </w:tcPr>
          <w:p w14:paraId="7A6FF472"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407" w:type="pct"/>
            <w:tcBorders>
              <w:bottom w:val="single" w:sz="4" w:space="0" w:color="auto"/>
            </w:tcBorders>
            <w:shd w:val="clear" w:color="auto" w:fill="92D050"/>
            <w:tcMar>
              <w:left w:w="57" w:type="dxa"/>
              <w:right w:w="57" w:type="dxa"/>
            </w:tcMar>
          </w:tcPr>
          <w:p w14:paraId="3401A529"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Quantified</w:t>
            </w:r>
          </w:p>
        </w:tc>
        <w:tc>
          <w:tcPr>
            <w:tcW w:w="387" w:type="pct"/>
            <w:tcBorders>
              <w:bottom w:val="single" w:sz="4" w:space="0" w:color="auto"/>
            </w:tcBorders>
            <w:shd w:val="clear" w:color="auto" w:fill="FFCC00"/>
            <w:tcMar>
              <w:left w:w="57" w:type="dxa"/>
              <w:right w:w="57" w:type="dxa"/>
            </w:tcMar>
          </w:tcPr>
          <w:p w14:paraId="3E29F787"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 xml:space="preserve">Not quantified </w:t>
            </w:r>
          </w:p>
        </w:tc>
        <w:tc>
          <w:tcPr>
            <w:tcW w:w="384" w:type="pct"/>
            <w:tcBorders>
              <w:bottom w:val="single" w:sz="4" w:space="0" w:color="auto"/>
            </w:tcBorders>
            <w:shd w:val="clear" w:color="auto" w:fill="FFCC00"/>
          </w:tcPr>
          <w:p w14:paraId="6B09C384"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Not quantified</w:t>
            </w:r>
          </w:p>
        </w:tc>
      </w:tr>
      <w:tr w:rsidR="00A37634" w:rsidRPr="00A37634" w14:paraId="347C8848" w14:textId="77777777" w:rsidTr="007C7289">
        <w:trPr>
          <w:jc w:val="center"/>
        </w:trPr>
        <w:tc>
          <w:tcPr>
            <w:tcW w:w="563" w:type="pct"/>
            <w:tcMar>
              <w:left w:w="57" w:type="dxa"/>
              <w:right w:w="57" w:type="dxa"/>
            </w:tcMar>
          </w:tcPr>
          <w:p w14:paraId="0F3E5F70"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Relevant DRMs(b)</w:t>
            </w:r>
          </w:p>
        </w:tc>
        <w:tc>
          <w:tcPr>
            <w:tcW w:w="407" w:type="pct"/>
            <w:tcMar>
              <w:left w:w="57" w:type="dxa"/>
              <w:right w:w="57" w:type="dxa"/>
            </w:tcMar>
          </w:tcPr>
          <w:p w14:paraId="66E00980"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All DRMs</w:t>
            </w:r>
          </w:p>
        </w:tc>
        <w:tc>
          <w:tcPr>
            <w:tcW w:w="407" w:type="pct"/>
            <w:tcMar>
              <w:left w:w="57" w:type="dxa"/>
              <w:right w:w="57" w:type="dxa"/>
            </w:tcMar>
          </w:tcPr>
          <w:p w14:paraId="3BD96E15"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All DRMs</w:t>
            </w:r>
          </w:p>
        </w:tc>
        <w:tc>
          <w:tcPr>
            <w:tcW w:w="410" w:type="pct"/>
          </w:tcPr>
          <w:p w14:paraId="1F60FBC4"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All DRMs</w:t>
            </w:r>
          </w:p>
        </w:tc>
        <w:tc>
          <w:tcPr>
            <w:tcW w:w="407" w:type="pct"/>
            <w:tcMar>
              <w:left w:w="57" w:type="dxa"/>
              <w:right w:w="57" w:type="dxa"/>
            </w:tcMar>
          </w:tcPr>
          <w:p w14:paraId="66A74366"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DRM 1,2,3</w:t>
            </w:r>
          </w:p>
        </w:tc>
        <w:tc>
          <w:tcPr>
            <w:tcW w:w="407" w:type="pct"/>
            <w:tcMar>
              <w:left w:w="57" w:type="dxa"/>
              <w:right w:w="57" w:type="dxa"/>
            </w:tcMar>
          </w:tcPr>
          <w:p w14:paraId="39D19EE9"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DRM 1,2,3</w:t>
            </w:r>
          </w:p>
        </w:tc>
        <w:tc>
          <w:tcPr>
            <w:tcW w:w="407" w:type="pct"/>
            <w:tcMar>
              <w:left w:w="57" w:type="dxa"/>
              <w:right w:w="57" w:type="dxa"/>
            </w:tcMar>
          </w:tcPr>
          <w:p w14:paraId="39CA17FA"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DRM 1,2,3</w:t>
            </w:r>
          </w:p>
        </w:tc>
        <w:tc>
          <w:tcPr>
            <w:tcW w:w="407" w:type="pct"/>
            <w:tcMar>
              <w:left w:w="57" w:type="dxa"/>
              <w:right w:w="57" w:type="dxa"/>
            </w:tcMar>
          </w:tcPr>
          <w:p w14:paraId="1906A8AA"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DRM 1,2,3</w:t>
            </w:r>
          </w:p>
        </w:tc>
        <w:tc>
          <w:tcPr>
            <w:tcW w:w="407" w:type="pct"/>
            <w:tcMar>
              <w:left w:w="57" w:type="dxa"/>
              <w:right w:w="57" w:type="dxa"/>
            </w:tcMar>
          </w:tcPr>
          <w:p w14:paraId="2F81493E"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DRM 1,2,3</w:t>
            </w:r>
          </w:p>
        </w:tc>
        <w:tc>
          <w:tcPr>
            <w:tcW w:w="407" w:type="pct"/>
            <w:tcMar>
              <w:left w:w="57" w:type="dxa"/>
              <w:right w:w="57" w:type="dxa"/>
            </w:tcMar>
          </w:tcPr>
          <w:p w14:paraId="0DE38DF1"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DRM 4</w:t>
            </w:r>
          </w:p>
        </w:tc>
        <w:tc>
          <w:tcPr>
            <w:tcW w:w="387" w:type="pct"/>
            <w:tcMar>
              <w:left w:w="57" w:type="dxa"/>
              <w:right w:w="57" w:type="dxa"/>
            </w:tcMar>
          </w:tcPr>
          <w:p w14:paraId="6DC915CA"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 xml:space="preserve">DRM </w:t>
            </w:r>
            <w:r w:rsidRPr="00A37634">
              <w:rPr>
                <w:rFonts w:ascii="Calibri" w:eastAsia="Times New Roman" w:hAnsi="Calibri" w:cs="Calibri"/>
                <w:sz w:val="14"/>
                <w:szCs w:val="14"/>
                <w:lang w:val="en-AU"/>
              </w:rPr>
              <w:br/>
              <w:t>5,6,7,8</w:t>
            </w:r>
          </w:p>
        </w:tc>
        <w:tc>
          <w:tcPr>
            <w:tcW w:w="384" w:type="pct"/>
          </w:tcPr>
          <w:p w14:paraId="5655CBE9" w14:textId="77777777" w:rsidR="00A37634" w:rsidRPr="00A37634" w:rsidRDefault="00A37634" w:rsidP="00A37634">
            <w:pPr>
              <w:tabs>
                <w:tab w:val="left" w:pos="3293"/>
              </w:tabs>
              <w:spacing w:before="60" w:after="60" w:line="240" w:lineRule="auto"/>
              <w:ind w:left="35"/>
              <w:rPr>
                <w:rFonts w:ascii="Calibri" w:eastAsia="Times New Roman" w:hAnsi="Calibri" w:cs="Calibri"/>
                <w:sz w:val="14"/>
                <w:szCs w:val="14"/>
                <w:lang w:val="en-AU"/>
              </w:rPr>
            </w:pPr>
            <w:r w:rsidRPr="00A37634">
              <w:rPr>
                <w:rFonts w:ascii="Calibri" w:eastAsia="Times New Roman" w:hAnsi="Calibri" w:cs="Calibri"/>
                <w:sz w:val="14"/>
                <w:szCs w:val="14"/>
                <w:lang w:val="en-AU"/>
              </w:rPr>
              <w:t>All DRMs</w:t>
            </w:r>
          </w:p>
        </w:tc>
      </w:tr>
    </w:tbl>
    <w:p w14:paraId="2884F572" w14:textId="77777777" w:rsidR="00A37634" w:rsidRPr="00A37634" w:rsidRDefault="00A37634" w:rsidP="00A37634">
      <w:pPr>
        <w:spacing w:after="0" w:line="278" w:lineRule="auto"/>
        <w:jc w:val="center"/>
        <w:rPr>
          <w:rFonts w:ascii="Calibri" w:eastAsia="Cambria" w:hAnsi="Calibri" w:cs="Calibri"/>
          <w:sz w:val="16"/>
          <w:szCs w:val="24"/>
          <w:lang w:val="en-AU"/>
        </w:rPr>
      </w:pPr>
      <w:r w:rsidRPr="00A37634">
        <w:rPr>
          <w:rFonts w:ascii="Calibri" w:eastAsia="Cambria" w:hAnsi="Calibri" w:cs="Calibri"/>
          <w:sz w:val="16"/>
          <w:szCs w:val="24"/>
          <w:lang w:val="en-AU"/>
        </w:rPr>
        <w:t>Green cells indicate quantified benefit. Orange cells indicate possible additional benefits not quantified.</w:t>
      </w:r>
    </w:p>
    <w:p w14:paraId="0FC8CE3D" w14:textId="77777777" w:rsidR="00A37634" w:rsidRPr="00A37634" w:rsidRDefault="00A37634" w:rsidP="00A37634">
      <w:pPr>
        <w:spacing w:after="0" w:line="278" w:lineRule="auto"/>
        <w:jc w:val="center"/>
        <w:rPr>
          <w:rFonts w:ascii="Calibri" w:eastAsia="Cambria" w:hAnsi="Calibri" w:cs="Calibri"/>
          <w:sz w:val="16"/>
          <w:szCs w:val="24"/>
          <w:lang w:val="en-AU"/>
        </w:rPr>
      </w:pPr>
      <w:r w:rsidRPr="00A37634">
        <w:rPr>
          <w:rFonts w:ascii="Calibri" w:eastAsia="Cambria" w:hAnsi="Calibri" w:cs="Calibri"/>
          <w:sz w:val="16"/>
          <w:szCs w:val="24"/>
          <w:lang w:val="en-AU"/>
        </w:rPr>
        <w:t>(</w:t>
      </w:r>
      <w:proofErr w:type="gramStart"/>
      <w:r w:rsidRPr="00A37634">
        <w:rPr>
          <w:rFonts w:ascii="Calibri" w:eastAsia="Cambria" w:hAnsi="Calibri" w:cs="Calibri"/>
          <w:sz w:val="16"/>
          <w:szCs w:val="24"/>
          <w:lang w:val="en-AU"/>
        </w:rPr>
        <w:t>a</w:t>
      </w:r>
      <w:proofErr w:type="gramEnd"/>
      <w:r w:rsidRPr="00A37634">
        <w:rPr>
          <w:rFonts w:ascii="Calibri" w:eastAsia="Cambria" w:hAnsi="Calibri" w:cs="Calibri"/>
          <w:sz w:val="16"/>
          <w:szCs w:val="24"/>
          <w:lang w:val="en-AU"/>
        </w:rPr>
        <w:t>) Benefits to projected winter peak calculated for Tasmania and New Zealand only, since other jurisdictions are summer peaking. (b) Calculated for Victoria and SA only, where RERT contracts have been used.</w:t>
      </w:r>
    </w:p>
    <w:p w14:paraId="259CBA00" w14:textId="77777777" w:rsidR="00A37634" w:rsidRPr="00A37634" w:rsidRDefault="00A37634" w:rsidP="00A37634">
      <w:pPr>
        <w:spacing w:before="240" w:after="120" w:line="278" w:lineRule="auto"/>
        <w:rPr>
          <w:rFonts w:ascii="Calibri" w:eastAsia="Cambria" w:hAnsi="Calibri" w:cs="Calibri"/>
          <w:lang w:val="en-AU"/>
        </w:rPr>
      </w:pPr>
      <w:r w:rsidRPr="00A37634">
        <w:rPr>
          <w:rFonts w:ascii="Calibri" w:eastAsia="Cambria" w:hAnsi="Calibri" w:cs="Calibri"/>
          <w:lang w:val="en-AU"/>
        </w:rPr>
        <w:t>The net present value (at June 2019, i.e. at the start of FY 2020) of the stream of future costs and benefits is then calculated using the range of discount rates specified by the Office of Best Practice Regulation (OBPR): 7%, 3% and 10%.</w:t>
      </w:r>
    </w:p>
    <w:p w14:paraId="0898628D"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Some studies treat the value of avoided investment in infrastructure as an annual benefit</w:t>
      </w:r>
      <w:r w:rsidRPr="00A37634">
        <w:rPr>
          <w:rFonts w:ascii="Calibri" w:eastAsia="Cambria" w:hAnsi="Calibri" w:cs="Calibri"/>
          <w:vertAlign w:val="superscript"/>
          <w:lang w:val="en-AU"/>
        </w:rPr>
        <w:footnoteReference w:id="73"/>
      </w:r>
      <w:r w:rsidRPr="00A37634">
        <w:rPr>
          <w:rFonts w:ascii="Calibri" w:eastAsia="Cambria" w:hAnsi="Calibri" w:cs="Calibri"/>
          <w:lang w:val="en-AU"/>
        </w:rPr>
        <w:t xml:space="preserve"> but the two approaches are essentially equivalent, once allowance is made for discount rates and the duration of the impact of the investment-avoiding measure. It is necessary to assume that the effect of the demand-side investment-avoiding strategy is accurately projected and that it is implemented as planned – just as it is necessary to assume the same for supply-side infrastructure investments. </w:t>
      </w:r>
    </w:p>
    <w:p w14:paraId="590978D0"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The realisation of the projected infrastructure benefits will rely on DNSPs building in the expected impacts of DR programs into their planning (whether they implement the programs themselves or purchase aggregated DR from electricity retailers or other DRSPs). In assessing the timing of benefits, it should be noted that AER determinations are forward</w:t>
      </w:r>
      <w:r w:rsidRPr="00A37634">
        <w:rPr>
          <w:rFonts w:ascii="Calibri" w:eastAsia="Cambria" w:hAnsi="Calibri" w:cs="Calibri"/>
          <w:lang w:val="en-AU"/>
        </w:rPr>
        <w:noBreakHyphen/>
        <w:t xml:space="preserve">looking assessments of the revenue required by DNSPs over the coming 5-year period. Part of the calculation is the projected capital expenditure (CAPEX) required to augment the network to meet projected net increments in peak load in each year of the 5-year period. The DNSP must make an assessment of the quantum of load added each year and the shape (whether constant or varying by time of day/season) less the quantum and shape of load retired. For domestic customers, this may be modelled at the population or household level or at the specific appliance stock level (as is the case here). </w:t>
      </w:r>
    </w:p>
    <w:p w14:paraId="5B6CA93D"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If COAG Energy Council Ministers adopt the proposal by the end of 2019, then DNSPs preparing their capital cost projections after that time would be able to project with high confidence the rate of accumulation of DR-</w:t>
      </w:r>
      <w:proofErr w:type="gramStart"/>
      <w:r w:rsidRPr="00A37634">
        <w:rPr>
          <w:rFonts w:ascii="Calibri" w:eastAsia="Cambria" w:hAnsi="Calibri" w:cs="Calibri"/>
          <w:lang w:val="en-AU"/>
        </w:rPr>
        <w:t>capable  appliances</w:t>
      </w:r>
      <w:proofErr w:type="gramEnd"/>
      <w:r w:rsidRPr="00A37634">
        <w:rPr>
          <w:rFonts w:ascii="Calibri" w:eastAsia="Cambria" w:hAnsi="Calibri" w:cs="Calibri"/>
          <w:lang w:val="en-AU"/>
        </w:rPr>
        <w:t xml:space="preserve"> in their area during the next determination period, and so compare the (much reduced) costs of meeting peak load via a (partial) load control strategy as against a pure infrastructure build strategy. To the extent that the load control strategy leads to a lower capital requirement, the total forward-looking revenue determination would be lower. </w:t>
      </w:r>
    </w:p>
    <w:p w14:paraId="72A575A7"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lang w:val="en-AU"/>
        </w:rPr>
      </w:pPr>
      <w:r w:rsidRPr="00A37634">
        <w:rPr>
          <w:rFonts w:ascii="Calibri" w:eastAsia="Times New Roman" w:hAnsi="Calibri" w:cs="Calibri"/>
          <w:b/>
          <w:color w:val="FF0000"/>
          <w:sz w:val="28"/>
          <w:lang w:val="en-AU"/>
        </w:rPr>
        <w:t>Participation Costs</w:t>
      </w:r>
    </w:p>
    <w:p w14:paraId="509F8878" w14:textId="77777777" w:rsidR="00A37634" w:rsidRPr="00A37634" w:rsidRDefault="00A37634" w:rsidP="00A37634">
      <w:pPr>
        <w:spacing w:before="240" w:after="120" w:line="278" w:lineRule="auto"/>
        <w:rPr>
          <w:rFonts w:ascii="Calibri" w:eastAsia="Cambria" w:hAnsi="Calibri" w:cs="Calibri"/>
          <w:lang w:val="en-AU"/>
        </w:rPr>
      </w:pPr>
      <w:r w:rsidRPr="00A37634">
        <w:rPr>
          <w:rFonts w:ascii="Calibri" w:eastAsia="Cambria" w:hAnsi="Calibri" w:cs="Calibri"/>
          <w:lang w:val="en-AU"/>
        </w:rPr>
        <w:t xml:space="preserve">There will be on-going administrative costs associated with maintaining records of activated appliances and communicating with participants. These are estimated at $20 per activated appliance per year. These assumptions were presented in the Consultation RIS (E3 2013) and considered reasonable by submitters. It is assumed that this would also cover the profit margins of DRSPs. </w:t>
      </w:r>
    </w:p>
    <w:p w14:paraId="134346BA" w14:textId="77777777" w:rsidR="00A37634" w:rsidRPr="00A37634" w:rsidRDefault="00A37634" w:rsidP="00A37634">
      <w:pPr>
        <w:keepNext/>
        <w:keepLines/>
        <w:spacing w:before="240" w:after="240" w:line="278" w:lineRule="auto"/>
        <w:outlineLvl w:val="4"/>
        <w:rPr>
          <w:rFonts w:ascii="Calibri" w:eastAsia="Times New Roman" w:hAnsi="Calibri" w:cs="Calibri"/>
          <w:b/>
          <w:color w:val="FF0000"/>
          <w:sz w:val="28"/>
          <w:lang w:val="en-AU"/>
        </w:rPr>
      </w:pPr>
      <w:r w:rsidRPr="00A37634">
        <w:rPr>
          <w:rFonts w:ascii="Calibri" w:eastAsia="Times New Roman" w:hAnsi="Calibri" w:cs="Calibri"/>
          <w:b/>
          <w:color w:val="FF0000"/>
          <w:sz w:val="28"/>
          <w:lang w:val="en-AU"/>
        </w:rPr>
        <w:t>Activation Scenarios</w:t>
      </w:r>
    </w:p>
    <w:p w14:paraId="16FD0CF6" w14:textId="77777777" w:rsidR="00A37634" w:rsidRPr="00A37634" w:rsidRDefault="00A37634" w:rsidP="00A37634">
      <w:pPr>
        <w:spacing w:before="240" w:after="120" w:line="278" w:lineRule="auto"/>
        <w:rPr>
          <w:rFonts w:ascii="Calibri" w:eastAsia="Cambria" w:hAnsi="Calibri" w:cs="Calibri"/>
          <w:lang w:val="en-AU"/>
        </w:rPr>
      </w:pPr>
      <w:r w:rsidRPr="00A37634">
        <w:rPr>
          <w:rFonts w:ascii="Calibri" w:eastAsia="Cambria" w:hAnsi="Calibri" w:cs="Calibri"/>
          <w:lang w:val="en-AU"/>
        </w:rPr>
        <w:t xml:space="preserve">Three conditions must be satisfied for a product to be part of a utility DR program: it must comply with AS/NZS 4755, the DR capability must be activated by connection to a DRSPs communications platform and the consumer must agree to participate by accepting a DR contract. The mathematical product of these three factors – compliance rates, activation rates and participation rates – will give the number of appliances which participate in DR programs in any given year. </w:t>
      </w:r>
    </w:p>
    <w:p w14:paraId="04E70679"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 xml:space="preserve">For simplicity, participation rates are assumed to be the same as activation rates, but this is not necessarily so. Some products may be activated speculatively by the installer or builder, but the occupant may never be approached by a DRSP or may decline to participate. Alternatively, consumers may decide to participate but drop out later Energex reports a drop-out rate of less than 0.2% of about 100,000 air conditioners enrolled since the beginning of the </w:t>
      </w:r>
      <w:proofErr w:type="spellStart"/>
      <w:r w:rsidRPr="00A37634">
        <w:rPr>
          <w:rFonts w:ascii="Calibri" w:eastAsia="Cambria" w:hAnsi="Calibri" w:cs="Calibri"/>
          <w:lang w:val="en-AU"/>
        </w:rPr>
        <w:t>PeakSmart</w:t>
      </w:r>
      <w:proofErr w:type="spellEnd"/>
      <w:r w:rsidRPr="00A37634">
        <w:rPr>
          <w:rFonts w:ascii="Calibri" w:eastAsia="Cambria" w:hAnsi="Calibri" w:cs="Calibri"/>
          <w:lang w:val="en-AU"/>
        </w:rPr>
        <w:t xml:space="preserve"> program.</w:t>
      </w:r>
      <w:r w:rsidRPr="00A37634">
        <w:rPr>
          <w:rFonts w:ascii="Calibri" w:eastAsia="Cambria" w:hAnsi="Calibri" w:cs="Calibri"/>
          <w:vertAlign w:val="superscript"/>
          <w:lang w:val="en-AU"/>
        </w:rPr>
        <w:footnoteReference w:id="74"/>
      </w:r>
      <w:r w:rsidRPr="00A37634">
        <w:rPr>
          <w:rFonts w:ascii="Calibri" w:eastAsia="Cambria" w:hAnsi="Calibri" w:cs="Calibri"/>
          <w:lang w:val="en-AU"/>
        </w:rPr>
        <w:t xml:space="preserve"> </w:t>
      </w:r>
    </w:p>
    <w:p w14:paraId="2DEFFFEA"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 xml:space="preserve">It is assumed that activations can begin immediately. The 2013 Consultation RIS assumed that DR-capable products could not be activated in some jurisdictions until new communications platforms were established, and that it would not be economic for DRSPs to invest in these until the stock of compliant appliances reached a critical threshold, in the fourth year after the measure was introduced. Given the changes in AS/NZS 4755 and the near-universal access to the likely activation pathways (3G/4G/5G wireless and </w:t>
      </w:r>
      <w:proofErr w:type="spellStart"/>
      <w:r w:rsidRPr="00A37634">
        <w:rPr>
          <w:rFonts w:ascii="Calibri" w:eastAsia="Cambria" w:hAnsi="Calibri" w:cs="Calibri"/>
          <w:lang w:val="en-AU"/>
        </w:rPr>
        <w:t>WiFi</w:t>
      </w:r>
      <w:proofErr w:type="spellEnd"/>
      <w:r w:rsidRPr="00A37634">
        <w:rPr>
          <w:rFonts w:ascii="Calibri" w:eastAsia="Cambria" w:hAnsi="Calibri" w:cs="Calibri"/>
          <w:lang w:val="en-AU"/>
        </w:rPr>
        <w:t xml:space="preserve"> routers) such a delay is no longer technically necessary. </w:t>
      </w:r>
    </w:p>
    <w:p w14:paraId="2F7BE0C9" w14:textId="77777777" w:rsidR="00181136" w:rsidRPr="00181136" w:rsidRDefault="00A37634" w:rsidP="00181136">
      <w:pPr>
        <w:spacing w:before="120" w:after="120" w:line="278" w:lineRule="auto"/>
        <w:rPr>
          <w:rFonts w:ascii="Calibri" w:eastAsia="Calibri" w:hAnsi="Calibri" w:cs="Calibri"/>
          <w:lang w:val="en-AU"/>
        </w:rPr>
      </w:pPr>
      <w:r w:rsidRPr="00A37634">
        <w:rPr>
          <w:rFonts w:ascii="Calibri" w:eastAsia="Cambria" w:hAnsi="Calibri" w:cs="Calibri"/>
          <w:lang w:val="en-AU"/>
        </w:rPr>
        <w:t xml:space="preserve">High, Medium and Low activation scenarios have been modelled. </w:t>
      </w:r>
      <w:r w:rsidRPr="00A37634">
        <w:rPr>
          <w:rFonts w:ascii="Calibri" w:eastAsia="Cambria" w:hAnsi="Calibri" w:cs="Calibri"/>
          <w:lang w:val="en-AU"/>
        </w:rPr>
        <w:fldChar w:fldCharType="begin"/>
      </w:r>
      <w:r w:rsidRPr="00A37634">
        <w:rPr>
          <w:rFonts w:ascii="Calibri" w:eastAsia="Cambria" w:hAnsi="Calibri" w:cs="Calibri"/>
          <w:lang w:val="en-AU"/>
        </w:rPr>
        <w:instrText xml:space="preserve"> REF _Ref11699783 \h  \* MERGEFORMAT </w:instrText>
      </w:r>
      <w:r w:rsidRPr="00A37634">
        <w:rPr>
          <w:rFonts w:ascii="Calibri" w:eastAsia="Cambria" w:hAnsi="Calibri" w:cs="Calibri"/>
          <w:lang w:val="en-AU"/>
        </w:rPr>
      </w:r>
      <w:r w:rsidRPr="00A37634">
        <w:rPr>
          <w:rFonts w:ascii="Calibri" w:eastAsia="Cambria" w:hAnsi="Calibri" w:cs="Calibri"/>
          <w:lang w:val="en-AU"/>
        </w:rPr>
        <w:fldChar w:fldCharType="separate"/>
      </w:r>
    </w:p>
    <w:p w14:paraId="3E6B495A" w14:textId="77777777" w:rsidR="00181136" w:rsidRPr="00181136" w:rsidRDefault="00181136" w:rsidP="00181136">
      <w:pPr>
        <w:spacing w:before="120" w:after="120" w:line="278" w:lineRule="auto"/>
        <w:rPr>
          <w:rFonts w:ascii="Calibri" w:eastAsia="Calibri" w:hAnsi="Calibri" w:cs="Calibri"/>
          <w:noProof/>
          <w:lang w:val="en-AU"/>
        </w:rPr>
      </w:pPr>
    </w:p>
    <w:p w14:paraId="34E9D35E" w14:textId="77777777" w:rsidR="00181136" w:rsidRDefault="00181136" w:rsidP="00181136">
      <w:pPr>
        <w:spacing w:before="20" w:after="40" w:line="240" w:lineRule="auto"/>
        <w:jc w:val="center"/>
        <w:rPr>
          <w:rFonts w:ascii="Calibri" w:eastAsia="Cambria" w:hAnsi="Calibri" w:cs="Calibri"/>
          <w:b/>
          <w:bCs/>
          <w:sz w:val="20"/>
          <w:szCs w:val="16"/>
          <w:lang w:val="en-AU"/>
        </w:rPr>
      </w:pPr>
      <w:r>
        <w:rPr>
          <w:rFonts w:ascii="Calibri" w:eastAsia="Cambria" w:hAnsi="Calibri" w:cs="Calibri"/>
          <w:b/>
          <w:bCs/>
          <w:sz w:val="20"/>
          <w:szCs w:val="16"/>
          <w:lang w:val="en-AU"/>
        </w:rPr>
        <w:br w:type="page"/>
      </w:r>
    </w:p>
    <w:p w14:paraId="2C064B64" w14:textId="0CC1FA5D" w:rsidR="00A37634" w:rsidRPr="00A37634" w:rsidRDefault="00181136" w:rsidP="00A37634">
      <w:pPr>
        <w:spacing w:before="120" w:after="120" w:line="278" w:lineRule="auto"/>
        <w:rPr>
          <w:rFonts w:ascii="Calibri" w:eastAsia="Cambria" w:hAnsi="Calibri" w:cs="Calibri"/>
          <w:lang w:val="en-AU"/>
        </w:rPr>
      </w:pPr>
      <w:r w:rsidRPr="00A37634">
        <w:rPr>
          <w:rFonts w:ascii="Calibri" w:eastAsia="Cambria" w:hAnsi="Calibri" w:cs="Calibri"/>
          <w:b/>
          <w:bCs/>
          <w:sz w:val="20"/>
          <w:szCs w:val="16"/>
          <w:lang w:val="en-AU"/>
        </w:rPr>
        <w:t xml:space="preserve">Figure </w:t>
      </w:r>
      <w:r>
        <w:rPr>
          <w:rFonts w:ascii="Calibri" w:eastAsia="Cambria" w:hAnsi="Calibri" w:cs="Calibri"/>
          <w:b/>
          <w:bCs/>
          <w:noProof/>
          <w:sz w:val="20"/>
          <w:szCs w:val="16"/>
          <w:lang w:val="en-AU"/>
        </w:rPr>
        <w:t>7</w:t>
      </w:r>
      <w:r w:rsidR="00A37634" w:rsidRPr="00A37634">
        <w:rPr>
          <w:rFonts w:ascii="Calibri" w:eastAsia="Cambria" w:hAnsi="Calibri" w:cs="Calibri"/>
          <w:lang w:val="en-AU"/>
        </w:rPr>
        <w:fldChar w:fldCharType="end"/>
      </w:r>
      <w:r w:rsidR="00A37634" w:rsidRPr="00A37634">
        <w:rPr>
          <w:rFonts w:ascii="Calibri" w:eastAsia="Cambria" w:hAnsi="Calibri" w:cs="Calibri"/>
          <w:lang w:val="en-AU"/>
        </w:rPr>
        <w:t xml:space="preserve"> illustrates these scenarios for Australia as a whole, built up from separate projections for each jurisdiction. The plausibility of the scenarios can be tested against the actual experience with the take-up of AS/NZS 4755 ACs in the Energex supply area over the period 2012-2018. </w:t>
      </w:r>
    </w:p>
    <w:p w14:paraId="0886FAB9" w14:textId="106C95A0"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 xml:space="preserve">The Energex </w:t>
      </w:r>
      <w:proofErr w:type="spellStart"/>
      <w:r w:rsidRPr="00A37634">
        <w:rPr>
          <w:rFonts w:ascii="Calibri" w:eastAsia="Cambria" w:hAnsi="Calibri" w:cs="Calibri"/>
          <w:lang w:val="en-AU"/>
        </w:rPr>
        <w:t>PeakSmart</w:t>
      </w:r>
      <w:proofErr w:type="spellEnd"/>
      <w:r w:rsidRPr="00A37634">
        <w:rPr>
          <w:rFonts w:ascii="Calibri" w:eastAsia="Cambria" w:hAnsi="Calibri" w:cs="Calibri"/>
          <w:lang w:val="en-AU"/>
        </w:rPr>
        <w:t xml:space="preserve"> program only incentivised activation at the time of installation, not post-installation, and only for split unit and ducted ACs up to 10 kW cooling capacity (not 19kW). It is possible to estimate the total number of the target range of ACs that would have been sold in the Energex supply area, given that Energex serves about 61% of the Queensland population.</w:t>
      </w:r>
      <w:r w:rsidRPr="00A37634">
        <w:rPr>
          <w:rFonts w:ascii="Calibri" w:eastAsia="Cambria" w:hAnsi="Calibri" w:cs="Calibri"/>
          <w:vertAlign w:val="superscript"/>
          <w:lang w:val="en-AU"/>
        </w:rPr>
        <w:footnoteReference w:id="75"/>
      </w:r>
      <w:r w:rsidRPr="00A37634">
        <w:rPr>
          <w:rFonts w:ascii="Calibri" w:eastAsia="Cambria" w:hAnsi="Calibri" w:cs="Calibri"/>
          <w:lang w:val="en-AU"/>
        </w:rPr>
        <w:t xml:space="preserve">  Comparing the number of </w:t>
      </w:r>
      <w:proofErr w:type="spellStart"/>
      <w:r w:rsidRPr="00A37634">
        <w:rPr>
          <w:rFonts w:ascii="Calibri" w:eastAsia="Cambria" w:hAnsi="Calibri" w:cs="Calibri"/>
          <w:lang w:val="en-AU"/>
        </w:rPr>
        <w:t>PeakSmart</w:t>
      </w:r>
      <w:proofErr w:type="spellEnd"/>
      <w:r w:rsidRPr="00A37634">
        <w:rPr>
          <w:rFonts w:ascii="Calibri" w:eastAsia="Cambria" w:hAnsi="Calibri" w:cs="Calibri"/>
          <w:lang w:val="en-AU"/>
        </w:rPr>
        <w:t xml:space="preserve"> incentives paid each year with the number of ACs of the target type sold in the same region indicates activation-on-installation rates significantly higher than the High rate used in the cost-benefit analysis (</w:t>
      </w:r>
      <w:r w:rsidRPr="0061405B">
        <w:rPr>
          <w:rFonts w:ascii="Calibri" w:eastAsia="Cambria" w:hAnsi="Calibri" w:cs="Calibri"/>
          <w:b/>
          <w:lang w:val="en-AU"/>
        </w:rPr>
        <w:fldChar w:fldCharType="begin"/>
      </w:r>
      <w:r w:rsidRPr="0061405B">
        <w:rPr>
          <w:rFonts w:ascii="Calibri" w:eastAsia="Cambria" w:hAnsi="Calibri" w:cs="Calibri"/>
          <w:b/>
          <w:lang w:val="en-AU"/>
        </w:rPr>
        <w:instrText xml:space="preserve"> REF _Ref12982313 \h  \* MERGEFORMAT </w:instrText>
      </w:r>
      <w:r w:rsidRPr="0061405B">
        <w:rPr>
          <w:rFonts w:ascii="Calibri" w:eastAsia="Cambria" w:hAnsi="Calibri" w:cs="Calibri"/>
          <w:b/>
          <w:lang w:val="en-AU"/>
        </w:rPr>
      </w:r>
      <w:r w:rsidRPr="0061405B">
        <w:rPr>
          <w:rFonts w:ascii="Calibri" w:eastAsia="Cambria" w:hAnsi="Calibri" w:cs="Calibri"/>
          <w:b/>
          <w:lang w:val="en-AU"/>
        </w:rPr>
        <w:fldChar w:fldCharType="separate"/>
      </w:r>
      <w:r w:rsidR="00181136" w:rsidRPr="00181136">
        <w:rPr>
          <w:rFonts w:ascii="Calibri" w:eastAsia="Cambria" w:hAnsi="Calibri" w:cs="Calibri"/>
          <w:b/>
          <w:lang w:val="en-AU"/>
        </w:rPr>
        <w:t xml:space="preserve">Figure </w:t>
      </w:r>
      <w:r w:rsidR="00181136" w:rsidRPr="00181136">
        <w:rPr>
          <w:rFonts w:ascii="Calibri" w:eastAsia="Cambria" w:hAnsi="Calibri" w:cs="Calibri"/>
          <w:b/>
          <w:noProof/>
          <w:lang w:val="en-AU"/>
        </w:rPr>
        <w:t>10</w:t>
      </w:r>
      <w:r w:rsidRPr="0061405B">
        <w:rPr>
          <w:rFonts w:ascii="Calibri" w:eastAsia="Cambria" w:hAnsi="Calibri" w:cs="Calibri"/>
          <w:b/>
          <w:lang w:val="en-AU"/>
        </w:rPr>
        <w:fldChar w:fldCharType="end"/>
      </w:r>
      <w:r w:rsidRPr="00A37634">
        <w:rPr>
          <w:rFonts w:ascii="Calibri" w:eastAsia="Cambria" w:hAnsi="Calibri" w:cs="Calibri"/>
          <w:lang w:val="en-AU"/>
        </w:rPr>
        <w:t xml:space="preserve">). The actual rate reached 22% in the sixth year of the program, compared with a projection of 13% for Queensland in the sixth year after mandating of AS/NZS 4755, and 8% in other jurisdictions. Neither </w:t>
      </w:r>
      <w:proofErr w:type="spellStart"/>
      <w:r w:rsidRPr="00A37634">
        <w:rPr>
          <w:rFonts w:ascii="Calibri" w:eastAsia="Cambria" w:hAnsi="Calibri" w:cs="Calibri"/>
          <w:lang w:val="en-AU"/>
        </w:rPr>
        <w:t>PeakSmart</w:t>
      </w:r>
      <w:proofErr w:type="spellEnd"/>
      <w:r w:rsidRPr="00A37634">
        <w:rPr>
          <w:rFonts w:ascii="Calibri" w:eastAsia="Cambria" w:hAnsi="Calibri" w:cs="Calibri"/>
          <w:lang w:val="en-AU"/>
        </w:rPr>
        <w:t xml:space="preserve"> nor other does program offers incentives for post-installation activations of AS/NZS 4755 products, so it is not possible to test those assumptions against actual data.</w:t>
      </w:r>
      <w:r w:rsidRPr="00A37634">
        <w:rPr>
          <w:rFonts w:ascii="Calibri" w:eastAsia="Cambria" w:hAnsi="Calibri" w:cs="Calibri"/>
          <w:vertAlign w:val="superscript"/>
          <w:lang w:val="en-AU"/>
        </w:rPr>
        <w:footnoteReference w:id="76"/>
      </w:r>
      <w:r w:rsidRPr="00A37634">
        <w:rPr>
          <w:rFonts w:ascii="Calibri" w:eastAsia="Cambria" w:hAnsi="Calibri" w:cs="Calibri"/>
          <w:lang w:val="en-AU"/>
        </w:rPr>
        <w:t xml:space="preserve">  </w:t>
      </w:r>
    </w:p>
    <w:p w14:paraId="3D4D31F2" w14:textId="5CA87794" w:rsidR="00A37634" w:rsidRPr="002F0C41" w:rsidRDefault="00A37634" w:rsidP="00A37634">
      <w:pPr>
        <w:spacing w:before="120" w:after="120" w:line="278" w:lineRule="auto"/>
        <w:rPr>
          <w:rFonts w:ascii="Calibri" w:eastAsia="Cambria" w:hAnsi="Calibri" w:cs="Calibri"/>
          <w:b/>
          <w:bCs/>
          <w:sz w:val="20"/>
          <w:szCs w:val="16"/>
          <w:lang w:val="en-AU"/>
        </w:rPr>
      </w:pPr>
      <w:r w:rsidRPr="00A37634">
        <w:rPr>
          <w:rFonts w:ascii="Calibri" w:eastAsia="Cambria" w:hAnsi="Calibri" w:cs="Calibri"/>
          <w:lang w:val="en-AU"/>
        </w:rPr>
        <w:t xml:space="preserve">The number of total annual AC activations required to achieve the Medium take-up rates in </w:t>
      </w:r>
      <w:r w:rsidR="003B5729" w:rsidRPr="003B5729">
        <w:rPr>
          <w:rFonts w:ascii="Calibri" w:eastAsia="Cambria" w:hAnsi="Calibri" w:cs="Calibri"/>
          <w:b/>
          <w:lang w:val="en-AU"/>
        </w:rPr>
        <w:t>Figure 7</w:t>
      </w:r>
      <w:r w:rsidR="00C8152C">
        <w:rPr>
          <w:rFonts w:ascii="Calibri" w:eastAsia="Cambria" w:hAnsi="Calibri" w:cs="Calibri"/>
          <w:b/>
          <w:lang w:val="en-AU"/>
        </w:rPr>
        <w:t xml:space="preserve"> </w:t>
      </w:r>
      <w:r w:rsidRPr="00A37634">
        <w:rPr>
          <w:rFonts w:ascii="Calibri" w:eastAsia="Cambria" w:hAnsi="Calibri" w:cs="Calibri"/>
          <w:lang w:val="en-AU"/>
        </w:rPr>
        <w:t xml:space="preserve">are illustrated in </w:t>
      </w:r>
      <w:r w:rsidRPr="00E401CD">
        <w:rPr>
          <w:rFonts w:ascii="Calibri" w:eastAsia="Cambria" w:hAnsi="Calibri" w:cs="Calibri"/>
          <w:b/>
          <w:lang w:val="en-AU"/>
        </w:rPr>
        <w:fldChar w:fldCharType="begin"/>
      </w:r>
      <w:r w:rsidRPr="00E401CD">
        <w:rPr>
          <w:rFonts w:ascii="Calibri" w:eastAsia="Cambria" w:hAnsi="Calibri" w:cs="Calibri"/>
          <w:b/>
          <w:lang w:val="en-AU"/>
        </w:rPr>
        <w:instrText xml:space="preserve"> REF _Ref12983373 \h  \* MERGEFORMAT </w:instrText>
      </w:r>
      <w:r w:rsidRPr="00E401CD">
        <w:rPr>
          <w:rFonts w:ascii="Calibri" w:eastAsia="Cambria" w:hAnsi="Calibri" w:cs="Calibri"/>
          <w:b/>
          <w:lang w:val="en-AU"/>
        </w:rPr>
      </w:r>
      <w:r w:rsidRPr="00E401CD">
        <w:rPr>
          <w:rFonts w:ascii="Calibri" w:eastAsia="Cambria" w:hAnsi="Calibri" w:cs="Calibri"/>
          <w:b/>
          <w:lang w:val="en-AU"/>
        </w:rPr>
        <w:fldChar w:fldCharType="separate"/>
      </w:r>
      <w:r w:rsidR="00181136" w:rsidRPr="00181136">
        <w:rPr>
          <w:rFonts w:ascii="Calibri" w:eastAsia="Calibri" w:hAnsi="Calibri" w:cs="Calibri"/>
          <w:b/>
          <w:lang w:val="en-AU"/>
        </w:rPr>
        <w:t>Figure</w:t>
      </w:r>
      <w:r w:rsidR="00181136" w:rsidRPr="00181136">
        <w:rPr>
          <w:rFonts w:ascii="Calibri" w:eastAsia="Calibri" w:hAnsi="Calibri" w:cs="Calibri"/>
          <w:b/>
          <w:noProof/>
          <w:lang w:val="en-AU"/>
        </w:rPr>
        <w:t xml:space="preserve"> </w:t>
      </w:r>
      <w:r w:rsidR="00181136" w:rsidRPr="00181136">
        <w:rPr>
          <w:rFonts w:ascii="Calibri" w:eastAsia="Calibri" w:hAnsi="Calibri" w:cs="Calibri"/>
          <w:b/>
          <w:noProof/>
          <w:szCs w:val="20"/>
          <w:lang w:val="en-AU"/>
        </w:rPr>
        <w:t>11</w:t>
      </w:r>
      <w:r w:rsidRPr="00E401CD">
        <w:rPr>
          <w:rFonts w:ascii="Calibri" w:eastAsia="Cambria" w:hAnsi="Calibri" w:cs="Calibri"/>
          <w:b/>
          <w:lang w:val="en-AU"/>
        </w:rPr>
        <w:fldChar w:fldCharType="end"/>
      </w:r>
      <w:r w:rsidRPr="00A37634">
        <w:rPr>
          <w:rFonts w:ascii="Calibri" w:eastAsia="Cambria" w:hAnsi="Calibri" w:cs="Calibri"/>
          <w:lang w:val="en-AU"/>
        </w:rPr>
        <w:t>. Activations on installation are shown separately from post-installation activations. The trends depart from smooth curves in the out years due to internal consistency checks (i.e. annual activations can never exceed the “non-activated pool” in any given year). By the 2030s, annual AC activations in Australia would be about 320,000 per year. Annual AC sales are projected to reach 1.03 million in 2035, and the total AC stock is projected to reach 13.9 million. In this context, the projected activation rates seem feasible.</w:t>
      </w:r>
    </w:p>
    <w:p w14:paraId="5581E73B" w14:textId="55361684"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118" w:name="_Ref12982313"/>
      <w:bookmarkStart w:id="119" w:name="_Toc16500987"/>
      <w:bookmarkStart w:id="120" w:name="_Hlk12983113"/>
      <w:r w:rsidRPr="00A37634">
        <w:rPr>
          <w:rFonts w:ascii="Calibri" w:eastAsia="Cambria" w:hAnsi="Calibri" w:cs="Calibri"/>
          <w:b/>
          <w:bCs/>
          <w:sz w:val="20"/>
          <w:szCs w:val="16"/>
          <w:lang w:val="en-AU"/>
        </w:rPr>
        <w:t xml:space="preserve">Figure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Figure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10</w:t>
      </w:r>
      <w:r w:rsidRPr="00A37634">
        <w:rPr>
          <w:rFonts w:ascii="Calibri" w:eastAsia="Cambria" w:hAnsi="Calibri" w:cs="Calibri"/>
          <w:b/>
          <w:bCs/>
          <w:noProof/>
          <w:sz w:val="20"/>
          <w:szCs w:val="16"/>
          <w:lang w:val="en-AU"/>
        </w:rPr>
        <w:fldChar w:fldCharType="end"/>
      </w:r>
      <w:bookmarkEnd w:id="118"/>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High install-activation rate projections vs actual </w:t>
      </w:r>
      <w:proofErr w:type="spellStart"/>
      <w:r w:rsidRPr="00A37634">
        <w:rPr>
          <w:rFonts w:ascii="Calibri" w:eastAsia="Cambria" w:hAnsi="Calibri" w:cs="Calibri"/>
          <w:b/>
          <w:bCs/>
          <w:sz w:val="20"/>
          <w:szCs w:val="16"/>
          <w:lang w:val="en-AU"/>
        </w:rPr>
        <w:t>PeakSmart</w:t>
      </w:r>
      <w:proofErr w:type="spellEnd"/>
      <w:r w:rsidRPr="00A37634">
        <w:rPr>
          <w:rFonts w:ascii="Calibri" w:eastAsia="Cambria" w:hAnsi="Calibri" w:cs="Calibri"/>
          <w:b/>
          <w:bCs/>
          <w:sz w:val="20"/>
          <w:szCs w:val="16"/>
          <w:lang w:val="en-AU"/>
        </w:rPr>
        <w:t xml:space="preserve"> activation rates</w:t>
      </w:r>
      <w:bookmarkEnd w:id="119"/>
      <w:r w:rsidRPr="00A37634">
        <w:rPr>
          <w:rFonts w:ascii="Calibri" w:eastAsia="Cambria" w:hAnsi="Calibri" w:cs="Calibri"/>
          <w:b/>
          <w:bCs/>
          <w:sz w:val="20"/>
          <w:szCs w:val="16"/>
          <w:lang w:val="en-AU"/>
        </w:rPr>
        <w:t xml:space="preserve"> </w:t>
      </w:r>
    </w:p>
    <w:bookmarkEnd w:id="120"/>
    <w:p w14:paraId="7390A5DC" w14:textId="77777777" w:rsidR="00A37634" w:rsidRPr="00A37634" w:rsidRDefault="00A37634" w:rsidP="00A37634">
      <w:pPr>
        <w:spacing w:after="120" w:line="276" w:lineRule="auto"/>
        <w:jc w:val="center"/>
        <w:rPr>
          <w:rFonts w:ascii="Calibri" w:eastAsia="Calibri" w:hAnsi="Calibri" w:cs="Calibri"/>
          <w:szCs w:val="20"/>
          <w:lang w:val="en-AU"/>
        </w:rPr>
      </w:pPr>
      <w:r w:rsidRPr="00A37634">
        <w:rPr>
          <w:rFonts w:ascii="Calibri" w:eastAsia="Calibri" w:hAnsi="Calibri" w:cs="Calibri"/>
          <w:noProof/>
          <w:szCs w:val="20"/>
          <w:lang w:val="en-AU" w:eastAsia="en-AU"/>
        </w:rPr>
        <w:drawing>
          <wp:inline distT="0" distB="0" distL="0" distR="0" wp14:anchorId="7E0F8FCF" wp14:editId="658868A5">
            <wp:extent cx="3819525" cy="2776084"/>
            <wp:effectExtent l="19050" t="19050" r="9525" b="24765"/>
            <wp:docPr id="13" name="Picture 13"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42508" cy="2792788"/>
                    </a:xfrm>
                    <a:prstGeom prst="rect">
                      <a:avLst/>
                    </a:prstGeom>
                    <a:noFill/>
                    <a:ln>
                      <a:solidFill>
                        <a:sysClr val="windowText" lastClr="000000"/>
                      </a:solidFill>
                    </a:ln>
                  </pic:spPr>
                </pic:pic>
              </a:graphicData>
            </a:graphic>
          </wp:inline>
        </w:drawing>
      </w:r>
    </w:p>
    <w:p w14:paraId="0F37EA8D" w14:textId="77777777" w:rsidR="00A37634" w:rsidRPr="00A37634" w:rsidRDefault="00A37634" w:rsidP="00A37634">
      <w:pPr>
        <w:spacing w:after="120" w:line="276" w:lineRule="auto"/>
        <w:jc w:val="center"/>
        <w:rPr>
          <w:rFonts w:ascii="Calibri" w:eastAsia="Cambria" w:hAnsi="Calibri" w:cs="Calibri"/>
          <w:sz w:val="16"/>
          <w:szCs w:val="16"/>
          <w:lang w:val="en-AU"/>
        </w:rPr>
      </w:pPr>
      <w:r w:rsidRPr="00A37634">
        <w:rPr>
          <w:rFonts w:ascii="Calibri" w:eastAsia="Cambria" w:hAnsi="Calibri" w:cs="Calibri"/>
          <w:sz w:val="16"/>
          <w:szCs w:val="16"/>
          <w:lang w:val="en-AU"/>
        </w:rPr>
        <w:t xml:space="preserve">Source: Author estimate based on personal communications from Energex, May 2019. The same rates are projected for all jurisdictions other than Queensland, so their </w:t>
      </w:r>
      <w:proofErr w:type="spellStart"/>
      <w:r w:rsidRPr="00A37634">
        <w:rPr>
          <w:rFonts w:ascii="Calibri" w:eastAsia="Cambria" w:hAnsi="Calibri" w:cs="Calibri"/>
          <w:sz w:val="16"/>
          <w:szCs w:val="16"/>
          <w:lang w:val="en-AU"/>
        </w:rPr>
        <w:t>trendlines</w:t>
      </w:r>
      <w:proofErr w:type="spellEnd"/>
      <w:r w:rsidRPr="00A37634">
        <w:rPr>
          <w:rFonts w:ascii="Calibri" w:eastAsia="Cambria" w:hAnsi="Calibri" w:cs="Calibri"/>
          <w:sz w:val="16"/>
          <w:szCs w:val="16"/>
          <w:lang w:val="en-AU"/>
        </w:rPr>
        <w:t xml:space="preserve"> are superimposed. </w:t>
      </w:r>
    </w:p>
    <w:p w14:paraId="6F2DDFFD" w14:textId="77777777" w:rsidR="00A37634" w:rsidRPr="00A37634" w:rsidRDefault="00A37634" w:rsidP="00A37634">
      <w:pPr>
        <w:spacing w:after="120" w:line="276" w:lineRule="auto"/>
        <w:rPr>
          <w:rFonts w:ascii="Calibri" w:eastAsia="Calibri" w:hAnsi="Calibri" w:cs="Calibri"/>
          <w:szCs w:val="20"/>
          <w:lang w:val="en-AU"/>
        </w:rPr>
      </w:pPr>
    </w:p>
    <w:p w14:paraId="4DF6D2AA" w14:textId="65831095"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121" w:name="_Ref12983373"/>
      <w:bookmarkStart w:id="122" w:name="_Toc16500988"/>
      <w:r w:rsidRPr="00A37634">
        <w:rPr>
          <w:rFonts w:ascii="Calibri" w:eastAsia="Cambria" w:hAnsi="Calibri" w:cs="Calibri"/>
          <w:b/>
          <w:bCs/>
          <w:sz w:val="20"/>
          <w:szCs w:val="16"/>
          <w:lang w:val="en-AU"/>
        </w:rPr>
        <w:t xml:space="preserve">Figure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Figure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11</w:t>
      </w:r>
      <w:r w:rsidRPr="00A37634">
        <w:rPr>
          <w:rFonts w:ascii="Calibri" w:eastAsia="Cambria" w:hAnsi="Calibri" w:cs="Calibri"/>
          <w:b/>
          <w:bCs/>
          <w:noProof/>
          <w:sz w:val="20"/>
          <w:szCs w:val="16"/>
          <w:lang w:val="en-AU"/>
        </w:rPr>
        <w:fldChar w:fldCharType="end"/>
      </w:r>
      <w:bookmarkEnd w:id="121"/>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Number of installation and post-installation air conditioner activations, medium activation rates</w:t>
      </w:r>
      <w:bookmarkEnd w:id="122"/>
    </w:p>
    <w:p w14:paraId="10FC9103" w14:textId="77777777" w:rsidR="00A37634" w:rsidRPr="00A37634" w:rsidRDefault="00A37634" w:rsidP="00A37634">
      <w:pPr>
        <w:spacing w:before="20" w:after="40" w:line="240" w:lineRule="auto"/>
        <w:jc w:val="center"/>
        <w:rPr>
          <w:rFonts w:ascii="Calibri" w:eastAsia="Cambria" w:hAnsi="Calibri" w:cs="Calibri"/>
          <w:b/>
          <w:bCs/>
          <w:sz w:val="20"/>
          <w:szCs w:val="16"/>
          <w:lang w:val="en-AU"/>
        </w:rPr>
      </w:pPr>
      <w:r w:rsidRPr="00A37634">
        <w:rPr>
          <w:rFonts w:ascii="Calibri" w:eastAsia="Cambria" w:hAnsi="Calibri" w:cs="Calibri"/>
          <w:b/>
          <w:bCs/>
          <w:sz w:val="20"/>
          <w:szCs w:val="16"/>
          <w:lang w:val="en-AU"/>
        </w:rPr>
        <w:t xml:space="preserve"> </w:t>
      </w:r>
      <w:r w:rsidRPr="00A37634">
        <w:rPr>
          <w:rFonts w:ascii="Calibri" w:eastAsia="Cambria" w:hAnsi="Calibri" w:cs="Calibri"/>
          <w:b/>
          <w:bCs/>
          <w:noProof/>
          <w:sz w:val="20"/>
          <w:szCs w:val="16"/>
          <w:lang w:val="en-AU" w:eastAsia="en-AU"/>
        </w:rPr>
        <w:drawing>
          <wp:inline distT="0" distB="0" distL="0" distR="0" wp14:anchorId="275AFEEE" wp14:editId="3D23727C">
            <wp:extent cx="3790950" cy="2758125"/>
            <wp:effectExtent l="0" t="0" r="0" b="4445"/>
            <wp:docPr id="18" name="Picture 18"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4263" cy="2767811"/>
                    </a:xfrm>
                    <a:prstGeom prst="rect">
                      <a:avLst/>
                    </a:prstGeom>
                    <a:noFill/>
                  </pic:spPr>
                </pic:pic>
              </a:graphicData>
            </a:graphic>
          </wp:inline>
        </w:drawing>
      </w:r>
    </w:p>
    <w:p w14:paraId="4453DDFB" w14:textId="2ED02BF8" w:rsidR="00A37634" w:rsidRPr="00A37634" w:rsidRDefault="00A37634" w:rsidP="00A37634">
      <w:pPr>
        <w:keepNext/>
        <w:keepLines/>
        <w:spacing w:before="240" w:after="240" w:line="278" w:lineRule="auto"/>
        <w:outlineLvl w:val="4"/>
        <w:rPr>
          <w:rFonts w:ascii="Calibri" w:eastAsia="Times New Roman" w:hAnsi="Calibri" w:cs="Calibri"/>
          <w:b/>
          <w:color w:val="FF0000"/>
          <w:sz w:val="28"/>
          <w:lang w:val="en-AU"/>
        </w:rPr>
      </w:pPr>
      <w:r w:rsidRPr="00A37634">
        <w:rPr>
          <w:rFonts w:ascii="Calibri" w:eastAsia="Times New Roman" w:hAnsi="Calibri" w:cs="Calibri"/>
          <w:b/>
          <w:color w:val="FF0000"/>
          <w:sz w:val="28"/>
          <w:lang w:val="en-AU"/>
        </w:rPr>
        <w:t xml:space="preserve">Projected Demand Reductions </w:t>
      </w:r>
    </w:p>
    <w:p w14:paraId="6077C15F" w14:textId="77777777" w:rsidR="00A37634" w:rsidRPr="00A37634" w:rsidRDefault="00A37634" w:rsidP="00A37634">
      <w:pPr>
        <w:spacing w:before="240" w:after="120" w:line="278" w:lineRule="auto"/>
        <w:rPr>
          <w:rFonts w:ascii="Calibri" w:eastAsia="Cambria" w:hAnsi="Calibri" w:cs="Calibri"/>
          <w:lang w:val="en-AU"/>
        </w:rPr>
      </w:pPr>
      <w:r w:rsidRPr="00A37634">
        <w:rPr>
          <w:rFonts w:ascii="Calibri" w:eastAsia="Cambria" w:hAnsi="Calibri" w:cs="Calibri"/>
          <w:lang w:val="en-AU"/>
        </w:rPr>
        <w:t>There are three ways to estimate the potential impact of DR:</w:t>
      </w:r>
    </w:p>
    <w:p w14:paraId="6D423585" w14:textId="77777777" w:rsidR="00A37634" w:rsidRPr="00A37634" w:rsidRDefault="00A37634" w:rsidP="00A37634">
      <w:pPr>
        <w:numPr>
          <w:ilvl w:val="0"/>
          <w:numId w:val="24"/>
        </w:numPr>
        <w:spacing w:before="120" w:after="120" w:line="278" w:lineRule="auto"/>
        <w:contextualSpacing/>
        <w:rPr>
          <w:rFonts w:ascii="Calibri" w:eastAsia="Cambria" w:hAnsi="Calibri" w:cs="Calibri"/>
          <w:lang w:val="en-AU"/>
        </w:rPr>
      </w:pPr>
      <w:r w:rsidRPr="00A37634">
        <w:rPr>
          <w:rFonts w:ascii="Calibri" w:eastAsia="Cambria" w:hAnsi="Calibri" w:cs="Calibri"/>
          <w:lang w:val="en-AU"/>
        </w:rPr>
        <w:t xml:space="preserve">The theoretical maximum electricity load of all activated appliances, as if all were switched on and operating at maximum capacity during a DR event, or (for DRM 4) if all were off and switched on; </w:t>
      </w:r>
    </w:p>
    <w:p w14:paraId="200C319E" w14:textId="4FE6D4F2" w:rsidR="00A37634" w:rsidRPr="00A37634" w:rsidRDefault="00A37634" w:rsidP="00A37634">
      <w:pPr>
        <w:numPr>
          <w:ilvl w:val="0"/>
          <w:numId w:val="24"/>
        </w:numPr>
        <w:spacing w:before="120" w:after="120" w:line="278" w:lineRule="auto"/>
        <w:contextualSpacing/>
        <w:rPr>
          <w:rFonts w:ascii="Calibri" w:eastAsia="Cambria" w:hAnsi="Calibri" w:cs="Calibri"/>
          <w:lang w:val="en-AU"/>
        </w:rPr>
      </w:pPr>
      <w:r w:rsidRPr="00A37634">
        <w:rPr>
          <w:rFonts w:ascii="Calibri" w:eastAsia="Cambria" w:hAnsi="Calibri" w:cs="Calibri"/>
          <w:lang w:val="en-AU"/>
        </w:rPr>
        <w:t xml:space="preserve">The emergency load available for DR, i.e. the </w:t>
      </w:r>
      <w:proofErr w:type="spellStart"/>
      <w:r w:rsidRPr="00A37634">
        <w:rPr>
          <w:rFonts w:ascii="Calibri" w:eastAsia="Cambria" w:hAnsi="Calibri" w:cs="Calibri"/>
          <w:lang w:val="en-AU"/>
        </w:rPr>
        <w:t>MWe</w:t>
      </w:r>
      <w:proofErr w:type="spellEnd"/>
      <w:r w:rsidRPr="00A37634">
        <w:rPr>
          <w:rFonts w:ascii="Calibri" w:eastAsia="Cambria" w:hAnsi="Calibri" w:cs="Calibri"/>
          <w:lang w:val="en-AU"/>
        </w:rPr>
        <w:t xml:space="preserve"> at full output multiplied by the probability of that product being on and drawing energy at the time of peak demand (the “Diversified curtailable kW per activated unit” in </w:t>
      </w:r>
      <w:r w:rsidRPr="000516A3">
        <w:rPr>
          <w:rFonts w:ascii="Calibri" w:eastAsia="Cambria" w:hAnsi="Calibri" w:cs="Calibri"/>
          <w:b/>
          <w:lang w:val="en-AU"/>
        </w:rPr>
        <w:fldChar w:fldCharType="begin"/>
      </w:r>
      <w:r w:rsidRPr="000516A3">
        <w:rPr>
          <w:rFonts w:ascii="Calibri" w:eastAsia="Cambria" w:hAnsi="Calibri" w:cs="Calibri"/>
          <w:b/>
          <w:lang w:val="en-AU"/>
        </w:rPr>
        <w:instrText xml:space="preserve"> REF _Ref277589877 \h  \* MERGEFORMAT </w:instrText>
      </w:r>
      <w:r w:rsidRPr="000516A3">
        <w:rPr>
          <w:rFonts w:ascii="Calibri" w:eastAsia="Cambria" w:hAnsi="Calibri" w:cs="Calibri"/>
          <w:b/>
          <w:lang w:val="en-AU"/>
        </w:rPr>
      </w:r>
      <w:r w:rsidRPr="000516A3">
        <w:rPr>
          <w:rFonts w:ascii="Calibri" w:eastAsia="Cambria" w:hAnsi="Calibri" w:cs="Calibri"/>
          <w:b/>
          <w:lang w:val="en-AU"/>
        </w:rPr>
        <w:fldChar w:fldCharType="separate"/>
      </w:r>
      <w:r w:rsidR="00181136" w:rsidRPr="00181136">
        <w:rPr>
          <w:rFonts w:ascii="Calibri" w:eastAsia="Cambria" w:hAnsi="Calibri" w:cs="Calibri"/>
          <w:b/>
          <w:lang w:val="en-AU"/>
        </w:rPr>
        <w:t xml:space="preserve">Table </w:t>
      </w:r>
      <w:r w:rsidR="00181136" w:rsidRPr="00181136">
        <w:rPr>
          <w:rFonts w:ascii="Calibri" w:eastAsia="Cambria" w:hAnsi="Calibri" w:cs="Calibri"/>
          <w:b/>
          <w:noProof/>
          <w:lang w:val="en-AU"/>
        </w:rPr>
        <w:t>15</w:t>
      </w:r>
      <w:r w:rsidRPr="000516A3">
        <w:rPr>
          <w:rFonts w:ascii="Calibri" w:eastAsia="Cambria" w:hAnsi="Calibri" w:cs="Calibri"/>
          <w:b/>
          <w:lang w:val="en-AU"/>
        </w:rPr>
        <w:fldChar w:fldCharType="end"/>
      </w:r>
      <w:r w:rsidRPr="00A37634">
        <w:rPr>
          <w:rFonts w:ascii="Calibri" w:eastAsia="Cambria" w:hAnsi="Calibri" w:cs="Calibri"/>
          <w:lang w:val="en-AU"/>
        </w:rPr>
        <w:t xml:space="preserve">). This corresponds to the total load reduction from issuing DRM 1 commands to all activated products during SMD or WMD; </w:t>
      </w:r>
    </w:p>
    <w:p w14:paraId="0ED84F72" w14:textId="77777777" w:rsidR="00A37634" w:rsidRPr="00A37634" w:rsidRDefault="00A37634" w:rsidP="00A37634">
      <w:pPr>
        <w:numPr>
          <w:ilvl w:val="0"/>
          <w:numId w:val="24"/>
        </w:numPr>
        <w:spacing w:before="120" w:after="120" w:line="278" w:lineRule="auto"/>
        <w:contextualSpacing/>
        <w:rPr>
          <w:rFonts w:ascii="Calibri" w:eastAsia="Cambria" w:hAnsi="Calibri" w:cs="Calibri"/>
          <w:lang w:val="en-AU"/>
        </w:rPr>
      </w:pPr>
      <w:r w:rsidRPr="00A37634">
        <w:rPr>
          <w:rFonts w:ascii="Calibri" w:eastAsia="Cambria" w:hAnsi="Calibri" w:cs="Calibri"/>
          <w:lang w:val="en-AU"/>
        </w:rPr>
        <w:t xml:space="preserve">The routine DR load available. DRSPs will usually issue DRM 2 commands to ACs during non-emergency DR events, so consumers still get cooling or heating at reduced levels. The DRM 2 load reductions are used to calculate benefits of the proposal. This understates the likely value, since DRM 1 would be acceptable for pool pumps, water heaters and EV chargers. </w:t>
      </w:r>
    </w:p>
    <w:p w14:paraId="1B6C821D" w14:textId="0628723B" w:rsidR="00A37634" w:rsidRPr="00A37634" w:rsidRDefault="00A37634" w:rsidP="00A37634">
      <w:pPr>
        <w:spacing w:before="120" w:after="120" w:line="278" w:lineRule="auto"/>
        <w:rPr>
          <w:rFonts w:ascii="Calibri" w:eastAsia="Cambria" w:hAnsi="Calibri" w:cs="Calibri"/>
          <w:lang w:val="en-AU"/>
        </w:rPr>
      </w:pPr>
      <w:r w:rsidRPr="009A41E4">
        <w:rPr>
          <w:rFonts w:ascii="Calibri" w:eastAsia="Cambria" w:hAnsi="Calibri" w:cs="Calibri"/>
          <w:b/>
          <w:lang w:val="en-AU"/>
        </w:rPr>
        <w:fldChar w:fldCharType="begin"/>
      </w:r>
      <w:r w:rsidRPr="009A41E4">
        <w:rPr>
          <w:rFonts w:ascii="Calibri" w:eastAsia="Cambria" w:hAnsi="Calibri" w:cs="Calibri"/>
          <w:b/>
          <w:lang w:val="en-AU"/>
        </w:rPr>
        <w:instrText xml:space="preserve"> REF _Ref13034848 \h  \* MERGEFORMAT </w:instrText>
      </w:r>
      <w:r w:rsidRPr="009A41E4">
        <w:rPr>
          <w:rFonts w:ascii="Calibri" w:eastAsia="Cambria" w:hAnsi="Calibri" w:cs="Calibri"/>
          <w:b/>
          <w:lang w:val="en-AU"/>
        </w:rPr>
      </w:r>
      <w:r w:rsidRPr="009A41E4">
        <w:rPr>
          <w:rFonts w:ascii="Calibri" w:eastAsia="Cambria" w:hAnsi="Calibri" w:cs="Calibri"/>
          <w:b/>
          <w:lang w:val="en-AU"/>
        </w:rPr>
        <w:fldChar w:fldCharType="separate"/>
      </w:r>
      <w:r w:rsidR="00181136" w:rsidRPr="00181136">
        <w:rPr>
          <w:rFonts w:ascii="Calibri" w:eastAsia="Calibri" w:hAnsi="Calibri" w:cs="Calibri"/>
          <w:b/>
          <w:lang w:val="en-AU"/>
        </w:rPr>
        <w:t xml:space="preserve">Figure </w:t>
      </w:r>
      <w:r w:rsidR="00181136" w:rsidRPr="00181136">
        <w:rPr>
          <w:rFonts w:ascii="Calibri" w:eastAsia="Calibri" w:hAnsi="Calibri" w:cs="Calibri"/>
          <w:b/>
          <w:noProof/>
          <w:lang w:val="en-AU"/>
        </w:rPr>
        <w:t>8</w:t>
      </w:r>
      <w:r w:rsidRPr="009A41E4">
        <w:rPr>
          <w:rFonts w:ascii="Calibri" w:eastAsia="Cambria" w:hAnsi="Calibri" w:cs="Calibri"/>
          <w:b/>
          <w:lang w:val="en-AU"/>
        </w:rPr>
        <w:fldChar w:fldCharType="end"/>
      </w:r>
      <w:r w:rsidRPr="009A41E4">
        <w:rPr>
          <w:rFonts w:ascii="Calibri" w:eastAsia="Cambria" w:hAnsi="Calibri" w:cs="Calibri"/>
          <w:b/>
          <w:lang w:val="en-AU"/>
        </w:rPr>
        <w:t xml:space="preserve"> </w:t>
      </w:r>
      <w:r w:rsidRPr="00A37634">
        <w:rPr>
          <w:rFonts w:ascii="Calibri" w:eastAsia="Cambria" w:hAnsi="Calibri" w:cs="Calibri"/>
          <w:lang w:val="en-AU"/>
        </w:rPr>
        <w:t>shows the projected maximum demand and the routine DR load available in each Australian jurisdiction, excluding the NT (with NSW and ACT combined; AEMO does not publish separate projections). At Medium activation rates, the emergency DR available from ACs alone would exceed 22% of summer maximum demand in Queensland (</w:t>
      </w:r>
      <w:r w:rsidRPr="00A37634">
        <w:rPr>
          <w:rFonts w:ascii="Calibri" w:eastAsia="Cambria" w:hAnsi="Calibri" w:cs="Calibri"/>
          <w:lang w:val="en-AU"/>
        </w:rPr>
        <w:fldChar w:fldCharType="begin"/>
      </w:r>
      <w:r w:rsidRPr="00A37634">
        <w:rPr>
          <w:rFonts w:ascii="Calibri" w:eastAsia="Cambria" w:hAnsi="Calibri" w:cs="Calibri"/>
          <w:lang w:val="en-AU"/>
        </w:rPr>
        <w:instrText xml:space="preserve"> REF _Ref13217382 \h  \* MERGEFORMAT </w:instrText>
      </w:r>
      <w:r w:rsidRPr="00A37634">
        <w:rPr>
          <w:rFonts w:ascii="Calibri" w:eastAsia="Cambria" w:hAnsi="Calibri" w:cs="Calibri"/>
          <w:lang w:val="en-AU"/>
        </w:rPr>
      </w:r>
      <w:r w:rsidRPr="00A37634">
        <w:rPr>
          <w:rFonts w:ascii="Calibri" w:eastAsia="Cambria" w:hAnsi="Calibri" w:cs="Calibri"/>
          <w:lang w:val="en-AU"/>
        </w:rPr>
        <w:fldChar w:fldCharType="separate"/>
      </w:r>
      <w:r w:rsidR="00181136" w:rsidRPr="00A37634">
        <w:rPr>
          <w:rFonts w:ascii="Calibri" w:eastAsia="Cambria" w:hAnsi="Calibri" w:cs="Calibri"/>
          <w:b/>
          <w:bCs/>
          <w:sz w:val="20"/>
          <w:szCs w:val="16"/>
          <w:lang w:val="en-AU"/>
        </w:rPr>
        <w:t xml:space="preserve">Figure </w:t>
      </w:r>
      <w:r w:rsidR="00181136">
        <w:rPr>
          <w:rFonts w:ascii="Calibri" w:eastAsia="Cambria" w:hAnsi="Calibri" w:cs="Calibri"/>
          <w:b/>
          <w:bCs/>
          <w:noProof/>
          <w:sz w:val="20"/>
          <w:szCs w:val="16"/>
          <w:lang w:val="en-AU"/>
        </w:rPr>
        <w:t>12</w:t>
      </w:r>
      <w:r w:rsidRPr="00A37634">
        <w:rPr>
          <w:rFonts w:ascii="Calibri" w:eastAsia="Cambria" w:hAnsi="Calibri" w:cs="Calibri"/>
          <w:lang w:val="en-AU"/>
        </w:rPr>
        <w:fldChar w:fldCharType="end"/>
      </w:r>
      <w:r w:rsidRPr="00A37634">
        <w:rPr>
          <w:rFonts w:ascii="Calibri" w:eastAsia="Cambria" w:hAnsi="Calibri" w:cs="Calibri"/>
          <w:lang w:val="en-AU"/>
        </w:rPr>
        <w:t xml:space="preserve">). The routine (i.e. non-emergency) load reduction available across all jurisdictions would be equivalent to 60% of the total projected growth in peak demand on the State and Territory networks to 2035. In other words, if properly factored into network planning, use of the projected DR capability could more than halve network investment requirements over the next 15 years. </w:t>
      </w:r>
    </w:p>
    <w:p w14:paraId="50CDF041" w14:textId="4017FAC8" w:rsidR="00A37634" w:rsidRPr="00A37634" w:rsidRDefault="00A37634" w:rsidP="00061B8F">
      <w:pPr>
        <w:pageBreakBefore/>
        <w:spacing w:before="240" w:after="120" w:line="240" w:lineRule="auto"/>
        <w:jc w:val="center"/>
        <w:rPr>
          <w:rFonts w:ascii="Calibri" w:eastAsia="Cambria" w:hAnsi="Calibri" w:cs="Calibri"/>
          <w:b/>
          <w:bCs/>
          <w:sz w:val="20"/>
          <w:szCs w:val="16"/>
          <w:lang w:val="en-AU"/>
        </w:rPr>
      </w:pPr>
      <w:bookmarkStart w:id="123" w:name="_Ref13217382"/>
      <w:bookmarkStart w:id="124" w:name="_Toc16500989"/>
      <w:r w:rsidRPr="00A37634">
        <w:rPr>
          <w:rFonts w:ascii="Calibri" w:eastAsia="Cambria" w:hAnsi="Calibri" w:cs="Calibri"/>
          <w:b/>
          <w:bCs/>
          <w:sz w:val="20"/>
          <w:szCs w:val="16"/>
          <w:lang w:val="en-AU"/>
        </w:rPr>
        <w:t xml:space="preserve">Figure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Figure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12</w:t>
      </w:r>
      <w:r w:rsidRPr="00A37634">
        <w:rPr>
          <w:rFonts w:ascii="Calibri" w:eastAsia="Cambria" w:hAnsi="Calibri" w:cs="Calibri"/>
          <w:b/>
          <w:bCs/>
          <w:noProof/>
          <w:sz w:val="20"/>
          <w:szCs w:val="16"/>
          <w:lang w:val="en-AU"/>
        </w:rPr>
        <w:fldChar w:fldCharType="end"/>
      </w:r>
      <w:bookmarkEnd w:id="123"/>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Projected emergency DR air conditioner load available as % of maximum demand, Medium activation rates</w:t>
      </w:r>
      <w:bookmarkEnd w:id="124"/>
      <w:r w:rsidRPr="00A37634">
        <w:rPr>
          <w:rFonts w:ascii="Calibri" w:eastAsia="Cambria" w:hAnsi="Calibri" w:cs="Calibri"/>
          <w:b/>
          <w:bCs/>
          <w:sz w:val="20"/>
          <w:szCs w:val="16"/>
          <w:lang w:val="en-AU"/>
        </w:rPr>
        <w:t xml:space="preserve"> </w:t>
      </w:r>
    </w:p>
    <w:p w14:paraId="0786E0DB" w14:textId="77777777" w:rsidR="00A37634" w:rsidRPr="00A37634" w:rsidRDefault="00A37634" w:rsidP="00A37634">
      <w:pPr>
        <w:spacing w:after="120" w:line="276" w:lineRule="auto"/>
        <w:jc w:val="center"/>
        <w:rPr>
          <w:rFonts w:ascii="Calibri" w:eastAsia="Calibri" w:hAnsi="Calibri" w:cs="Calibri"/>
          <w:szCs w:val="20"/>
          <w:lang w:val="en-AU"/>
        </w:rPr>
      </w:pPr>
      <w:r w:rsidRPr="00A37634">
        <w:rPr>
          <w:rFonts w:ascii="Calibri" w:eastAsia="Calibri" w:hAnsi="Calibri" w:cs="Calibri"/>
          <w:noProof/>
          <w:szCs w:val="20"/>
          <w:lang w:val="en-AU" w:eastAsia="en-AU"/>
        </w:rPr>
        <w:drawing>
          <wp:inline distT="0" distB="0" distL="0" distR="0" wp14:anchorId="429E7C4B" wp14:editId="13EBD225">
            <wp:extent cx="4114800" cy="2993612"/>
            <wp:effectExtent l="0" t="0" r="0" b="0"/>
            <wp:docPr id="21" name="Picture 21"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36959" cy="3009733"/>
                    </a:xfrm>
                    <a:prstGeom prst="rect">
                      <a:avLst/>
                    </a:prstGeom>
                    <a:noFill/>
                  </pic:spPr>
                </pic:pic>
              </a:graphicData>
            </a:graphic>
          </wp:inline>
        </w:drawing>
      </w:r>
    </w:p>
    <w:p w14:paraId="5C6CF2F8" w14:textId="77777777" w:rsidR="00A37634" w:rsidRPr="00A37634" w:rsidRDefault="00A37634" w:rsidP="00A37634">
      <w:pPr>
        <w:spacing w:after="120" w:line="276" w:lineRule="auto"/>
        <w:rPr>
          <w:rFonts w:ascii="Calibri" w:eastAsia="Calibri" w:hAnsi="Calibri" w:cs="Calibri"/>
          <w:szCs w:val="20"/>
          <w:lang w:val="en-AU"/>
        </w:rPr>
      </w:pPr>
    </w:p>
    <w:p w14:paraId="5AB203E3" w14:textId="77777777" w:rsidR="00A37634" w:rsidRPr="00A37634" w:rsidRDefault="00A37634" w:rsidP="00A37634">
      <w:pPr>
        <w:spacing w:after="120" w:line="276" w:lineRule="auto"/>
        <w:rPr>
          <w:rFonts w:ascii="Calibri" w:eastAsia="Calibri" w:hAnsi="Calibri" w:cs="Calibri"/>
          <w:szCs w:val="20"/>
          <w:lang w:val="en-AU"/>
        </w:rPr>
        <w:sectPr w:rsidR="00A37634" w:rsidRPr="00A37634" w:rsidSect="007C7289">
          <w:footerReference w:type="default" r:id="rId28"/>
          <w:headerReference w:type="first" r:id="rId29"/>
          <w:footerReference w:type="first" r:id="rId30"/>
          <w:pgSz w:w="11906" w:h="16838" w:code="9"/>
          <w:pgMar w:top="1276" w:right="1138" w:bottom="1699" w:left="1138" w:header="576" w:footer="720" w:gutter="0"/>
          <w:pgNumType w:start="1"/>
          <w:cols w:space="708"/>
          <w:titlePg/>
          <w:docGrid w:linePitch="360"/>
        </w:sectPr>
      </w:pPr>
    </w:p>
    <w:p w14:paraId="7A4BF59A" w14:textId="0145B0D1"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125" w:name="_Ref12975873"/>
      <w:bookmarkStart w:id="126" w:name="_Toc16501008"/>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17</w:t>
      </w:r>
      <w:r w:rsidRPr="00A37634">
        <w:rPr>
          <w:rFonts w:ascii="Calibri" w:eastAsia="Cambria" w:hAnsi="Calibri" w:cs="Calibri"/>
          <w:b/>
          <w:bCs/>
          <w:noProof/>
          <w:sz w:val="20"/>
          <w:szCs w:val="16"/>
          <w:lang w:val="en-AU"/>
        </w:rPr>
        <w:fldChar w:fldCharType="end"/>
      </w:r>
      <w:bookmarkEnd w:id="125"/>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Summary of assumptions used to calculate benefits</w:t>
      </w:r>
      <w:bookmarkEnd w:id="126"/>
    </w:p>
    <w:tbl>
      <w:tblPr>
        <w:tblStyle w:val="TableGrid"/>
        <w:tblW w:w="14176" w:type="dxa"/>
        <w:tblInd w:w="-431" w:type="dxa"/>
        <w:tblLook w:val="04A0" w:firstRow="1" w:lastRow="0" w:firstColumn="1" w:lastColumn="0" w:noHBand="0" w:noVBand="1"/>
        <w:tblCaption w:val="&quot;0&quot;"/>
      </w:tblPr>
      <w:tblGrid>
        <w:gridCol w:w="1135"/>
        <w:gridCol w:w="1276"/>
        <w:gridCol w:w="2353"/>
        <w:gridCol w:w="2353"/>
        <w:gridCol w:w="2353"/>
        <w:gridCol w:w="2353"/>
        <w:gridCol w:w="2353"/>
      </w:tblGrid>
      <w:tr w:rsidR="00A37634" w:rsidRPr="00A37634" w14:paraId="03D14230" w14:textId="77777777" w:rsidTr="007C7289">
        <w:trPr>
          <w:tblHeader/>
        </w:trPr>
        <w:tc>
          <w:tcPr>
            <w:tcW w:w="1135" w:type="dxa"/>
          </w:tcPr>
          <w:p w14:paraId="4F1A027D" w14:textId="77777777" w:rsidR="00A37634" w:rsidRPr="00A37634" w:rsidRDefault="00A37634" w:rsidP="00A37634">
            <w:pPr>
              <w:spacing w:after="120" w:line="276" w:lineRule="auto"/>
              <w:rPr>
                <w:rFonts w:ascii="Calibri" w:eastAsia="Calibri" w:hAnsi="Calibri" w:cs="Calibri"/>
                <w:sz w:val="16"/>
                <w:szCs w:val="16"/>
                <w:lang w:val="en-AU"/>
              </w:rPr>
            </w:pPr>
            <w:bookmarkStart w:id="127" w:name="_Hlk12910635"/>
            <w:r w:rsidRPr="00A37634">
              <w:rPr>
                <w:rFonts w:ascii="Calibri" w:eastAsia="Calibri" w:hAnsi="Calibri" w:cs="Calibri"/>
                <w:sz w:val="16"/>
                <w:szCs w:val="16"/>
                <w:lang w:val="en-AU"/>
              </w:rPr>
              <w:t xml:space="preserve">Product </w:t>
            </w:r>
          </w:p>
        </w:tc>
        <w:tc>
          <w:tcPr>
            <w:tcW w:w="1276" w:type="dxa"/>
          </w:tcPr>
          <w:p w14:paraId="33DE64D4"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Mandatory</w:t>
            </w:r>
            <w:r w:rsidRPr="00A37634">
              <w:rPr>
                <w:rFonts w:ascii="Calibri" w:eastAsia="Calibri" w:hAnsi="Calibri" w:cs="Calibri"/>
                <w:sz w:val="16"/>
                <w:szCs w:val="16"/>
                <w:lang w:val="en-AU"/>
              </w:rPr>
              <w:br/>
              <w:t>DRMs (a)</w:t>
            </w:r>
          </w:p>
        </w:tc>
        <w:tc>
          <w:tcPr>
            <w:tcW w:w="2353" w:type="dxa"/>
          </w:tcPr>
          <w:p w14:paraId="75CEF6AC"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Peak load reduction value</w:t>
            </w:r>
            <w:r w:rsidRPr="00A37634">
              <w:rPr>
                <w:rFonts w:ascii="Calibri" w:eastAsia="Calibri" w:hAnsi="Calibri" w:cs="Calibri"/>
                <w:sz w:val="16"/>
                <w:szCs w:val="16"/>
                <w:lang w:val="en-AU"/>
              </w:rPr>
              <w:br/>
              <w:t>(b)</w:t>
            </w:r>
          </w:p>
        </w:tc>
        <w:tc>
          <w:tcPr>
            <w:tcW w:w="2353" w:type="dxa"/>
          </w:tcPr>
          <w:p w14:paraId="1FDA26A3"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Reliability &amp; emergency reserve trader (RERT) value </w:t>
            </w:r>
          </w:p>
        </w:tc>
        <w:tc>
          <w:tcPr>
            <w:tcW w:w="2353" w:type="dxa"/>
          </w:tcPr>
          <w:p w14:paraId="0F090253"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Load-on value </w:t>
            </w:r>
          </w:p>
        </w:tc>
        <w:tc>
          <w:tcPr>
            <w:tcW w:w="2353" w:type="dxa"/>
          </w:tcPr>
          <w:p w14:paraId="67AAEC16"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Wholesale price impact value for DR participants </w:t>
            </w:r>
          </w:p>
        </w:tc>
        <w:tc>
          <w:tcPr>
            <w:tcW w:w="2353" w:type="dxa"/>
          </w:tcPr>
          <w:p w14:paraId="23300234"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Wholesale price impact value for non-participants</w:t>
            </w:r>
          </w:p>
        </w:tc>
      </w:tr>
      <w:tr w:rsidR="00A37634" w:rsidRPr="00A37634" w14:paraId="54FEBF76" w14:textId="77777777" w:rsidTr="00A37634">
        <w:tc>
          <w:tcPr>
            <w:tcW w:w="1135" w:type="dxa"/>
            <w:vMerge w:val="restart"/>
          </w:tcPr>
          <w:p w14:paraId="0DE4CEE2"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Air conditioner </w:t>
            </w:r>
          </w:p>
        </w:tc>
        <w:tc>
          <w:tcPr>
            <w:tcW w:w="1276" w:type="dxa"/>
          </w:tcPr>
          <w:p w14:paraId="1DE1645C"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1</w:t>
            </w:r>
          </w:p>
        </w:tc>
        <w:tc>
          <w:tcPr>
            <w:tcW w:w="2353" w:type="dxa"/>
          </w:tcPr>
          <w:p w14:paraId="6AD3CFFF"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$/marginal peak load MW avoidable at SMD from all activated load, except for </w:t>
            </w:r>
            <w:proofErr w:type="spellStart"/>
            <w:r w:rsidRPr="00A37634">
              <w:rPr>
                <w:rFonts w:ascii="Calibri" w:eastAsia="Calibri" w:hAnsi="Calibri" w:cs="Calibri"/>
                <w:sz w:val="16"/>
                <w:szCs w:val="16"/>
                <w:lang w:val="en-AU"/>
              </w:rPr>
              <w:t>Tas</w:t>
            </w:r>
            <w:proofErr w:type="spellEnd"/>
            <w:r w:rsidRPr="00A37634">
              <w:rPr>
                <w:rFonts w:ascii="Calibri" w:eastAsia="Calibri" w:hAnsi="Calibri" w:cs="Calibri"/>
                <w:sz w:val="16"/>
                <w:szCs w:val="16"/>
                <w:lang w:val="en-AU"/>
              </w:rPr>
              <w:t xml:space="preserve"> and NZ: $/marginal peak load MW avoidable at WMD</w:t>
            </w:r>
          </w:p>
        </w:tc>
        <w:tc>
          <w:tcPr>
            <w:tcW w:w="2353" w:type="dxa"/>
          </w:tcPr>
          <w:p w14:paraId="5ADF5AC7"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RERT costs in SA and Vic $10,000/MWh avoided </w:t>
            </w:r>
            <w:r w:rsidRPr="00A37634">
              <w:rPr>
                <w:rFonts w:ascii="Calibri" w:eastAsia="Calibri" w:hAnsi="Calibri" w:cs="Calibri"/>
                <w:sz w:val="16"/>
                <w:szCs w:val="16"/>
                <w:lang w:val="en-AU"/>
              </w:rPr>
              <w:br/>
              <w:t>(20 hrs/</w:t>
            </w:r>
            <w:proofErr w:type="spellStart"/>
            <w:r w:rsidRPr="00A37634">
              <w:rPr>
                <w:rFonts w:ascii="Calibri" w:eastAsia="Calibri" w:hAnsi="Calibri" w:cs="Calibri"/>
                <w:sz w:val="16"/>
                <w:szCs w:val="16"/>
                <w:lang w:val="en-AU"/>
              </w:rPr>
              <w:t>yr</w:t>
            </w:r>
            <w:proofErr w:type="spellEnd"/>
            <w:r w:rsidRPr="00A37634">
              <w:rPr>
                <w:rFonts w:ascii="Calibri" w:eastAsia="Calibri" w:hAnsi="Calibri" w:cs="Calibri"/>
                <w:sz w:val="16"/>
                <w:szCs w:val="16"/>
                <w:lang w:val="en-AU"/>
              </w:rPr>
              <w:t>)</w:t>
            </w:r>
            <w:r w:rsidRPr="00A37634">
              <w:rPr>
                <w:rFonts w:ascii="Calibri" w:eastAsia="Calibri" w:hAnsi="Calibri" w:cs="Calibri"/>
                <w:sz w:val="16"/>
                <w:szCs w:val="16"/>
                <w:lang w:val="en-AU"/>
              </w:rPr>
              <w:br/>
              <w:t>None in other regions</w:t>
            </w:r>
          </w:p>
        </w:tc>
        <w:tc>
          <w:tcPr>
            <w:tcW w:w="2353" w:type="dxa"/>
          </w:tcPr>
          <w:p w14:paraId="45AA68EC"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w:t>
            </w:r>
          </w:p>
        </w:tc>
        <w:tc>
          <w:tcPr>
            <w:tcW w:w="2353" w:type="dxa"/>
            <w:vMerge w:val="restart"/>
            <w:shd w:val="clear" w:color="auto" w:fill="BFBFBF"/>
          </w:tcPr>
          <w:p w14:paraId="3587FD67"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$100/MWh wholesale price reduction when a 50% reduction in the total activated load is bid into the pool. Energy calculated from load bid x 20hrs/</w:t>
            </w:r>
            <w:proofErr w:type="spellStart"/>
            <w:r w:rsidRPr="00A37634">
              <w:rPr>
                <w:rFonts w:ascii="Calibri" w:eastAsia="Calibri" w:hAnsi="Calibri" w:cs="Calibri"/>
                <w:sz w:val="16"/>
                <w:szCs w:val="16"/>
                <w:lang w:val="en-AU"/>
              </w:rPr>
              <w:t>yr</w:t>
            </w:r>
            <w:proofErr w:type="spellEnd"/>
          </w:p>
        </w:tc>
        <w:tc>
          <w:tcPr>
            <w:tcW w:w="2353" w:type="dxa"/>
            <w:vMerge w:val="restart"/>
            <w:shd w:val="clear" w:color="auto" w:fill="BFBFBF"/>
          </w:tcPr>
          <w:p w14:paraId="3D111FD3"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Same wholesale price reduction as for participants during same time periods. Energy calculated as 80% of SMD or WMD x 20hrs/</w:t>
            </w:r>
            <w:proofErr w:type="spellStart"/>
            <w:r w:rsidRPr="00A37634">
              <w:rPr>
                <w:rFonts w:ascii="Calibri" w:eastAsia="Calibri" w:hAnsi="Calibri" w:cs="Calibri"/>
                <w:sz w:val="16"/>
                <w:szCs w:val="16"/>
                <w:lang w:val="en-AU"/>
              </w:rPr>
              <w:t>yr</w:t>
            </w:r>
            <w:proofErr w:type="spellEnd"/>
            <w:r w:rsidRPr="00A37634">
              <w:rPr>
                <w:rFonts w:ascii="Calibri" w:eastAsia="Calibri" w:hAnsi="Calibri" w:cs="Calibri"/>
                <w:sz w:val="16"/>
                <w:szCs w:val="16"/>
                <w:lang w:val="en-AU"/>
              </w:rPr>
              <w:t xml:space="preserve"> (less DR participant energy use over same periods)</w:t>
            </w:r>
          </w:p>
        </w:tc>
      </w:tr>
      <w:tr w:rsidR="00A37634" w:rsidRPr="00A37634" w14:paraId="4C7A91F3" w14:textId="77777777" w:rsidTr="00A37634">
        <w:tc>
          <w:tcPr>
            <w:tcW w:w="1135" w:type="dxa"/>
            <w:vMerge/>
          </w:tcPr>
          <w:p w14:paraId="4C03FB97" w14:textId="77777777" w:rsidR="00A37634" w:rsidRPr="00A37634" w:rsidRDefault="00A37634" w:rsidP="00A37634">
            <w:pPr>
              <w:spacing w:after="120" w:line="276" w:lineRule="auto"/>
              <w:rPr>
                <w:rFonts w:ascii="Calibri" w:eastAsia="Calibri" w:hAnsi="Calibri" w:cs="Calibri"/>
                <w:sz w:val="16"/>
                <w:szCs w:val="16"/>
                <w:lang w:val="en-AU"/>
              </w:rPr>
            </w:pPr>
            <w:bookmarkStart w:id="128" w:name="_Hlk12912914"/>
          </w:p>
        </w:tc>
        <w:tc>
          <w:tcPr>
            <w:tcW w:w="1276" w:type="dxa"/>
          </w:tcPr>
          <w:p w14:paraId="4FD7B502"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2/3</w:t>
            </w:r>
          </w:p>
        </w:tc>
        <w:tc>
          <w:tcPr>
            <w:tcW w:w="2353" w:type="dxa"/>
            <w:shd w:val="clear" w:color="auto" w:fill="BFBFBF"/>
          </w:tcPr>
          <w:p w14:paraId="2147EFCF"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50% of above values </w:t>
            </w:r>
          </w:p>
        </w:tc>
        <w:tc>
          <w:tcPr>
            <w:tcW w:w="2353" w:type="dxa"/>
            <w:shd w:val="clear" w:color="auto" w:fill="BFBFBF"/>
          </w:tcPr>
          <w:p w14:paraId="5FC7A91F"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50% of above values</w:t>
            </w:r>
          </w:p>
        </w:tc>
        <w:tc>
          <w:tcPr>
            <w:tcW w:w="2353" w:type="dxa"/>
          </w:tcPr>
          <w:p w14:paraId="09AFEAB3"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w:t>
            </w:r>
          </w:p>
        </w:tc>
        <w:tc>
          <w:tcPr>
            <w:tcW w:w="2353" w:type="dxa"/>
            <w:vMerge/>
            <w:shd w:val="clear" w:color="auto" w:fill="BFBFBF"/>
          </w:tcPr>
          <w:p w14:paraId="3CCB7FBD" w14:textId="77777777" w:rsidR="00A37634" w:rsidRPr="00A37634" w:rsidRDefault="00A37634" w:rsidP="00A37634">
            <w:pPr>
              <w:spacing w:after="120" w:line="276" w:lineRule="auto"/>
              <w:rPr>
                <w:rFonts w:ascii="Calibri" w:eastAsia="Calibri" w:hAnsi="Calibri" w:cs="Calibri"/>
                <w:sz w:val="16"/>
                <w:szCs w:val="16"/>
                <w:lang w:val="en-AU"/>
              </w:rPr>
            </w:pPr>
          </w:p>
        </w:tc>
        <w:tc>
          <w:tcPr>
            <w:tcW w:w="2353" w:type="dxa"/>
            <w:vMerge/>
            <w:shd w:val="clear" w:color="auto" w:fill="BFBFBF"/>
          </w:tcPr>
          <w:p w14:paraId="65F03DAA" w14:textId="77777777" w:rsidR="00A37634" w:rsidRPr="00A37634" w:rsidRDefault="00A37634" w:rsidP="00A37634">
            <w:pPr>
              <w:spacing w:after="120" w:line="276" w:lineRule="auto"/>
              <w:rPr>
                <w:rFonts w:ascii="Calibri" w:eastAsia="Calibri" w:hAnsi="Calibri" w:cs="Calibri"/>
                <w:sz w:val="16"/>
                <w:szCs w:val="16"/>
                <w:lang w:val="en-AU"/>
              </w:rPr>
            </w:pPr>
          </w:p>
        </w:tc>
      </w:tr>
      <w:bookmarkEnd w:id="128"/>
      <w:tr w:rsidR="00A37634" w:rsidRPr="00A37634" w14:paraId="461776EB" w14:textId="77777777" w:rsidTr="00A37634">
        <w:tc>
          <w:tcPr>
            <w:tcW w:w="1135" w:type="dxa"/>
            <w:vMerge w:val="restart"/>
          </w:tcPr>
          <w:p w14:paraId="153E0666"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Pool pump controller,  Electric storage water heater</w:t>
            </w:r>
            <w:r w:rsidRPr="00A37634">
              <w:rPr>
                <w:rFonts w:ascii="Calibri" w:eastAsia="Calibri" w:hAnsi="Calibri" w:cs="Calibri"/>
                <w:sz w:val="16"/>
                <w:szCs w:val="16"/>
                <w:lang w:val="en-AU"/>
              </w:rPr>
              <w:br/>
            </w:r>
          </w:p>
        </w:tc>
        <w:tc>
          <w:tcPr>
            <w:tcW w:w="1276" w:type="dxa"/>
          </w:tcPr>
          <w:p w14:paraId="078838D8"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1</w:t>
            </w:r>
          </w:p>
        </w:tc>
        <w:tc>
          <w:tcPr>
            <w:tcW w:w="2353" w:type="dxa"/>
          </w:tcPr>
          <w:p w14:paraId="0FF97C61"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$/marginal peak load MW avoidable at SMD from all activated load</w:t>
            </w:r>
          </w:p>
        </w:tc>
        <w:tc>
          <w:tcPr>
            <w:tcW w:w="2353" w:type="dxa"/>
          </w:tcPr>
          <w:p w14:paraId="71255AC5"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RERT costs in SA and Vic $10,000/MWh avoided </w:t>
            </w:r>
            <w:r w:rsidRPr="00A37634">
              <w:rPr>
                <w:rFonts w:ascii="Calibri" w:eastAsia="Calibri" w:hAnsi="Calibri" w:cs="Calibri"/>
                <w:sz w:val="16"/>
                <w:szCs w:val="16"/>
                <w:lang w:val="en-AU"/>
              </w:rPr>
              <w:br/>
              <w:t>(20 hrs/</w:t>
            </w:r>
            <w:proofErr w:type="spellStart"/>
            <w:r w:rsidRPr="00A37634">
              <w:rPr>
                <w:rFonts w:ascii="Calibri" w:eastAsia="Calibri" w:hAnsi="Calibri" w:cs="Calibri"/>
                <w:sz w:val="16"/>
                <w:szCs w:val="16"/>
                <w:lang w:val="en-AU"/>
              </w:rPr>
              <w:t>yr</w:t>
            </w:r>
            <w:proofErr w:type="spellEnd"/>
            <w:r w:rsidRPr="00A37634">
              <w:rPr>
                <w:rFonts w:ascii="Calibri" w:eastAsia="Calibri" w:hAnsi="Calibri" w:cs="Calibri"/>
                <w:sz w:val="16"/>
                <w:szCs w:val="16"/>
                <w:lang w:val="en-AU"/>
              </w:rPr>
              <w:t>)</w:t>
            </w:r>
            <w:r w:rsidRPr="00A37634">
              <w:rPr>
                <w:rFonts w:ascii="Calibri" w:eastAsia="Calibri" w:hAnsi="Calibri" w:cs="Calibri"/>
                <w:sz w:val="16"/>
                <w:szCs w:val="16"/>
                <w:lang w:val="en-AU"/>
              </w:rPr>
              <w:br/>
              <w:t>None in other regions</w:t>
            </w:r>
          </w:p>
        </w:tc>
        <w:tc>
          <w:tcPr>
            <w:tcW w:w="2353" w:type="dxa"/>
          </w:tcPr>
          <w:p w14:paraId="411826FC"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w:t>
            </w:r>
          </w:p>
        </w:tc>
        <w:tc>
          <w:tcPr>
            <w:tcW w:w="2353" w:type="dxa"/>
            <w:vMerge w:val="restart"/>
            <w:shd w:val="clear" w:color="auto" w:fill="BFBFBF"/>
          </w:tcPr>
          <w:p w14:paraId="569C6F48"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$100/MWh wholesale price reduction when a 50% reduction in the total activated load is bid into the pool. Energy calculated from load bid x 20hrs/</w:t>
            </w:r>
            <w:proofErr w:type="spellStart"/>
            <w:r w:rsidRPr="00A37634">
              <w:rPr>
                <w:rFonts w:ascii="Calibri" w:eastAsia="Calibri" w:hAnsi="Calibri" w:cs="Calibri"/>
                <w:sz w:val="16"/>
                <w:szCs w:val="16"/>
                <w:lang w:val="en-AU"/>
              </w:rPr>
              <w:t>yr</w:t>
            </w:r>
            <w:proofErr w:type="spellEnd"/>
          </w:p>
        </w:tc>
        <w:tc>
          <w:tcPr>
            <w:tcW w:w="2353" w:type="dxa"/>
            <w:vMerge/>
            <w:shd w:val="clear" w:color="auto" w:fill="BFBFBF"/>
          </w:tcPr>
          <w:p w14:paraId="4A65FFE9" w14:textId="77777777" w:rsidR="00A37634" w:rsidRPr="00A37634" w:rsidRDefault="00A37634" w:rsidP="00A37634">
            <w:pPr>
              <w:spacing w:after="120" w:line="276" w:lineRule="auto"/>
              <w:rPr>
                <w:rFonts w:ascii="Calibri" w:eastAsia="Calibri" w:hAnsi="Calibri" w:cs="Calibri"/>
                <w:sz w:val="16"/>
                <w:szCs w:val="16"/>
                <w:lang w:val="en-AU"/>
              </w:rPr>
            </w:pPr>
          </w:p>
        </w:tc>
      </w:tr>
      <w:tr w:rsidR="00A37634" w:rsidRPr="00A37634" w14:paraId="5AF063C3" w14:textId="77777777" w:rsidTr="00A37634">
        <w:tc>
          <w:tcPr>
            <w:tcW w:w="1135" w:type="dxa"/>
            <w:vMerge/>
          </w:tcPr>
          <w:p w14:paraId="0D39F715" w14:textId="77777777" w:rsidR="00A37634" w:rsidRPr="00A37634" w:rsidRDefault="00A37634" w:rsidP="00A37634">
            <w:pPr>
              <w:spacing w:after="120" w:line="276" w:lineRule="auto"/>
              <w:rPr>
                <w:rFonts w:ascii="Calibri" w:eastAsia="Calibri" w:hAnsi="Calibri" w:cs="Calibri"/>
                <w:sz w:val="16"/>
                <w:szCs w:val="16"/>
                <w:lang w:val="en-AU"/>
              </w:rPr>
            </w:pPr>
          </w:p>
        </w:tc>
        <w:tc>
          <w:tcPr>
            <w:tcW w:w="1276" w:type="dxa"/>
          </w:tcPr>
          <w:p w14:paraId="03C88EB7"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2/3</w:t>
            </w:r>
          </w:p>
        </w:tc>
        <w:tc>
          <w:tcPr>
            <w:tcW w:w="2353" w:type="dxa"/>
            <w:shd w:val="clear" w:color="auto" w:fill="BFBFBF"/>
          </w:tcPr>
          <w:p w14:paraId="4017AACB"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50% of above values </w:t>
            </w:r>
          </w:p>
        </w:tc>
        <w:tc>
          <w:tcPr>
            <w:tcW w:w="2353" w:type="dxa"/>
            <w:shd w:val="clear" w:color="auto" w:fill="BFBFBF"/>
          </w:tcPr>
          <w:p w14:paraId="66FFFCF1"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50% of above values</w:t>
            </w:r>
          </w:p>
        </w:tc>
        <w:tc>
          <w:tcPr>
            <w:tcW w:w="2353" w:type="dxa"/>
          </w:tcPr>
          <w:p w14:paraId="0597A988"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w:t>
            </w:r>
          </w:p>
        </w:tc>
        <w:tc>
          <w:tcPr>
            <w:tcW w:w="2353" w:type="dxa"/>
            <w:vMerge/>
          </w:tcPr>
          <w:p w14:paraId="264F832D" w14:textId="77777777" w:rsidR="00A37634" w:rsidRPr="00A37634" w:rsidRDefault="00A37634" w:rsidP="00A37634">
            <w:pPr>
              <w:spacing w:after="120" w:line="276" w:lineRule="auto"/>
              <w:rPr>
                <w:rFonts w:ascii="Calibri" w:eastAsia="Calibri" w:hAnsi="Calibri" w:cs="Calibri"/>
                <w:sz w:val="16"/>
                <w:szCs w:val="16"/>
                <w:lang w:val="en-AU"/>
              </w:rPr>
            </w:pPr>
          </w:p>
        </w:tc>
        <w:tc>
          <w:tcPr>
            <w:tcW w:w="2353" w:type="dxa"/>
            <w:vMerge/>
          </w:tcPr>
          <w:p w14:paraId="536814BC" w14:textId="77777777" w:rsidR="00A37634" w:rsidRPr="00A37634" w:rsidRDefault="00A37634" w:rsidP="00A37634">
            <w:pPr>
              <w:spacing w:after="120" w:line="276" w:lineRule="auto"/>
              <w:rPr>
                <w:rFonts w:ascii="Calibri" w:eastAsia="Calibri" w:hAnsi="Calibri" w:cs="Calibri"/>
                <w:sz w:val="16"/>
                <w:szCs w:val="16"/>
                <w:lang w:val="en-AU"/>
              </w:rPr>
            </w:pPr>
          </w:p>
        </w:tc>
      </w:tr>
      <w:tr w:rsidR="00A37634" w:rsidRPr="00A37634" w14:paraId="7D8AEA4E" w14:textId="77777777" w:rsidTr="00A37634">
        <w:tc>
          <w:tcPr>
            <w:tcW w:w="1135" w:type="dxa"/>
            <w:vMerge/>
          </w:tcPr>
          <w:p w14:paraId="53300628" w14:textId="77777777" w:rsidR="00A37634" w:rsidRPr="00A37634" w:rsidRDefault="00A37634" w:rsidP="00A37634">
            <w:pPr>
              <w:spacing w:after="120" w:line="276" w:lineRule="auto"/>
              <w:rPr>
                <w:rFonts w:ascii="Calibri" w:eastAsia="Calibri" w:hAnsi="Calibri" w:cs="Calibri"/>
                <w:sz w:val="16"/>
                <w:szCs w:val="16"/>
                <w:lang w:val="en-AU"/>
              </w:rPr>
            </w:pPr>
          </w:p>
        </w:tc>
        <w:tc>
          <w:tcPr>
            <w:tcW w:w="1276" w:type="dxa"/>
          </w:tcPr>
          <w:p w14:paraId="74690FF5"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4</w:t>
            </w:r>
          </w:p>
        </w:tc>
        <w:tc>
          <w:tcPr>
            <w:tcW w:w="2353" w:type="dxa"/>
          </w:tcPr>
          <w:p w14:paraId="7D962BA0"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w:t>
            </w:r>
          </w:p>
        </w:tc>
        <w:tc>
          <w:tcPr>
            <w:tcW w:w="2353" w:type="dxa"/>
          </w:tcPr>
          <w:p w14:paraId="0514A29F"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w:t>
            </w:r>
          </w:p>
        </w:tc>
        <w:tc>
          <w:tcPr>
            <w:tcW w:w="2353" w:type="dxa"/>
            <w:shd w:val="clear" w:color="auto" w:fill="BFBFBF"/>
          </w:tcPr>
          <w:p w14:paraId="03AF6D3B"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$80/MWh for 100% of activated load switched on during negative price events.   20-60 hrs/</w:t>
            </w:r>
            <w:proofErr w:type="spellStart"/>
            <w:r w:rsidRPr="00A37634">
              <w:rPr>
                <w:rFonts w:ascii="Calibri" w:eastAsia="Calibri" w:hAnsi="Calibri" w:cs="Calibri"/>
                <w:sz w:val="16"/>
                <w:szCs w:val="16"/>
                <w:lang w:val="en-AU"/>
              </w:rPr>
              <w:t>yr</w:t>
            </w:r>
            <w:proofErr w:type="spellEnd"/>
            <w:r w:rsidRPr="00A37634">
              <w:rPr>
                <w:rFonts w:ascii="Calibri" w:eastAsia="Calibri" w:hAnsi="Calibri" w:cs="Calibri"/>
                <w:sz w:val="16"/>
                <w:szCs w:val="16"/>
                <w:lang w:val="en-AU"/>
              </w:rPr>
              <w:t xml:space="preserve"> in 2020 rising to 30-110 hrs/</w:t>
            </w:r>
            <w:proofErr w:type="spellStart"/>
            <w:r w:rsidRPr="00A37634">
              <w:rPr>
                <w:rFonts w:ascii="Calibri" w:eastAsia="Calibri" w:hAnsi="Calibri" w:cs="Calibri"/>
                <w:sz w:val="16"/>
                <w:szCs w:val="16"/>
                <w:lang w:val="en-AU"/>
              </w:rPr>
              <w:t>yr</w:t>
            </w:r>
            <w:proofErr w:type="spellEnd"/>
            <w:r w:rsidRPr="00A37634">
              <w:rPr>
                <w:rFonts w:ascii="Calibri" w:eastAsia="Calibri" w:hAnsi="Calibri" w:cs="Calibri"/>
                <w:sz w:val="16"/>
                <w:szCs w:val="16"/>
                <w:lang w:val="en-AU"/>
              </w:rPr>
              <w:t xml:space="preserve"> in 2035 </w:t>
            </w:r>
          </w:p>
        </w:tc>
        <w:tc>
          <w:tcPr>
            <w:tcW w:w="2353" w:type="dxa"/>
          </w:tcPr>
          <w:p w14:paraId="7BFE1E23" w14:textId="77777777" w:rsidR="00A37634" w:rsidRPr="00A37634" w:rsidRDefault="00A37634" w:rsidP="00A37634">
            <w:pPr>
              <w:spacing w:after="120" w:line="276" w:lineRule="auto"/>
              <w:rPr>
                <w:rFonts w:ascii="Calibri" w:eastAsia="Calibri" w:hAnsi="Calibri" w:cs="Calibri"/>
                <w:color w:val="000000"/>
                <w:sz w:val="16"/>
                <w:szCs w:val="16"/>
                <w:lang w:val="en-AU"/>
              </w:rPr>
            </w:pPr>
            <w:r w:rsidRPr="00A37634">
              <w:rPr>
                <w:rFonts w:ascii="Calibri" w:eastAsia="Calibri" w:hAnsi="Calibri" w:cs="Calibri"/>
                <w:color w:val="000000"/>
                <w:sz w:val="16"/>
                <w:szCs w:val="16"/>
                <w:lang w:val="en-AU"/>
              </w:rPr>
              <w:t>None</w:t>
            </w:r>
          </w:p>
        </w:tc>
        <w:tc>
          <w:tcPr>
            <w:tcW w:w="2353" w:type="dxa"/>
          </w:tcPr>
          <w:p w14:paraId="5ED71D46"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w:t>
            </w:r>
          </w:p>
        </w:tc>
      </w:tr>
      <w:tr w:rsidR="00A37634" w:rsidRPr="00A37634" w14:paraId="233C309A" w14:textId="77777777" w:rsidTr="007C7289">
        <w:tc>
          <w:tcPr>
            <w:tcW w:w="1135" w:type="dxa"/>
            <w:vMerge w:val="restart"/>
          </w:tcPr>
          <w:p w14:paraId="554BB768"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EV charger – capable of charge only</w:t>
            </w:r>
          </w:p>
        </w:tc>
        <w:tc>
          <w:tcPr>
            <w:tcW w:w="1276" w:type="dxa"/>
          </w:tcPr>
          <w:p w14:paraId="54C80166"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0</w:t>
            </w:r>
          </w:p>
        </w:tc>
        <w:tc>
          <w:tcPr>
            <w:tcW w:w="2353" w:type="dxa"/>
          </w:tcPr>
          <w:p w14:paraId="17EA801F"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 – safety value</w:t>
            </w:r>
          </w:p>
        </w:tc>
        <w:tc>
          <w:tcPr>
            <w:tcW w:w="2353" w:type="dxa"/>
          </w:tcPr>
          <w:p w14:paraId="1A41E57A"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 – safety value</w:t>
            </w:r>
          </w:p>
        </w:tc>
        <w:tc>
          <w:tcPr>
            <w:tcW w:w="2353" w:type="dxa"/>
          </w:tcPr>
          <w:p w14:paraId="6D0D4658"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 – safety value</w:t>
            </w:r>
          </w:p>
        </w:tc>
        <w:tc>
          <w:tcPr>
            <w:tcW w:w="2353" w:type="dxa"/>
          </w:tcPr>
          <w:p w14:paraId="315093AF"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 – safety value</w:t>
            </w:r>
          </w:p>
        </w:tc>
        <w:tc>
          <w:tcPr>
            <w:tcW w:w="2353" w:type="dxa"/>
          </w:tcPr>
          <w:p w14:paraId="7B3E61D5"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 – safety value</w:t>
            </w:r>
          </w:p>
        </w:tc>
      </w:tr>
      <w:tr w:rsidR="00A37634" w:rsidRPr="00A37634" w14:paraId="44DE6858" w14:textId="77777777" w:rsidTr="00A37634">
        <w:tc>
          <w:tcPr>
            <w:tcW w:w="1135" w:type="dxa"/>
            <w:vMerge/>
          </w:tcPr>
          <w:p w14:paraId="5721401D" w14:textId="77777777" w:rsidR="00A37634" w:rsidRPr="00A37634" w:rsidRDefault="00A37634" w:rsidP="00A37634">
            <w:pPr>
              <w:spacing w:after="120" w:line="276" w:lineRule="auto"/>
              <w:rPr>
                <w:rFonts w:ascii="Calibri" w:eastAsia="Calibri" w:hAnsi="Calibri" w:cs="Calibri"/>
                <w:sz w:val="16"/>
                <w:szCs w:val="16"/>
                <w:lang w:val="en-AU"/>
              </w:rPr>
            </w:pPr>
          </w:p>
        </w:tc>
        <w:tc>
          <w:tcPr>
            <w:tcW w:w="1276" w:type="dxa"/>
          </w:tcPr>
          <w:p w14:paraId="31A56CE8"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1</w:t>
            </w:r>
          </w:p>
        </w:tc>
        <w:tc>
          <w:tcPr>
            <w:tcW w:w="2353" w:type="dxa"/>
          </w:tcPr>
          <w:p w14:paraId="324FC7FD"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$/marginal peak load MW avoidable at SMD from all activated load</w:t>
            </w:r>
          </w:p>
        </w:tc>
        <w:tc>
          <w:tcPr>
            <w:tcW w:w="2353" w:type="dxa"/>
          </w:tcPr>
          <w:p w14:paraId="39B8083B"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RERT costs in SA and Vic $10,000/MWh avoided </w:t>
            </w:r>
            <w:r w:rsidRPr="00A37634">
              <w:rPr>
                <w:rFonts w:ascii="Calibri" w:eastAsia="Calibri" w:hAnsi="Calibri" w:cs="Calibri"/>
                <w:sz w:val="16"/>
                <w:szCs w:val="16"/>
                <w:lang w:val="en-AU"/>
              </w:rPr>
              <w:br/>
              <w:t>(20 hrs/</w:t>
            </w:r>
            <w:proofErr w:type="spellStart"/>
            <w:r w:rsidRPr="00A37634">
              <w:rPr>
                <w:rFonts w:ascii="Calibri" w:eastAsia="Calibri" w:hAnsi="Calibri" w:cs="Calibri"/>
                <w:sz w:val="16"/>
                <w:szCs w:val="16"/>
                <w:lang w:val="en-AU"/>
              </w:rPr>
              <w:t>yr</w:t>
            </w:r>
            <w:proofErr w:type="spellEnd"/>
            <w:r w:rsidRPr="00A37634">
              <w:rPr>
                <w:rFonts w:ascii="Calibri" w:eastAsia="Calibri" w:hAnsi="Calibri" w:cs="Calibri"/>
                <w:sz w:val="16"/>
                <w:szCs w:val="16"/>
                <w:lang w:val="en-AU"/>
              </w:rPr>
              <w:t>)</w:t>
            </w:r>
            <w:r w:rsidRPr="00A37634">
              <w:rPr>
                <w:rFonts w:ascii="Calibri" w:eastAsia="Calibri" w:hAnsi="Calibri" w:cs="Calibri"/>
                <w:sz w:val="16"/>
                <w:szCs w:val="16"/>
                <w:lang w:val="en-AU"/>
              </w:rPr>
              <w:br/>
              <w:t>None in other regions</w:t>
            </w:r>
          </w:p>
        </w:tc>
        <w:tc>
          <w:tcPr>
            <w:tcW w:w="2353" w:type="dxa"/>
          </w:tcPr>
          <w:p w14:paraId="642098AC"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w:t>
            </w:r>
          </w:p>
        </w:tc>
        <w:tc>
          <w:tcPr>
            <w:tcW w:w="2353" w:type="dxa"/>
            <w:vMerge w:val="restart"/>
            <w:shd w:val="clear" w:color="auto" w:fill="BFBFBF"/>
          </w:tcPr>
          <w:p w14:paraId="518DE523"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$100/MWh wholesale price reduction when a 50% reduction in the total activated load is bid into the pool. Energy calculated from load bid x 20hrs/</w:t>
            </w:r>
            <w:proofErr w:type="spellStart"/>
            <w:r w:rsidRPr="00A37634">
              <w:rPr>
                <w:rFonts w:ascii="Calibri" w:eastAsia="Calibri" w:hAnsi="Calibri" w:cs="Calibri"/>
                <w:sz w:val="16"/>
                <w:szCs w:val="16"/>
                <w:lang w:val="en-AU"/>
              </w:rPr>
              <w:t>yr</w:t>
            </w:r>
            <w:proofErr w:type="spellEnd"/>
          </w:p>
        </w:tc>
        <w:tc>
          <w:tcPr>
            <w:tcW w:w="2353" w:type="dxa"/>
            <w:vMerge w:val="restart"/>
            <w:shd w:val="clear" w:color="auto" w:fill="BFBFBF"/>
          </w:tcPr>
          <w:p w14:paraId="4B9C43B6"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Same wholesale price reduction as for participants during same time periods. Energy calculated as 80% of SMD or WMD x 20hrs/</w:t>
            </w:r>
            <w:proofErr w:type="spellStart"/>
            <w:r w:rsidRPr="00A37634">
              <w:rPr>
                <w:rFonts w:ascii="Calibri" w:eastAsia="Calibri" w:hAnsi="Calibri" w:cs="Calibri"/>
                <w:sz w:val="16"/>
                <w:szCs w:val="16"/>
                <w:lang w:val="en-AU"/>
              </w:rPr>
              <w:t>yr</w:t>
            </w:r>
            <w:proofErr w:type="spellEnd"/>
            <w:r w:rsidRPr="00A37634">
              <w:rPr>
                <w:rFonts w:ascii="Calibri" w:eastAsia="Calibri" w:hAnsi="Calibri" w:cs="Calibri"/>
                <w:sz w:val="16"/>
                <w:szCs w:val="16"/>
                <w:lang w:val="en-AU"/>
              </w:rPr>
              <w:t xml:space="preserve"> (less DR participant energy use over same periods)</w:t>
            </w:r>
          </w:p>
        </w:tc>
      </w:tr>
      <w:tr w:rsidR="00A37634" w:rsidRPr="00A37634" w14:paraId="1E8BAD04" w14:textId="77777777" w:rsidTr="00A37634">
        <w:tc>
          <w:tcPr>
            <w:tcW w:w="1135" w:type="dxa"/>
            <w:vMerge/>
          </w:tcPr>
          <w:p w14:paraId="2355DFE5" w14:textId="77777777" w:rsidR="00A37634" w:rsidRPr="00A37634" w:rsidRDefault="00A37634" w:rsidP="00A37634">
            <w:pPr>
              <w:spacing w:after="120" w:line="276" w:lineRule="auto"/>
              <w:rPr>
                <w:rFonts w:ascii="Calibri" w:eastAsia="Calibri" w:hAnsi="Calibri" w:cs="Calibri"/>
                <w:sz w:val="16"/>
                <w:szCs w:val="16"/>
                <w:lang w:val="en-AU"/>
              </w:rPr>
            </w:pPr>
          </w:p>
        </w:tc>
        <w:tc>
          <w:tcPr>
            <w:tcW w:w="1276" w:type="dxa"/>
          </w:tcPr>
          <w:p w14:paraId="307B2B8F"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2/3</w:t>
            </w:r>
          </w:p>
        </w:tc>
        <w:tc>
          <w:tcPr>
            <w:tcW w:w="2353" w:type="dxa"/>
            <w:shd w:val="clear" w:color="auto" w:fill="BFBFBF"/>
          </w:tcPr>
          <w:p w14:paraId="0042DEDA"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50% of above values </w:t>
            </w:r>
          </w:p>
        </w:tc>
        <w:tc>
          <w:tcPr>
            <w:tcW w:w="2353" w:type="dxa"/>
            <w:shd w:val="clear" w:color="auto" w:fill="BFBFBF"/>
          </w:tcPr>
          <w:p w14:paraId="206BF2C4"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50% of above values</w:t>
            </w:r>
          </w:p>
        </w:tc>
        <w:tc>
          <w:tcPr>
            <w:tcW w:w="2353" w:type="dxa"/>
          </w:tcPr>
          <w:p w14:paraId="684D0B10"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w:t>
            </w:r>
          </w:p>
        </w:tc>
        <w:tc>
          <w:tcPr>
            <w:tcW w:w="2353" w:type="dxa"/>
            <w:vMerge/>
            <w:shd w:val="clear" w:color="auto" w:fill="BFBFBF"/>
          </w:tcPr>
          <w:p w14:paraId="6EAE6670" w14:textId="77777777" w:rsidR="00A37634" w:rsidRPr="00A37634" w:rsidRDefault="00A37634" w:rsidP="00A37634">
            <w:pPr>
              <w:spacing w:after="120" w:line="276" w:lineRule="auto"/>
              <w:rPr>
                <w:rFonts w:ascii="Calibri" w:eastAsia="Calibri" w:hAnsi="Calibri" w:cs="Calibri"/>
                <w:sz w:val="16"/>
                <w:szCs w:val="16"/>
                <w:lang w:val="en-AU"/>
              </w:rPr>
            </w:pPr>
          </w:p>
        </w:tc>
        <w:tc>
          <w:tcPr>
            <w:tcW w:w="2353" w:type="dxa"/>
            <w:vMerge/>
            <w:shd w:val="clear" w:color="auto" w:fill="BFBFBF"/>
          </w:tcPr>
          <w:p w14:paraId="339CB9AB" w14:textId="77777777" w:rsidR="00A37634" w:rsidRPr="00A37634" w:rsidRDefault="00A37634" w:rsidP="00A37634">
            <w:pPr>
              <w:spacing w:after="120" w:line="276" w:lineRule="auto"/>
              <w:rPr>
                <w:rFonts w:ascii="Calibri" w:eastAsia="Calibri" w:hAnsi="Calibri" w:cs="Calibri"/>
                <w:sz w:val="16"/>
                <w:szCs w:val="16"/>
                <w:lang w:val="en-AU"/>
              </w:rPr>
            </w:pPr>
          </w:p>
        </w:tc>
      </w:tr>
      <w:tr w:rsidR="00A37634" w:rsidRPr="00A37634" w14:paraId="0E82FB8B" w14:textId="77777777" w:rsidTr="00A37634">
        <w:tc>
          <w:tcPr>
            <w:tcW w:w="1135" w:type="dxa"/>
            <w:vMerge/>
          </w:tcPr>
          <w:p w14:paraId="6F792866" w14:textId="77777777" w:rsidR="00A37634" w:rsidRPr="00A37634" w:rsidRDefault="00A37634" w:rsidP="00A37634">
            <w:pPr>
              <w:spacing w:after="120" w:line="276" w:lineRule="auto"/>
              <w:rPr>
                <w:rFonts w:ascii="Calibri" w:eastAsia="Calibri" w:hAnsi="Calibri" w:cs="Calibri"/>
                <w:sz w:val="16"/>
                <w:szCs w:val="16"/>
                <w:lang w:val="en-AU"/>
              </w:rPr>
            </w:pPr>
          </w:p>
        </w:tc>
        <w:tc>
          <w:tcPr>
            <w:tcW w:w="1276" w:type="dxa"/>
          </w:tcPr>
          <w:p w14:paraId="160FC8DE"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4</w:t>
            </w:r>
          </w:p>
        </w:tc>
        <w:tc>
          <w:tcPr>
            <w:tcW w:w="2353" w:type="dxa"/>
          </w:tcPr>
          <w:p w14:paraId="7699B134"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w:t>
            </w:r>
          </w:p>
        </w:tc>
        <w:tc>
          <w:tcPr>
            <w:tcW w:w="2353" w:type="dxa"/>
          </w:tcPr>
          <w:p w14:paraId="01301FD1"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w:t>
            </w:r>
          </w:p>
        </w:tc>
        <w:tc>
          <w:tcPr>
            <w:tcW w:w="2353" w:type="dxa"/>
            <w:shd w:val="clear" w:color="auto" w:fill="BFBFBF"/>
          </w:tcPr>
          <w:p w14:paraId="2E413539"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$80/MWh for 100% of activated load switched on during negative price events.   20-60 hrs/</w:t>
            </w:r>
            <w:proofErr w:type="spellStart"/>
            <w:r w:rsidRPr="00A37634">
              <w:rPr>
                <w:rFonts w:ascii="Calibri" w:eastAsia="Calibri" w:hAnsi="Calibri" w:cs="Calibri"/>
                <w:sz w:val="16"/>
                <w:szCs w:val="16"/>
                <w:lang w:val="en-AU"/>
              </w:rPr>
              <w:t>yr</w:t>
            </w:r>
            <w:proofErr w:type="spellEnd"/>
            <w:r w:rsidRPr="00A37634">
              <w:rPr>
                <w:rFonts w:ascii="Calibri" w:eastAsia="Calibri" w:hAnsi="Calibri" w:cs="Calibri"/>
                <w:sz w:val="16"/>
                <w:szCs w:val="16"/>
                <w:lang w:val="en-AU"/>
              </w:rPr>
              <w:t xml:space="preserve"> in 2020 rising to 30-110 hrs/</w:t>
            </w:r>
            <w:proofErr w:type="spellStart"/>
            <w:r w:rsidRPr="00A37634">
              <w:rPr>
                <w:rFonts w:ascii="Calibri" w:eastAsia="Calibri" w:hAnsi="Calibri" w:cs="Calibri"/>
                <w:sz w:val="16"/>
                <w:szCs w:val="16"/>
                <w:lang w:val="en-AU"/>
              </w:rPr>
              <w:t>yr</w:t>
            </w:r>
            <w:proofErr w:type="spellEnd"/>
            <w:r w:rsidRPr="00A37634">
              <w:rPr>
                <w:rFonts w:ascii="Calibri" w:eastAsia="Calibri" w:hAnsi="Calibri" w:cs="Calibri"/>
                <w:sz w:val="16"/>
                <w:szCs w:val="16"/>
                <w:lang w:val="en-AU"/>
              </w:rPr>
              <w:t xml:space="preserve"> in 2035</w:t>
            </w:r>
          </w:p>
        </w:tc>
        <w:tc>
          <w:tcPr>
            <w:tcW w:w="2353" w:type="dxa"/>
          </w:tcPr>
          <w:p w14:paraId="16A38A34" w14:textId="77777777" w:rsidR="00A37634" w:rsidRPr="00A37634" w:rsidRDefault="00A37634" w:rsidP="00A37634">
            <w:pPr>
              <w:spacing w:after="120" w:line="276" w:lineRule="auto"/>
              <w:rPr>
                <w:rFonts w:ascii="Calibri" w:eastAsia="Calibri" w:hAnsi="Calibri" w:cs="Calibri"/>
                <w:color w:val="000000"/>
                <w:sz w:val="16"/>
                <w:szCs w:val="16"/>
                <w:lang w:val="en-AU"/>
              </w:rPr>
            </w:pPr>
            <w:r w:rsidRPr="00A37634">
              <w:rPr>
                <w:rFonts w:ascii="Calibri" w:eastAsia="Calibri" w:hAnsi="Calibri" w:cs="Calibri"/>
                <w:color w:val="000000"/>
                <w:sz w:val="16"/>
                <w:szCs w:val="16"/>
                <w:lang w:val="en-AU"/>
              </w:rPr>
              <w:t>None</w:t>
            </w:r>
          </w:p>
        </w:tc>
        <w:tc>
          <w:tcPr>
            <w:tcW w:w="2353" w:type="dxa"/>
          </w:tcPr>
          <w:p w14:paraId="1AF9983D" w14:textId="77777777" w:rsidR="00A37634" w:rsidRPr="00A37634" w:rsidRDefault="00A37634" w:rsidP="00A37634">
            <w:pPr>
              <w:spacing w:after="120" w:line="276" w:lineRule="auto"/>
              <w:rPr>
                <w:rFonts w:ascii="Calibri" w:eastAsia="Calibri" w:hAnsi="Calibri" w:cs="Calibri"/>
                <w:color w:val="000000"/>
                <w:sz w:val="16"/>
                <w:szCs w:val="16"/>
                <w:lang w:val="en-AU"/>
              </w:rPr>
            </w:pPr>
            <w:r w:rsidRPr="00A37634">
              <w:rPr>
                <w:rFonts w:ascii="Calibri" w:eastAsia="Calibri" w:hAnsi="Calibri" w:cs="Calibri"/>
                <w:color w:val="000000"/>
                <w:sz w:val="16"/>
                <w:szCs w:val="16"/>
                <w:lang w:val="en-AU"/>
              </w:rPr>
              <w:t xml:space="preserve">None </w:t>
            </w:r>
          </w:p>
          <w:p w14:paraId="745225D9" w14:textId="77777777" w:rsidR="00A37634" w:rsidRPr="00A37634" w:rsidRDefault="00A37634" w:rsidP="00A37634">
            <w:pPr>
              <w:spacing w:after="120" w:line="276" w:lineRule="auto"/>
              <w:rPr>
                <w:rFonts w:ascii="Calibri" w:eastAsia="Calibri" w:hAnsi="Calibri" w:cs="Calibri"/>
                <w:color w:val="000000"/>
                <w:sz w:val="16"/>
                <w:szCs w:val="16"/>
                <w:lang w:val="en-AU"/>
              </w:rPr>
            </w:pPr>
          </w:p>
        </w:tc>
      </w:tr>
      <w:tr w:rsidR="00A37634" w:rsidRPr="00A37634" w14:paraId="4BA9FF80" w14:textId="77777777" w:rsidTr="007C7289">
        <w:tc>
          <w:tcPr>
            <w:tcW w:w="1135" w:type="dxa"/>
            <w:vMerge w:val="restart"/>
          </w:tcPr>
          <w:p w14:paraId="51F8CF8C"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EV charger capable of discharge</w:t>
            </w:r>
          </w:p>
        </w:tc>
        <w:tc>
          <w:tcPr>
            <w:tcW w:w="1276" w:type="dxa"/>
          </w:tcPr>
          <w:p w14:paraId="513F15B6"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5 </w:t>
            </w:r>
          </w:p>
        </w:tc>
        <w:tc>
          <w:tcPr>
            <w:tcW w:w="2353" w:type="dxa"/>
          </w:tcPr>
          <w:p w14:paraId="7C30B783"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 – safety value</w:t>
            </w:r>
          </w:p>
        </w:tc>
        <w:tc>
          <w:tcPr>
            <w:tcW w:w="2353" w:type="dxa"/>
          </w:tcPr>
          <w:p w14:paraId="73FD18F8"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 – safety value</w:t>
            </w:r>
          </w:p>
        </w:tc>
        <w:tc>
          <w:tcPr>
            <w:tcW w:w="2353" w:type="dxa"/>
          </w:tcPr>
          <w:p w14:paraId="4FB3D003"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 – safety value</w:t>
            </w:r>
          </w:p>
        </w:tc>
        <w:tc>
          <w:tcPr>
            <w:tcW w:w="2353" w:type="dxa"/>
          </w:tcPr>
          <w:p w14:paraId="403FEEE9"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 – safety value</w:t>
            </w:r>
          </w:p>
        </w:tc>
        <w:tc>
          <w:tcPr>
            <w:tcW w:w="2353" w:type="dxa"/>
          </w:tcPr>
          <w:p w14:paraId="6FBD4918"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None – safety value</w:t>
            </w:r>
          </w:p>
        </w:tc>
      </w:tr>
      <w:tr w:rsidR="00A37634" w:rsidRPr="00A37634" w14:paraId="300DF0ED" w14:textId="77777777" w:rsidTr="007C7289">
        <w:tc>
          <w:tcPr>
            <w:tcW w:w="1135" w:type="dxa"/>
            <w:vMerge/>
          </w:tcPr>
          <w:p w14:paraId="53BBACFD" w14:textId="77777777" w:rsidR="00A37634" w:rsidRPr="00A37634" w:rsidRDefault="00A37634" w:rsidP="00A37634">
            <w:pPr>
              <w:spacing w:after="120" w:line="276" w:lineRule="auto"/>
              <w:rPr>
                <w:rFonts w:ascii="Calibri" w:eastAsia="Calibri" w:hAnsi="Calibri" w:cs="Calibri"/>
                <w:sz w:val="16"/>
                <w:szCs w:val="16"/>
                <w:lang w:val="en-AU"/>
              </w:rPr>
            </w:pPr>
          </w:p>
        </w:tc>
        <w:tc>
          <w:tcPr>
            <w:tcW w:w="1276" w:type="dxa"/>
          </w:tcPr>
          <w:p w14:paraId="61E8376E"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 xml:space="preserve">8 (c) </w:t>
            </w:r>
          </w:p>
        </w:tc>
        <w:tc>
          <w:tcPr>
            <w:tcW w:w="2353" w:type="dxa"/>
          </w:tcPr>
          <w:p w14:paraId="24A368C7"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 additional value assigned</w:t>
            </w:r>
          </w:p>
        </w:tc>
        <w:tc>
          <w:tcPr>
            <w:tcW w:w="2353" w:type="dxa"/>
          </w:tcPr>
          <w:p w14:paraId="2BF770C3"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 additional value assigned</w:t>
            </w:r>
          </w:p>
        </w:tc>
        <w:tc>
          <w:tcPr>
            <w:tcW w:w="2353" w:type="dxa"/>
          </w:tcPr>
          <w:p w14:paraId="4EADB3D8"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 additional value assigned</w:t>
            </w:r>
          </w:p>
        </w:tc>
        <w:tc>
          <w:tcPr>
            <w:tcW w:w="2353" w:type="dxa"/>
          </w:tcPr>
          <w:p w14:paraId="78D9387C"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 additional value assigned</w:t>
            </w:r>
          </w:p>
        </w:tc>
        <w:tc>
          <w:tcPr>
            <w:tcW w:w="2353" w:type="dxa"/>
          </w:tcPr>
          <w:p w14:paraId="4058F724" w14:textId="77777777" w:rsidR="00A37634" w:rsidRPr="00A37634" w:rsidRDefault="00A37634" w:rsidP="00A37634">
            <w:pPr>
              <w:spacing w:after="120" w:line="276" w:lineRule="auto"/>
              <w:rPr>
                <w:rFonts w:ascii="Calibri" w:eastAsia="Calibri" w:hAnsi="Calibri" w:cs="Calibri"/>
                <w:sz w:val="16"/>
                <w:szCs w:val="16"/>
                <w:lang w:val="en-AU"/>
              </w:rPr>
            </w:pPr>
            <w:r w:rsidRPr="00A37634">
              <w:rPr>
                <w:rFonts w:ascii="Calibri" w:eastAsia="Calibri" w:hAnsi="Calibri" w:cs="Calibri"/>
                <w:sz w:val="16"/>
                <w:szCs w:val="16"/>
                <w:lang w:val="en-AU"/>
              </w:rPr>
              <w:t>No additional value assigned</w:t>
            </w:r>
          </w:p>
        </w:tc>
      </w:tr>
    </w:tbl>
    <w:bookmarkEnd w:id="127"/>
    <w:p w14:paraId="21E08D90" w14:textId="035D627C" w:rsidR="00A37634" w:rsidRPr="00A37634" w:rsidRDefault="00A37634" w:rsidP="00A37634">
      <w:pPr>
        <w:spacing w:after="120" w:line="276" w:lineRule="auto"/>
        <w:ind w:left="360"/>
        <w:rPr>
          <w:rFonts w:ascii="Calibri" w:eastAsia="Calibri" w:hAnsi="Calibri" w:cs="Calibri"/>
          <w:szCs w:val="20"/>
          <w:lang w:val="en-AU"/>
        </w:rPr>
      </w:pPr>
      <w:r w:rsidRPr="00A37634">
        <w:rPr>
          <w:rFonts w:ascii="Calibri" w:eastAsia="Cambria" w:hAnsi="Calibri" w:cs="Calibri"/>
          <w:sz w:val="16"/>
          <w:szCs w:val="16"/>
          <w:lang w:val="en-AU"/>
        </w:rPr>
        <w:t xml:space="preserve">Shaded cells indicate DRMs used to calculate benefits. (a) Proposal is to mandate more DRMs than currently required for voluntary compliance with AS/NZS 4755 (b) See values </w:t>
      </w:r>
      <w:r w:rsidRPr="00A37634">
        <w:rPr>
          <w:rFonts w:ascii="Calibri" w:eastAsia="Cambria" w:hAnsi="Calibri" w:cs="Calibri"/>
          <w:sz w:val="16"/>
          <w:szCs w:val="16"/>
          <w:lang w:val="en-AU"/>
        </w:rPr>
        <w:fldChar w:fldCharType="begin"/>
      </w:r>
      <w:r w:rsidRPr="00A37634">
        <w:rPr>
          <w:rFonts w:ascii="Calibri" w:eastAsia="Cambria" w:hAnsi="Calibri" w:cs="Calibri"/>
          <w:sz w:val="16"/>
          <w:szCs w:val="16"/>
          <w:lang w:val="en-AU"/>
        </w:rPr>
        <w:instrText xml:space="preserve"> REF _Ref327025099 \h  \* MERGEFORMAT </w:instrText>
      </w:r>
      <w:r w:rsidRPr="00A37634">
        <w:rPr>
          <w:rFonts w:ascii="Calibri" w:eastAsia="Cambria" w:hAnsi="Calibri" w:cs="Calibri"/>
          <w:sz w:val="16"/>
          <w:szCs w:val="16"/>
          <w:lang w:val="en-AU"/>
        </w:rPr>
      </w:r>
      <w:r w:rsidRPr="00A37634">
        <w:rPr>
          <w:rFonts w:ascii="Calibri" w:eastAsia="Cambria" w:hAnsi="Calibri" w:cs="Calibri"/>
          <w:sz w:val="16"/>
          <w:szCs w:val="16"/>
          <w:lang w:val="en-AU"/>
        </w:rPr>
        <w:fldChar w:fldCharType="separate"/>
      </w:r>
      <w:r w:rsidR="00181136" w:rsidRPr="00181136">
        <w:rPr>
          <w:rFonts w:ascii="Calibri" w:eastAsia="Cambria" w:hAnsi="Calibri" w:cs="Calibri"/>
          <w:sz w:val="16"/>
          <w:szCs w:val="16"/>
          <w:lang w:val="en-AU"/>
        </w:rPr>
        <w:t xml:space="preserve">Table </w:t>
      </w:r>
      <w:r w:rsidR="00181136" w:rsidRPr="00181136">
        <w:rPr>
          <w:rFonts w:ascii="Calibri" w:eastAsia="Cambria" w:hAnsi="Calibri" w:cs="Calibri"/>
          <w:noProof/>
          <w:sz w:val="16"/>
          <w:szCs w:val="16"/>
          <w:lang w:val="en-AU"/>
        </w:rPr>
        <w:t>14</w:t>
      </w:r>
      <w:r w:rsidRPr="00A37634">
        <w:rPr>
          <w:rFonts w:ascii="Calibri" w:eastAsia="Cambria" w:hAnsi="Calibri" w:cs="Calibri"/>
          <w:sz w:val="16"/>
          <w:szCs w:val="16"/>
          <w:lang w:val="en-AU"/>
        </w:rPr>
        <w:fldChar w:fldCharType="end"/>
      </w:r>
      <w:r w:rsidRPr="00A37634">
        <w:rPr>
          <w:rFonts w:ascii="Calibri" w:eastAsia="Cambria" w:hAnsi="Calibri" w:cs="Calibri"/>
          <w:sz w:val="16"/>
          <w:szCs w:val="16"/>
          <w:lang w:val="en-AU"/>
        </w:rPr>
        <w:t xml:space="preserve"> (c) Response to a discharge request would be subject to an EV with sufficient charge being connected at the time. Additional DRMs 6 and 7 to remain optional.      </w:t>
      </w:r>
    </w:p>
    <w:p w14:paraId="3EA3A282" w14:textId="77777777" w:rsidR="00A37634" w:rsidRPr="00A37634" w:rsidRDefault="00A37634" w:rsidP="00A37634">
      <w:pPr>
        <w:spacing w:after="120" w:line="276" w:lineRule="auto"/>
        <w:rPr>
          <w:rFonts w:ascii="Calibri" w:eastAsia="Calibri" w:hAnsi="Calibri" w:cs="Calibri"/>
          <w:szCs w:val="20"/>
          <w:lang w:val="en-AU"/>
        </w:rPr>
        <w:sectPr w:rsidR="00A37634" w:rsidRPr="00A37634" w:rsidSect="007C7289">
          <w:pgSz w:w="16838" w:h="11906" w:orient="landscape" w:code="9"/>
          <w:pgMar w:top="1138" w:right="1699" w:bottom="1138" w:left="1728" w:header="576" w:footer="720" w:gutter="0"/>
          <w:cols w:space="708"/>
          <w:titlePg/>
          <w:docGrid w:linePitch="360"/>
        </w:sectPr>
      </w:pPr>
    </w:p>
    <w:p w14:paraId="269E1CDC" w14:textId="77777777" w:rsidR="00A37634" w:rsidRPr="00A37634" w:rsidRDefault="00A37634" w:rsidP="00A37634">
      <w:pPr>
        <w:keepNext/>
        <w:keepLines/>
        <w:spacing w:before="200" w:after="600" w:line="240" w:lineRule="auto"/>
        <w:outlineLvl w:val="1"/>
        <w:rPr>
          <w:rFonts w:ascii="Calibri" w:eastAsia="Times New Roman" w:hAnsi="Calibri" w:cs="Calibri"/>
          <w:b/>
          <w:bCs/>
          <w:color w:val="ED1B24"/>
          <w:sz w:val="50"/>
          <w:szCs w:val="50"/>
          <w:lang w:val="en-AU"/>
        </w:rPr>
      </w:pPr>
      <w:bookmarkStart w:id="129" w:name="_Toc16500977"/>
      <w:r w:rsidRPr="00A37634">
        <w:rPr>
          <w:rFonts w:ascii="Calibri" w:eastAsia="Times New Roman" w:hAnsi="Calibri" w:cs="Calibri"/>
          <w:b/>
          <w:bCs/>
          <w:color w:val="ED1B24"/>
          <w:sz w:val="50"/>
          <w:szCs w:val="50"/>
          <w:lang w:val="en-AU"/>
        </w:rPr>
        <w:t>Appendix 2 AS/NZS 4755</w:t>
      </w:r>
      <w:bookmarkEnd w:id="129"/>
    </w:p>
    <w:p w14:paraId="1AC5F047" w14:textId="09644D31" w:rsidR="00A37634" w:rsidRPr="00A37634" w:rsidRDefault="00A37634" w:rsidP="00A37634">
      <w:pPr>
        <w:spacing w:before="240" w:after="120" w:line="278" w:lineRule="auto"/>
        <w:rPr>
          <w:rFonts w:ascii="Calibri" w:eastAsia="Cambria" w:hAnsi="Calibri" w:cs="Calibri"/>
          <w:lang w:val="en-AU"/>
        </w:rPr>
      </w:pPr>
      <w:r w:rsidRPr="00A37634">
        <w:rPr>
          <w:rFonts w:ascii="Calibri" w:eastAsia="Cambria" w:hAnsi="Calibri" w:cs="Calibri"/>
          <w:lang w:val="en-AU"/>
        </w:rPr>
        <w:t xml:space="preserve">The AS/NZS 4755 framework is intended to support DR programs which optimise the operation of the electricity supply system and allow the efficient planning and use of capital equipment, while minimising the risks to the comfort and amenity of the users of electrical products. There are two pathways for achievement of demand response within the AS/NZS 4755 framework (see </w:t>
      </w:r>
      <w:r w:rsidRPr="000516A3">
        <w:rPr>
          <w:rFonts w:ascii="Calibri" w:eastAsia="Cambria" w:hAnsi="Calibri" w:cs="Calibri"/>
          <w:b/>
          <w:lang w:val="en-AU"/>
        </w:rPr>
        <w:fldChar w:fldCharType="begin"/>
      </w:r>
      <w:r w:rsidRPr="000516A3">
        <w:rPr>
          <w:rFonts w:ascii="Calibri" w:eastAsia="Cambria" w:hAnsi="Calibri" w:cs="Calibri"/>
          <w:b/>
          <w:lang w:val="en-AU"/>
        </w:rPr>
        <w:instrText xml:space="preserve"> REF _Ref11680598 \h  \* MERGEFORMAT </w:instrText>
      </w:r>
      <w:r w:rsidRPr="000516A3">
        <w:rPr>
          <w:rFonts w:ascii="Calibri" w:eastAsia="Cambria" w:hAnsi="Calibri" w:cs="Calibri"/>
          <w:b/>
          <w:lang w:val="en-AU"/>
        </w:rPr>
      </w:r>
      <w:r w:rsidRPr="000516A3">
        <w:rPr>
          <w:rFonts w:ascii="Calibri" w:eastAsia="Cambria" w:hAnsi="Calibri" w:cs="Calibri"/>
          <w:b/>
          <w:lang w:val="en-AU"/>
        </w:rPr>
        <w:fldChar w:fldCharType="separate"/>
      </w:r>
      <w:r w:rsidR="00181136" w:rsidRPr="00181136">
        <w:rPr>
          <w:rFonts w:ascii="Calibri" w:eastAsia="Calibri" w:hAnsi="Calibri" w:cs="Calibri"/>
          <w:b/>
          <w:lang w:val="en-AU"/>
        </w:rPr>
        <w:t xml:space="preserve">Figure </w:t>
      </w:r>
      <w:r w:rsidR="00181136" w:rsidRPr="00181136">
        <w:rPr>
          <w:rFonts w:ascii="Calibri" w:eastAsia="Calibri" w:hAnsi="Calibri" w:cs="Calibri"/>
          <w:b/>
          <w:noProof/>
          <w:lang w:val="en-AU"/>
        </w:rPr>
        <w:t>4</w:t>
      </w:r>
      <w:r w:rsidRPr="000516A3">
        <w:rPr>
          <w:rFonts w:ascii="Calibri" w:eastAsia="Cambria" w:hAnsi="Calibri" w:cs="Calibri"/>
          <w:b/>
          <w:lang w:val="en-AU"/>
        </w:rPr>
        <w:fldChar w:fldCharType="end"/>
      </w:r>
      <w:r w:rsidRPr="00A37634">
        <w:rPr>
          <w:rFonts w:ascii="Calibri" w:eastAsia="Cambria" w:hAnsi="Calibri" w:cs="Calibri"/>
          <w:lang w:val="en-AU"/>
        </w:rPr>
        <w:t>).</w:t>
      </w:r>
    </w:p>
    <w:p w14:paraId="369F8ACB"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 xml:space="preserve">The AS/NZS 4755.1 pathway involves electrical products which conform to </w:t>
      </w:r>
      <w:bookmarkStart w:id="130" w:name="_Hlk13060977"/>
      <w:r w:rsidRPr="00A37634">
        <w:rPr>
          <w:rFonts w:ascii="Calibri" w:eastAsia="Cambria" w:hAnsi="Calibri" w:cs="Calibri"/>
          <w:lang w:val="en-AU"/>
        </w:rPr>
        <w:t xml:space="preserve">a part of the AS/NZS 4755.3 series, connected to </w:t>
      </w:r>
      <w:bookmarkEnd w:id="130"/>
      <w:r w:rsidRPr="00A37634">
        <w:rPr>
          <w:rFonts w:ascii="Calibri" w:eastAsia="Cambria" w:hAnsi="Calibri" w:cs="Calibri"/>
          <w:lang w:val="en-AU"/>
        </w:rPr>
        <w:t>a DRED complying with AS/NZS 4755.1. The Remote Agent interacts with the electrical products via the DRED. (It is not essential to have a DRED that complies with AS/NZS 4755.1 to achieve DR. AS/NZS 4755.3 electrical products could be activated by a Home Energy Management System (HEMS) or other DRED-like device, so long as it is connected to, and electrically compatible with, the physical interface on the product, but strictly speaking this is outside the AS/NZS 4755 framework.)</w:t>
      </w:r>
    </w:p>
    <w:p w14:paraId="219C4DAA"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The AS 4755.2 pathway involves electrical products which conform to (DR) AS 4755.2. As there is no separate DRED in this pathway, the essential communications and other functions of the DRED have to be supported by the electrical product itself. Another key difference is that this Standard does not require the presence of a physical interface.</w:t>
      </w:r>
    </w:p>
    <w:p w14:paraId="045C23EA"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There are therefore two categories of electrical product within the AS/NZS 4755 framework — those conforming to AS/NZS 4755.3 and those conforming to AS 4755.2. The same an electrical product could conform to both, provided it is capable of managing the potential conflicts that could arise if different remote agents try to access it by different pathways.</w:t>
      </w:r>
    </w:p>
    <w:p w14:paraId="5DDA817A"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 xml:space="preserve">The AS/NZS 4755 framework is also relevant to AS/NZS 4777, </w:t>
      </w:r>
      <w:r w:rsidRPr="00A37634">
        <w:rPr>
          <w:rFonts w:ascii="Calibri" w:eastAsia="Cambria" w:hAnsi="Calibri" w:cs="Calibri"/>
          <w:i/>
          <w:iCs/>
          <w:lang w:val="en-AU"/>
        </w:rPr>
        <w:t>Grid connection of energy systems via inverters, Part 2: Inverter requirements</w:t>
      </w:r>
      <w:r w:rsidRPr="00A37634">
        <w:rPr>
          <w:rFonts w:ascii="Calibri" w:eastAsia="Cambria" w:hAnsi="Calibri" w:cs="Calibri"/>
          <w:lang w:val="en-AU"/>
        </w:rPr>
        <w:t>. Inverters of the kind covered in AS/NZS 4777.2 may have a means of connecting to a DRED, or an alternative pathway to be used for demand response if a DRED is not present. The detailed requirements for inverters are covered in AS/NZS 4777.2, and (DR) AS 4755.2 cross-refers to AS/NZS 4777.2 where relevant.</w:t>
      </w:r>
    </w:p>
    <w:p w14:paraId="22A60B60" w14:textId="77777777" w:rsidR="00A37634" w:rsidRPr="00A37634" w:rsidRDefault="00A37634" w:rsidP="00A37634">
      <w:pPr>
        <w:spacing w:before="120" w:after="120" w:line="278" w:lineRule="auto"/>
        <w:rPr>
          <w:rFonts w:ascii="Calibri" w:eastAsia="Cambria" w:hAnsi="Calibri" w:cs="Calibri"/>
          <w:lang w:val="en-AU"/>
        </w:rPr>
      </w:pPr>
      <w:r w:rsidRPr="00A37634">
        <w:rPr>
          <w:rFonts w:ascii="Calibri" w:eastAsia="Cambria" w:hAnsi="Calibri" w:cs="Calibri"/>
          <w:lang w:val="en-AU"/>
        </w:rPr>
        <w:t xml:space="preserve">The DRMs described in Appendices A, B, C, and D of (DR) AS 4755.2 replicate the DRMs in AS/NZS 4755.3.1, AS/NZS 4755.3.2, AS/NZS 4755.3.3 and AS/NZS 4755.3.5 respectively, but without the use of DREDs. An electrical product which conforms </w:t>
      </w:r>
      <w:proofErr w:type="gramStart"/>
      <w:r w:rsidRPr="00A37634">
        <w:rPr>
          <w:rFonts w:ascii="Calibri" w:eastAsia="Cambria" w:hAnsi="Calibri" w:cs="Calibri"/>
          <w:lang w:val="en-AU"/>
        </w:rPr>
        <w:t>with</w:t>
      </w:r>
      <w:proofErr w:type="gramEnd"/>
      <w:r w:rsidRPr="00A37634">
        <w:rPr>
          <w:rFonts w:ascii="Calibri" w:eastAsia="Cambria" w:hAnsi="Calibri" w:cs="Calibri"/>
          <w:lang w:val="en-AU"/>
        </w:rPr>
        <w:t xml:space="preserve"> (DR) AS 4755.2 has to have a means of receiving commands from a remote agent. The formats for conveying commands using Hyper-Text Transfer Protocol (HTTP) Application Programming Interface (API) in pull and push modes are described in Appendices G and H respectively of (DR) AS 4755.2. </w:t>
      </w:r>
    </w:p>
    <w:p w14:paraId="570F247C" w14:textId="77777777" w:rsidR="00A37634" w:rsidRPr="00A37634" w:rsidRDefault="00A37634" w:rsidP="00A37634">
      <w:pPr>
        <w:spacing w:before="120" w:after="120" w:line="278" w:lineRule="auto"/>
        <w:rPr>
          <w:rFonts w:ascii="Calibri" w:eastAsia="Cambria" w:hAnsi="Calibri" w:cs="Calibri"/>
          <w:sz w:val="20"/>
          <w:szCs w:val="20"/>
          <w:lang w:val="en-AU"/>
        </w:rPr>
      </w:pPr>
      <w:r w:rsidRPr="00A37634">
        <w:rPr>
          <w:rFonts w:ascii="Calibri" w:eastAsia="Cambria" w:hAnsi="Calibri" w:cs="Calibri"/>
          <w:lang w:val="en-AU"/>
        </w:rPr>
        <w:t>However, it is intended to add other options to the standard in the future, so providing a path to integration with any emerging international standards.</w:t>
      </w:r>
      <w:r w:rsidRPr="00A37634">
        <w:rPr>
          <w:rFonts w:ascii="Calibri" w:eastAsia="Calibri" w:hAnsi="Calibri" w:cs="Calibri"/>
          <w:vertAlign w:val="superscript"/>
          <w:lang w:val="en-AU"/>
        </w:rPr>
        <w:footnoteReference w:id="77"/>
      </w:r>
      <w:r w:rsidRPr="00A37634">
        <w:rPr>
          <w:rFonts w:ascii="Calibri" w:eastAsia="Calibri" w:hAnsi="Calibri" w:cs="Calibri"/>
          <w:lang w:val="en-AU"/>
        </w:rPr>
        <w:t xml:space="preserve"> </w:t>
      </w:r>
      <w:r w:rsidRPr="00A37634">
        <w:rPr>
          <w:rFonts w:ascii="Calibri" w:eastAsia="Cambria" w:hAnsi="Calibri" w:cs="Calibri"/>
          <w:lang w:val="en-AU"/>
        </w:rPr>
        <w:t>New options would be added as new Appendices, to be published as future amendments. It is also possible that more electrical products will be added to the AS/NZS 4755 framework over time.</w:t>
      </w:r>
      <w:r w:rsidRPr="00A37634">
        <w:rPr>
          <w:rFonts w:ascii="Calibri" w:eastAsia="Cambria" w:hAnsi="Calibri" w:cs="Calibri"/>
          <w:sz w:val="20"/>
          <w:szCs w:val="20"/>
          <w:lang w:val="en-AU"/>
        </w:rPr>
        <w:t xml:space="preserve"> </w:t>
      </w:r>
    </w:p>
    <w:p w14:paraId="7AF7953D" w14:textId="5A35799D" w:rsidR="00A37634" w:rsidRPr="00A37634" w:rsidRDefault="00A37634" w:rsidP="00A37634">
      <w:pPr>
        <w:spacing w:before="240" w:after="120" w:line="240" w:lineRule="auto"/>
        <w:jc w:val="center"/>
        <w:rPr>
          <w:rFonts w:ascii="Calibri" w:eastAsia="Cambria" w:hAnsi="Calibri" w:cs="Calibri"/>
          <w:b/>
          <w:bCs/>
          <w:sz w:val="20"/>
          <w:szCs w:val="16"/>
          <w:lang w:val="en-AU"/>
        </w:rPr>
      </w:pPr>
      <w:bookmarkStart w:id="131" w:name="_Ref11586760"/>
      <w:bookmarkStart w:id="132" w:name="_Toc16501009"/>
      <w:r w:rsidRPr="00A37634">
        <w:rPr>
          <w:rFonts w:ascii="Calibri" w:eastAsia="Cambria" w:hAnsi="Calibri" w:cs="Calibri"/>
          <w:b/>
          <w:bCs/>
          <w:sz w:val="20"/>
          <w:szCs w:val="16"/>
          <w:lang w:val="en-AU"/>
        </w:rPr>
        <w:t xml:space="preserve">Table </w:t>
      </w:r>
      <w:r w:rsidRPr="00A37634">
        <w:rPr>
          <w:rFonts w:ascii="Calibri" w:eastAsia="Cambria" w:hAnsi="Calibri" w:cs="Calibri"/>
          <w:b/>
          <w:bCs/>
          <w:noProof/>
          <w:sz w:val="20"/>
          <w:szCs w:val="16"/>
          <w:lang w:val="en-AU"/>
        </w:rPr>
        <w:fldChar w:fldCharType="begin"/>
      </w:r>
      <w:r w:rsidRPr="00A37634">
        <w:rPr>
          <w:rFonts w:ascii="Calibri" w:eastAsia="Cambria" w:hAnsi="Calibri" w:cs="Calibri"/>
          <w:b/>
          <w:bCs/>
          <w:noProof/>
          <w:sz w:val="20"/>
          <w:szCs w:val="16"/>
          <w:lang w:val="en-AU"/>
        </w:rPr>
        <w:instrText xml:space="preserve"> SEQ Table \* ARABIC </w:instrText>
      </w:r>
      <w:r w:rsidRPr="00A37634">
        <w:rPr>
          <w:rFonts w:ascii="Calibri" w:eastAsia="Cambria" w:hAnsi="Calibri" w:cs="Calibri"/>
          <w:b/>
          <w:bCs/>
          <w:noProof/>
          <w:sz w:val="20"/>
          <w:szCs w:val="16"/>
          <w:lang w:val="en-AU"/>
        </w:rPr>
        <w:fldChar w:fldCharType="separate"/>
      </w:r>
      <w:r w:rsidR="00181136">
        <w:rPr>
          <w:rFonts w:ascii="Calibri" w:eastAsia="Cambria" w:hAnsi="Calibri" w:cs="Calibri"/>
          <w:b/>
          <w:bCs/>
          <w:noProof/>
          <w:sz w:val="20"/>
          <w:szCs w:val="16"/>
          <w:lang w:val="en-AU"/>
        </w:rPr>
        <w:t>18</w:t>
      </w:r>
      <w:r w:rsidRPr="00A37634">
        <w:rPr>
          <w:rFonts w:ascii="Calibri" w:eastAsia="Cambria" w:hAnsi="Calibri" w:cs="Calibri"/>
          <w:b/>
          <w:bCs/>
          <w:noProof/>
          <w:sz w:val="20"/>
          <w:szCs w:val="16"/>
          <w:lang w:val="en-AU"/>
        </w:rPr>
        <w:fldChar w:fldCharType="end"/>
      </w:r>
      <w:bookmarkEnd w:id="131"/>
      <w:r w:rsidRPr="00A37634">
        <w:rPr>
          <w:rFonts w:ascii="Calibri" w:eastAsia="Cambria" w:hAnsi="Calibri" w:cs="Calibri"/>
          <w:b/>
          <w:bCs/>
          <w:noProof/>
          <w:sz w:val="20"/>
          <w:szCs w:val="16"/>
          <w:lang w:val="en-AU"/>
        </w:rPr>
        <w:t>.</w:t>
      </w:r>
      <w:r w:rsidRPr="00A37634">
        <w:rPr>
          <w:rFonts w:ascii="Calibri" w:eastAsia="Cambria" w:hAnsi="Calibri" w:cs="Calibri"/>
          <w:b/>
          <w:bCs/>
          <w:sz w:val="20"/>
          <w:szCs w:val="16"/>
          <w:lang w:val="en-AU"/>
        </w:rPr>
        <w:t xml:space="preserve"> Parts of AS/NZS 4755 Demand response capabilities and supporting technologies for electrical products</w:t>
      </w:r>
      <w:bookmarkEnd w:id="132"/>
    </w:p>
    <w:tbl>
      <w:tblPr>
        <w:tblStyle w:val="TableGrid"/>
        <w:tblW w:w="0" w:type="auto"/>
        <w:jc w:val="center"/>
        <w:tblLook w:val="04A0" w:firstRow="1" w:lastRow="0" w:firstColumn="1" w:lastColumn="0" w:noHBand="0" w:noVBand="1"/>
        <w:tblCaption w:val="&quot;0&quot;"/>
      </w:tblPr>
      <w:tblGrid>
        <w:gridCol w:w="3005"/>
        <w:gridCol w:w="3005"/>
        <w:gridCol w:w="3006"/>
      </w:tblGrid>
      <w:tr w:rsidR="00A37634" w:rsidRPr="00A37634" w14:paraId="76240650" w14:textId="77777777" w:rsidTr="007C7289">
        <w:trPr>
          <w:tblHeader/>
          <w:jc w:val="center"/>
        </w:trPr>
        <w:tc>
          <w:tcPr>
            <w:tcW w:w="3005" w:type="dxa"/>
          </w:tcPr>
          <w:p w14:paraId="07255075" w14:textId="77777777" w:rsidR="00A37634" w:rsidRPr="00A37634" w:rsidRDefault="00A37634" w:rsidP="00A37634">
            <w:pPr>
              <w:spacing w:after="120" w:line="276" w:lineRule="auto"/>
              <w:jc w:val="center"/>
              <w:rPr>
                <w:rFonts w:ascii="Calibri" w:eastAsia="Calibri" w:hAnsi="Calibri" w:cs="Calibri"/>
                <w:b/>
                <w:lang w:val="en-AU"/>
              </w:rPr>
            </w:pPr>
            <w:r w:rsidRPr="00A37634">
              <w:rPr>
                <w:rFonts w:ascii="Calibri" w:eastAsia="Calibri" w:hAnsi="Calibri" w:cs="Calibri"/>
                <w:b/>
                <w:lang w:val="en-AU"/>
              </w:rPr>
              <w:t>Referred to in 2013 Consultation RIS</w:t>
            </w:r>
          </w:p>
        </w:tc>
        <w:tc>
          <w:tcPr>
            <w:tcW w:w="3005" w:type="dxa"/>
          </w:tcPr>
          <w:p w14:paraId="3D8C3F64" w14:textId="77777777" w:rsidR="00A37634" w:rsidRPr="00A37634" w:rsidRDefault="00A37634" w:rsidP="00A37634">
            <w:pPr>
              <w:spacing w:after="120" w:line="276" w:lineRule="auto"/>
              <w:jc w:val="center"/>
              <w:rPr>
                <w:rFonts w:ascii="Calibri" w:eastAsia="Calibri" w:hAnsi="Calibri" w:cs="Calibri"/>
                <w:b/>
                <w:lang w:val="en-AU"/>
              </w:rPr>
            </w:pPr>
            <w:r w:rsidRPr="00A37634">
              <w:rPr>
                <w:rFonts w:ascii="Calibri" w:eastAsia="Calibri" w:hAnsi="Calibri" w:cs="Calibri"/>
                <w:b/>
                <w:lang w:val="en-AU"/>
              </w:rPr>
              <w:t>Now</w:t>
            </w:r>
          </w:p>
        </w:tc>
        <w:tc>
          <w:tcPr>
            <w:tcW w:w="3006" w:type="dxa"/>
          </w:tcPr>
          <w:p w14:paraId="4868C395" w14:textId="77777777" w:rsidR="00A37634" w:rsidRPr="00A37634" w:rsidRDefault="00A37634" w:rsidP="00A37634">
            <w:pPr>
              <w:spacing w:after="120" w:line="276" w:lineRule="auto"/>
              <w:jc w:val="center"/>
              <w:rPr>
                <w:rFonts w:ascii="Calibri" w:eastAsia="Calibri" w:hAnsi="Calibri" w:cs="Calibri"/>
                <w:b/>
                <w:lang w:val="en-AU"/>
              </w:rPr>
            </w:pPr>
            <w:r w:rsidRPr="00A37634">
              <w:rPr>
                <w:rFonts w:ascii="Calibri" w:eastAsia="Calibri" w:hAnsi="Calibri" w:cs="Calibri"/>
                <w:b/>
                <w:lang w:val="en-AU"/>
              </w:rPr>
              <w:t>Comment</w:t>
            </w:r>
          </w:p>
        </w:tc>
      </w:tr>
      <w:tr w:rsidR="00A37634" w:rsidRPr="00A37634" w14:paraId="640B49F5" w14:textId="77777777" w:rsidTr="007C7289">
        <w:trPr>
          <w:jc w:val="center"/>
        </w:trPr>
        <w:tc>
          <w:tcPr>
            <w:tcW w:w="3005" w:type="dxa"/>
          </w:tcPr>
          <w:p w14:paraId="5F132D70"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Not mentioned - Not published at the time</w:t>
            </w:r>
          </w:p>
        </w:tc>
        <w:tc>
          <w:tcPr>
            <w:tcW w:w="3005" w:type="dxa"/>
          </w:tcPr>
          <w:p w14:paraId="7DC2FD9F"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 xml:space="preserve">4755.1 Framework for demand response capabilities and requirements for </w:t>
            </w:r>
            <w:r w:rsidRPr="00A37634">
              <w:rPr>
                <w:rFonts w:ascii="Calibri" w:eastAsia="Calibri" w:hAnsi="Calibri" w:cs="Calibri"/>
                <w:b/>
                <w:lang w:val="en-AU"/>
              </w:rPr>
              <w:t>demand response enabling devices (DREDs)</w:t>
            </w:r>
          </w:p>
        </w:tc>
        <w:tc>
          <w:tcPr>
            <w:tcW w:w="3006" w:type="dxa"/>
          </w:tcPr>
          <w:p w14:paraId="3C88B818"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 xml:space="preserve">Compliance does not need to be mandated. DR can be achieved by connecting a compliant electrical product to either a compliant or non-compliant DRED or HEMS </w:t>
            </w:r>
          </w:p>
        </w:tc>
      </w:tr>
      <w:tr w:rsidR="00A37634" w:rsidRPr="00A37634" w14:paraId="24E4FB7E" w14:textId="77777777" w:rsidTr="007C7289">
        <w:trPr>
          <w:jc w:val="center"/>
        </w:trPr>
        <w:tc>
          <w:tcPr>
            <w:tcW w:w="3005" w:type="dxa"/>
          </w:tcPr>
          <w:p w14:paraId="202122A8"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 xml:space="preserve">4755.3.1:2012 Interaction of demand response enabling devices and electrical products—Operational instructions and connections for </w:t>
            </w:r>
            <w:r w:rsidRPr="00A37634">
              <w:rPr>
                <w:rFonts w:ascii="Calibri" w:eastAsia="Calibri" w:hAnsi="Calibri" w:cs="Calibri"/>
                <w:b/>
                <w:lang w:val="en-AU"/>
              </w:rPr>
              <w:t>air conditioners</w:t>
            </w:r>
          </w:p>
        </w:tc>
        <w:tc>
          <w:tcPr>
            <w:tcW w:w="3005" w:type="dxa"/>
          </w:tcPr>
          <w:p w14:paraId="323B5B07"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 xml:space="preserve">4755.3.1:2014 Interaction of demand response enabling devices and electrical products—Operational instructions and connections for </w:t>
            </w:r>
            <w:r w:rsidRPr="00A37634">
              <w:rPr>
                <w:rFonts w:ascii="Calibri" w:eastAsia="Calibri" w:hAnsi="Calibri" w:cs="Calibri"/>
                <w:b/>
                <w:lang w:val="en-AU"/>
              </w:rPr>
              <w:t>air conditioners</w:t>
            </w:r>
          </w:p>
        </w:tc>
        <w:tc>
          <w:tcPr>
            <w:tcW w:w="3006" w:type="dxa"/>
          </w:tcPr>
          <w:p w14:paraId="2A1FE6C6"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 xml:space="preserve">The 2013 RIS recommended compliance with either version: it is no longer necessary to refer to the now obsolete 2012 version. </w:t>
            </w:r>
          </w:p>
        </w:tc>
      </w:tr>
      <w:tr w:rsidR="00A37634" w:rsidRPr="00A37634" w14:paraId="59E001EB" w14:textId="77777777" w:rsidTr="007C7289">
        <w:trPr>
          <w:jc w:val="center"/>
        </w:trPr>
        <w:tc>
          <w:tcPr>
            <w:tcW w:w="3005" w:type="dxa"/>
          </w:tcPr>
          <w:p w14:paraId="7F90E823"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 xml:space="preserve">4755.3.2:2014 Operational instructions and connections for </w:t>
            </w:r>
            <w:r w:rsidRPr="00A37634">
              <w:rPr>
                <w:rFonts w:ascii="Calibri" w:eastAsia="Calibri" w:hAnsi="Calibri" w:cs="Calibri"/>
                <w:b/>
                <w:lang w:val="en-AU"/>
              </w:rPr>
              <w:t>swimming pool pump-unit controllers</w:t>
            </w:r>
            <w:r w:rsidRPr="00A37634">
              <w:rPr>
                <w:rFonts w:ascii="Calibri" w:eastAsia="Calibri" w:hAnsi="Calibri" w:cs="Calibri"/>
                <w:lang w:val="en-AU"/>
              </w:rPr>
              <w:t xml:space="preserve"> </w:t>
            </w:r>
          </w:p>
        </w:tc>
        <w:tc>
          <w:tcPr>
            <w:tcW w:w="3005" w:type="dxa"/>
          </w:tcPr>
          <w:p w14:paraId="75267EF9"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No change – version still current</w:t>
            </w:r>
          </w:p>
        </w:tc>
        <w:tc>
          <w:tcPr>
            <w:tcW w:w="3006" w:type="dxa"/>
          </w:tcPr>
          <w:p w14:paraId="60E204D3"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No change</w:t>
            </w:r>
          </w:p>
        </w:tc>
      </w:tr>
      <w:tr w:rsidR="00A37634" w:rsidRPr="00A37634" w14:paraId="1EBBC61A" w14:textId="77777777" w:rsidTr="007C7289">
        <w:trPr>
          <w:jc w:val="center"/>
        </w:trPr>
        <w:tc>
          <w:tcPr>
            <w:tcW w:w="3005" w:type="dxa"/>
          </w:tcPr>
          <w:p w14:paraId="01B68A76"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 xml:space="preserve">4755.3.3:2014 Operational instructions and connections for </w:t>
            </w:r>
            <w:r w:rsidRPr="00A37634">
              <w:rPr>
                <w:rFonts w:ascii="Calibri" w:eastAsia="Calibri" w:hAnsi="Calibri" w:cs="Calibri"/>
                <w:b/>
                <w:lang w:val="en-AU"/>
              </w:rPr>
              <w:t>electric storage and electric-boosted storage water heaters</w:t>
            </w:r>
          </w:p>
        </w:tc>
        <w:tc>
          <w:tcPr>
            <w:tcW w:w="3005" w:type="dxa"/>
          </w:tcPr>
          <w:p w14:paraId="52EA8E88"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No change – version still current</w:t>
            </w:r>
          </w:p>
        </w:tc>
        <w:tc>
          <w:tcPr>
            <w:tcW w:w="3006" w:type="dxa"/>
          </w:tcPr>
          <w:p w14:paraId="0B6AE40F"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Scope includes electric resistance, solar-electric and heat pump water heaters, but compliance was recommended for electric resistance types only</w:t>
            </w:r>
          </w:p>
        </w:tc>
      </w:tr>
      <w:tr w:rsidR="00A37634" w:rsidRPr="00A37634" w14:paraId="07E1D022" w14:textId="77777777" w:rsidTr="007C7289">
        <w:trPr>
          <w:jc w:val="center"/>
        </w:trPr>
        <w:tc>
          <w:tcPr>
            <w:tcW w:w="3005" w:type="dxa"/>
          </w:tcPr>
          <w:p w14:paraId="24ABA532"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 xml:space="preserve">4755.3.4 Operational instructions and connections for </w:t>
            </w:r>
            <w:r w:rsidRPr="00A37634">
              <w:rPr>
                <w:rFonts w:ascii="Calibri" w:eastAsia="Calibri" w:hAnsi="Calibri" w:cs="Calibri"/>
                <w:b/>
                <w:lang w:val="en-AU"/>
              </w:rPr>
              <w:t>charge/discharge controllers for electric vehicles</w:t>
            </w:r>
          </w:p>
        </w:tc>
        <w:tc>
          <w:tcPr>
            <w:tcW w:w="3005" w:type="dxa"/>
          </w:tcPr>
          <w:p w14:paraId="67ED2928"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 xml:space="preserve">Draft was released for public comment in 2014 but has not been published. </w:t>
            </w:r>
          </w:p>
        </w:tc>
        <w:tc>
          <w:tcPr>
            <w:tcW w:w="3006" w:type="dxa"/>
          </w:tcPr>
          <w:p w14:paraId="1050D400"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 xml:space="preserve">If this product is to be covered, either new version of 4755.3.4 or a new standard is required. Alternatively, technical content could be in GEMS determination. </w:t>
            </w:r>
          </w:p>
        </w:tc>
      </w:tr>
      <w:tr w:rsidR="00A37634" w:rsidRPr="00A37634" w14:paraId="0167B772" w14:textId="77777777" w:rsidTr="007C7289">
        <w:trPr>
          <w:jc w:val="center"/>
        </w:trPr>
        <w:tc>
          <w:tcPr>
            <w:tcW w:w="3005" w:type="dxa"/>
          </w:tcPr>
          <w:p w14:paraId="7CFA4A71"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Not mentioned - Not published at the time</w:t>
            </w:r>
          </w:p>
        </w:tc>
        <w:tc>
          <w:tcPr>
            <w:tcW w:w="3005" w:type="dxa"/>
          </w:tcPr>
          <w:p w14:paraId="2906C3B1"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 xml:space="preserve">4755.3.5:2016 Operational instructions and connections for </w:t>
            </w:r>
            <w:r w:rsidRPr="00A37634">
              <w:rPr>
                <w:rFonts w:ascii="Calibri" w:eastAsia="Calibri" w:hAnsi="Calibri" w:cs="Calibri"/>
                <w:b/>
                <w:lang w:val="en-AU"/>
              </w:rPr>
              <w:t>grid-connected electrical energy storage systems</w:t>
            </w:r>
            <w:r w:rsidRPr="00A37634">
              <w:rPr>
                <w:rFonts w:ascii="Calibri" w:eastAsia="Calibri" w:hAnsi="Calibri" w:cs="Calibri"/>
                <w:lang w:val="en-AU"/>
              </w:rPr>
              <w:t xml:space="preserve"> </w:t>
            </w:r>
          </w:p>
        </w:tc>
        <w:tc>
          <w:tcPr>
            <w:tcW w:w="3006" w:type="dxa"/>
          </w:tcPr>
          <w:p w14:paraId="038E33D9"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Covers battery storage, among other storage technologies. Developed at request of Energy Networks Association (ENA). Mandating compliance not proposed for time being</w:t>
            </w:r>
          </w:p>
        </w:tc>
      </w:tr>
      <w:tr w:rsidR="00A37634" w:rsidRPr="00A37634" w14:paraId="47211698" w14:textId="77777777" w:rsidTr="007C7289">
        <w:trPr>
          <w:jc w:val="center"/>
        </w:trPr>
        <w:tc>
          <w:tcPr>
            <w:tcW w:w="3005" w:type="dxa"/>
          </w:tcPr>
          <w:p w14:paraId="02F538F4"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Not mentioned - Not published at the time</w:t>
            </w:r>
          </w:p>
        </w:tc>
        <w:tc>
          <w:tcPr>
            <w:tcW w:w="3005" w:type="dxa"/>
          </w:tcPr>
          <w:p w14:paraId="1496A663"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 xml:space="preserve">4755.2 Demand response framework and requirements for </w:t>
            </w:r>
            <w:r w:rsidRPr="00A37634">
              <w:rPr>
                <w:rFonts w:ascii="Calibri" w:eastAsia="Calibri" w:hAnsi="Calibri" w:cs="Calibri"/>
                <w:b/>
                <w:lang w:val="en-AU"/>
              </w:rPr>
              <w:t xml:space="preserve">communication between remote agents and electrical </w:t>
            </w:r>
            <w:proofErr w:type="gramStart"/>
            <w:r w:rsidRPr="00A37634">
              <w:rPr>
                <w:rFonts w:ascii="Calibri" w:eastAsia="Calibri" w:hAnsi="Calibri" w:cs="Calibri"/>
                <w:b/>
                <w:lang w:val="en-AU"/>
              </w:rPr>
              <w:t>products</w:t>
            </w:r>
            <w:proofErr w:type="gramEnd"/>
            <w:r w:rsidRPr="00A37634">
              <w:rPr>
                <w:rFonts w:ascii="Calibri" w:eastAsia="Calibri" w:hAnsi="Calibri" w:cs="Calibri"/>
                <w:lang w:val="en-AU"/>
              </w:rPr>
              <w:br/>
              <w:t>(In public comment stage. Expected to be published at end of 2019)</w:t>
            </w:r>
          </w:p>
        </w:tc>
        <w:tc>
          <w:tcPr>
            <w:tcW w:w="3006" w:type="dxa"/>
          </w:tcPr>
          <w:p w14:paraId="7279D659" w14:textId="77777777" w:rsidR="00A37634" w:rsidRPr="00A37634" w:rsidRDefault="00A37634" w:rsidP="00A37634">
            <w:pPr>
              <w:spacing w:after="120" w:line="276" w:lineRule="auto"/>
              <w:rPr>
                <w:rFonts w:ascii="Calibri" w:eastAsia="Calibri" w:hAnsi="Calibri" w:cs="Calibri"/>
                <w:lang w:val="en-AU"/>
              </w:rPr>
            </w:pPr>
            <w:r w:rsidRPr="00A37634">
              <w:rPr>
                <w:rFonts w:ascii="Calibri" w:eastAsia="Calibri" w:hAnsi="Calibri" w:cs="Calibri"/>
                <w:lang w:val="en-AU"/>
              </w:rPr>
              <w:t>Offers an alternative pathway to DR compliance for air conditioners, pool pump controllers, water heaters and grid-connected electrical energy storage systems. No physical interface or DRED required. DRMs 1</w:t>
            </w:r>
            <w:proofErr w:type="gramStart"/>
            <w:r w:rsidRPr="00A37634">
              <w:rPr>
                <w:rFonts w:ascii="Calibri" w:eastAsia="Calibri" w:hAnsi="Calibri" w:cs="Calibri"/>
                <w:lang w:val="en-AU"/>
              </w:rPr>
              <w:t>,2,3</w:t>
            </w:r>
            <w:proofErr w:type="gramEnd"/>
            <w:r w:rsidRPr="00A37634">
              <w:rPr>
                <w:rFonts w:ascii="Calibri" w:eastAsia="Calibri" w:hAnsi="Calibri" w:cs="Calibri"/>
                <w:lang w:val="en-AU"/>
              </w:rPr>
              <w:t xml:space="preserve"> etc. same as in other parts. Developed at request of Australian Energy Council (AEC)</w:t>
            </w:r>
          </w:p>
        </w:tc>
      </w:tr>
    </w:tbl>
    <w:p w14:paraId="5B6CA9FF" w14:textId="77777777" w:rsidR="00A37634" w:rsidRPr="00A37634" w:rsidRDefault="00A37634" w:rsidP="00A37634">
      <w:pPr>
        <w:spacing w:before="240" w:after="240" w:line="276" w:lineRule="auto"/>
        <w:rPr>
          <w:rFonts w:ascii="Calibri" w:eastAsia="Calibri" w:hAnsi="Calibri" w:cs="Calibri"/>
          <w:b/>
          <w:bCs/>
          <w:color w:val="FF0000"/>
          <w:sz w:val="28"/>
          <w:szCs w:val="20"/>
          <w:lang w:val="en-AU"/>
        </w:rPr>
      </w:pPr>
      <w:r w:rsidRPr="00A37634">
        <w:rPr>
          <w:rFonts w:ascii="Calibri" w:eastAsia="Calibri" w:hAnsi="Calibri" w:cs="Calibri"/>
          <w:b/>
          <w:bCs/>
          <w:color w:val="FF0000"/>
          <w:sz w:val="28"/>
          <w:szCs w:val="20"/>
          <w:lang w:val="en-AU"/>
        </w:rPr>
        <w:t xml:space="preserve">Alternative “Smart Home” Products and Standards </w:t>
      </w:r>
    </w:p>
    <w:p w14:paraId="72C2813D" w14:textId="77777777" w:rsidR="00A37634" w:rsidRPr="00A37634" w:rsidRDefault="00A37634" w:rsidP="00A37634">
      <w:pPr>
        <w:spacing w:before="240" w:after="120" w:line="278" w:lineRule="auto"/>
        <w:rPr>
          <w:rFonts w:ascii="Calibri" w:eastAsia="Cambria" w:hAnsi="Calibri" w:cs="Calibri"/>
          <w:szCs w:val="20"/>
          <w:lang w:val="en-AU"/>
        </w:rPr>
      </w:pPr>
      <w:r w:rsidRPr="00A37634">
        <w:rPr>
          <w:rFonts w:ascii="Calibri" w:eastAsia="Cambria" w:hAnsi="Calibri" w:cs="Calibri"/>
          <w:szCs w:val="20"/>
          <w:lang w:val="en-AU"/>
        </w:rPr>
        <w:t xml:space="preserve">Globally, the three sets of public DR standards supported by actual models of the appliances within the scope of this Consultation Paper are AS/NZS 4755 (Australia), </w:t>
      </w:r>
      <w:proofErr w:type="spellStart"/>
      <w:r w:rsidRPr="00A37634">
        <w:rPr>
          <w:rFonts w:ascii="Calibri" w:eastAsia="Cambria" w:hAnsi="Calibri" w:cs="Calibri"/>
          <w:szCs w:val="20"/>
          <w:lang w:val="en-AU"/>
        </w:rPr>
        <w:t>Echonet</w:t>
      </w:r>
      <w:proofErr w:type="spellEnd"/>
      <w:r w:rsidRPr="00A37634">
        <w:rPr>
          <w:rFonts w:ascii="Calibri" w:eastAsia="Cambria" w:hAnsi="Calibri" w:cs="Calibri"/>
          <w:szCs w:val="20"/>
          <w:lang w:val="en-AU"/>
        </w:rPr>
        <w:t xml:space="preserve"> (Japan)</w:t>
      </w:r>
      <w:r w:rsidRPr="00A37634">
        <w:rPr>
          <w:rFonts w:ascii="Calibri" w:eastAsia="Cambria" w:hAnsi="Calibri" w:cs="Calibri"/>
          <w:szCs w:val="20"/>
          <w:vertAlign w:val="superscript"/>
          <w:lang w:val="en-AU"/>
        </w:rPr>
        <w:footnoteReference w:id="78"/>
      </w:r>
      <w:r w:rsidRPr="00A37634">
        <w:rPr>
          <w:rFonts w:ascii="Calibri" w:eastAsia="Cambria" w:hAnsi="Calibri" w:cs="Calibri"/>
          <w:szCs w:val="20"/>
          <w:vertAlign w:val="superscript"/>
          <w:lang w:val="en-AU"/>
        </w:rPr>
        <w:t xml:space="preserve"> </w:t>
      </w:r>
      <w:r w:rsidRPr="00A37634">
        <w:rPr>
          <w:rFonts w:ascii="Calibri" w:eastAsia="Cambria" w:hAnsi="Calibri" w:cs="Calibri"/>
          <w:szCs w:val="20"/>
          <w:lang w:val="en-AU"/>
        </w:rPr>
        <w:t>and the Energy Star “Connected Appliance Criteria” (USA).</w:t>
      </w:r>
      <w:r w:rsidRPr="00A37634">
        <w:rPr>
          <w:rFonts w:ascii="Calibri" w:eastAsia="Cambria" w:hAnsi="Calibri" w:cs="Calibri"/>
          <w:szCs w:val="20"/>
          <w:vertAlign w:val="superscript"/>
          <w:lang w:val="en-AU"/>
        </w:rPr>
        <w:footnoteReference w:id="79"/>
      </w:r>
      <w:r w:rsidRPr="00A37634">
        <w:rPr>
          <w:rFonts w:ascii="Calibri" w:eastAsia="Cambria" w:hAnsi="Calibri" w:cs="Calibri"/>
          <w:szCs w:val="20"/>
          <w:vertAlign w:val="superscript"/>
          <w:lang w:val="en-AU"/>
        </w:rPr>
        <w:t xml:space="preserve"> </w:t>
      </w:r>
    </w:p>
    <w:p w14:paraId="2AE4E6B1" w14:textId="056957CA" w:rsidR="00A37634" w:rsidRPr="00A37634" w:rsidRDefault="00A37634" w:rsidP="00A37634">
      <w:pPr>
        <w:spacing w:before="120" w:after="120" w:line="278" w:lineRule="auto"/>
        <w:rPr>
          <w:rFonts w:ascii="Calibri" w:eastAsia="Cambria" w:hAnsi="Calibri" w:cs="Calibri"/>
          <w:sz w:val="20"/>
          <w:szCs w:val="20"/>
          <w:lang w:val="en-AU"/>
        </w:rPr>
      </w:pPr>
      <w:r w:rsidRPr="00A37634">
        <w:rPr>
          <w:rFonts w:ascii="Calibri" w:eastAsia="Cambria" w:hAnsi="Calibri" w:cs="Calibri"/>
          <w:szCs w:val="20"/>
          <w:lang w:val="en-AU"/>
        </w:rPr>
        <w:t xml:space="preserve">For ACs, the AS/NZS 4755 DRMs are a similar to </w:t>
      </w:r>
      <w:proofErr w:type="spellStart"/>
      <w:r w:rsidRPr="00A37634">
        <w:rPr>
          <w:rFonts w:ascii="Calibri" w:eastAsia="Cambria" w:hAnsi="Calibri" w:cs="Calibri"/>
          <w:szCs w:val="20"/>
          <w:lang w:val="en-AU"/>
        </w:rPr>
        <w:t>Echonet</w:t>
      </w:r>
      <w:proofErr w:type="spellEnd"/>
      <w:r w:rsidRPr="00A37634">
        <w:rPr>
          <w:rFonts w:ascii="Calibri" w:eastAsia="Cambria" w:hAnsi="Calibri" w:cs="Calibri"/>
          <w:szCs w:val="20"/>
          <w:lang w:val="en-AU"/>
        </w:rPr>
        <w:t xml:space="preserve"> capabilities, and many split system models are registered as compliant with both (</w:t>
      </w:r>
      <w:r w:rsidRPr="000516A3">
        <w:rPr>
          <w:rFonts w:ascii="Calibri" w:eastAsia="Cambria" w:hAnsi="Calibri" w:cs="Calibri"/>
          <w:b/>
          <w:szCs w:val="20"/>
          <w:lang w:val="en-AU"/>
        </w:rPr>
        <w:fldChar w:fldCharType="begin"/>
      </w:r>
      <w:r w:rsidRPr="000516A3">
        <w:rPr>
          <w:rFonts w:ascii="Calibri" w:eastAsia="Cambria" w:hAnsi="Calibri" w:cs="Calibri"/>
          <w:b/>
          <w:szCs w:val="20"/>
          <w:lang w:val="en-AU"/>
        </w:rPr>
        <w:instrText xml:space="preserve"> REF _Ref370055638 \h  \* MERGEFORMAT </w:instrText>
      </w:r>
      <w:r w:rsidRPr="000516A3">
        <w:rPr>
          <w:rFonts w:ascii="Calibri" w:eastAsia="Cambria" w:hAnsi="Calibri" w:cs="Calibri"/>
          <w:b/>
          <w:szCs w:val="20"/>
          <w:lang w:val="en-AU"/>
        </w:rPr>
      </w:r>
      <w:r w:rsidRPr="000516A3">
        <w:rPr>
          <w:rFonts w:ascii="Calibri" w:eastAsia="Cambria" w:hAnsi="Calibri" w:cs="Calibri"/>
          <w:b/>
          <w:szCs w:val="20"/>
          <w:lang w:val="en-AU"/>
        </w:rPr>
        <w:fldChar w:fldCharType="separate"/>
      </w:r>
      <w:r w:rsidR="00181136" w:rsidRPr="00181136">
        <w:rPr>
          <w:rFonts w:ascii="Calibri" w:eastAsia="Cambria" w:hAnsi="Calibri" w:cs="Calibri"/>
          <w:b/>
          <w:szCs w:val="20"/>
          <w:lang w:val="en-AU"/>
        </w:rPr>
        <w:t>Table 20</w:t>
      </w:r>
      <w:r w:rsidRPr="000516A3">
        <w:rPr>
          <w:rFonts w:ascii="Calibri" w:eastAsia="Cambria" w:hAnsi="Calibri" w:cs="Calibri"/>
          <w:b/>
          <w:szCs w:val="20"/>
          <w:lang w:val="en-AU"/>
        </w:rPr>
        <w:fldChar w:fldCharType="end"/>
      </w:r>
      <w:r w:rsidRPr="00A37634">
        <w:rPr>
          <w:rFonts w:ascii="Calibri" w:eastAsia="Cambria" w:hAnsi="Calibri" w:cs="Calibri"/>
          <w:szCs w:val="20"/>
          <w:lang w:val="en-AU"/>
        </w:rPr>
        <w:t>). The USA Energy Star program has published “connected” criteria for “room” (window-wall) ACs, but not split unit or ducted ACs. The reason for the lack of interest in split units (which represent three quarters of the installed stock in Australia, and over 90% in New Zealand) is the prevalence of whole-house ducted air conditioning in the USA (</w:t>
      </w:r>
      <w:r w:rsidRPr="009A41E4">
        <w:rPr>
          <w:rFonts w:ascii="Calibri" w:eastAsia="Cambria" w:hAnsi="Calibri" w:cs="Calibri"/>
          <w:b/>
          <w:szCs w:val="20"/>
          <w:lang w:val="en-AU"/>
        </w:rPr>
        <w:fldChar w:fldCharType="begin"/>
      </w:r>
      <w:r w:rsidRPr="009A41E4">
        <w:rPr>
          <w:rFonts w:ascii="Calibri" w:eastAsia="Cambria" w:hAnsi="Calibri" w:cs="Calibri"/>
          <w:b/>
          <w:szCs w:val="20"/>
          <w:lang w:val="en-AU"/>
        </w:rPr>
        <w:instrText xml:space="preserve"> REF _Ref13832111 \h  \* MERGEFORMAT </w:instrText>
      </w:r>
      <w:r w:rsidRPr="009A41E4">
        <w:rPr>
          <w:rFonts w:ascii="Calibri" w:eastAsia="Cambria" w:hAnsi="Calibri" w:cs="Calibri"/>
          <w:b/>
          <w:szCs w:val="20"/>
          <w:lang w:val="en-AU"/>
        </w:rPr>
      </w:r>
      <w:r w:rsidRPr="009A41E4">
        <w:rPr>
          <w:rFonts w:ascii="Calibri" w:eastAsia="Cambria" w:hAnsi="Calibri" w:cs="Calibri"/>
          <w:b/>
          <w:szCs w:val="20"/>
          <w:lang w:val="en-AU"/>
        </w:rPr>
        <w:fldChar w:fldCharType="separate"/>
      </w:r>
      <w:r w:rsidR="00181136" w:rsidRPr="00181136">
        <w:rPr>
          <w:rFonts w:ascii="Calibri" w:eastAsia="Cambria" w:hAnsi="Calibri" w:cs="Calibri"/>
          <w:b/>
          <w:szCs w:val="16"/>
          <w:lang w:val="en-AU"/>
        </w:rPr>
        <w:t>Table 19</w:t>
      </w:r>
      <w:r w:rsidRPr="009A41E4">
        <w:rPr>
          <w:rFonts w:ascii="Calibri" w:eastAsia="Cambria" w:hAnsi="Calibri" w:cs="Calibri"/>
          <w:b/>
          <w:szCs w:val="20"/>
          <w:lang w:val="en-AU"/>
        </w:rPr>
        <w:fldChar w:fldCharType="end"/>
      </w:r>
      <w:r w:rsidRPr="00A37634">
        <w:rPr>
          <w:rFonts w:ascii="Calibri" w:eastAsia="Cambria" w:hAnsi="Calibri" w:cs="Calibri"/>
          <w:szCs w:val="20"/>
          <w:lang w:val="en-AU"/>
        </w:rPr>
        <w:t>). Most of the non-ducted ACs in the USA are window-wall units. Split systems are relatively new to the US market.</w:t>
      </w:r>
    </w:p>
    <w:p w14:paraId="2A72CC93" w14:textId="5F13871F" w:rsidR="00A37634" w:rsidRPr="00A37634" w:rsidRDefault="00A37634" w:rsidP="00A37634">
      <w:pPr>
        <w:spacing w:before="240" w:after="120" w:line="240" w:lineRule="auto"/>
        <w:jc w:val="center"/>
        <w:rPr>
          <w:rFonts w:ascii="Calibri" w:eastAsia="Cambria" w:hAnsi="Calibri" w:cs="Calibri"/>
          <w:b/>
          <w:bCs/>
          <w:i/>
          <w:iCs/>
          <w:color w:val="1F497D"/>
          <w:sz w:val="20"/>
          <w:szCs w:val="16"/>
          <w:lang w:val="en-AU"/>
        </w:rPr>
      </w:pPr>
      <w:bookmarkStart w:id="133" w:name="_Ref13832111"/>
      <w:bookmarkStart w:id="134" w:name="_Toc16501010"/>
      <w:r w:rsidRPr="00A37634">
        <w:rPr>
          <w:rFonts w:ascii="Calibri" w:eastAsia="Cambria" w:hAnsi="Calibri" w:cs="Calibri"/>
          <w:b/>
          <w:bCs/>
          <w:sz w:val="20"/>
          <w:szCs w:val="16"/>
          <w:lang w:val="en-AU"/>
        </w:rPr>
        <w:t xml:space="preserve">Table </w:t>
      </w:r>
      <w:r w:rsidRPr="00A37634">
        <w:rPr>
          <w:rFonts w:ascii="Calibri" w:eastAsia="Cambria" w:hAnsi="Calibri" w:cs="Calibri"/>
          <w:b/>
          <w:bCs/>
          <w:sz w:val="20"/>
          <w:szCs w:val="16"/>
          <w:lang w:val="en-AU"/>
        </w:rPr>
        <w:fldChar w:fldCharType="begin"/>
      </w:r>
      <w:r w:rsidRPr="00A37634">
        <w:rPr>
          <w:rFonts w:ascii="Calibri" w:eastAsia="Cambria" w:hAnsi="Calibri" w:cs="Calibri"/>
          <w:b/>
          <w:bCs/>
          <w:sz w:val="20"/>
          <w:szCs w:val="16"/>
          <w:lang w:val="en-AU"/>
        </w:rPr>
        <w:instrText xml:space="preserve"> SEQ Table \* ARABIC </w:instrText>
      </w:r>
      <w:r w:rsidRPr="00A37634">
        <w:rPr>
          <w:rFonts w:ascii="Calibri" w:eastAsia="Cambria" w:hAnsi="Calibri" w:cs="Calibri"/>
          <w:b/>
          <w:bCs/>
          <w:sz w:val="20"/>
          <w:szCs w:val="16"/>
          <w:lang w:val="en-AU"/>
        </w:rPr>
        <w:fldChar w:fldCharType="separate"/>
      </w:r>
      <w:r w:rsidR="00181136">
        <w:rPr>
          <w:rFonts w:ascii="Calibri" w:eastAsia="Cambria" w:hAnsi="Calibri" w:cs="Calibri"/>
          <w:b/>
          <w:bCs/>
          <w:noProof/>
          <w:sz w:val="20"/>
          <w:szCs w:val="16"/>
          <w:lang w:val="en-AU"/>
        </w:rPr>
        <w:t>19</w:t>
      </w:r>
      <w:r w:rsidRPr="00A37634">
        <w:rPr>
          <w:rFonts w:ascii="Calibri" w:eastAsia="Cambria" w:hAnsi="Calibri" w:cs="Calibri"/>
          <w:b/>
          <w:bCs/>
          <w:sz w:val="20"/>
          <w:szCs w:val="16"/>
          <w:lang w:val="en-AU"/>
        </w:rPr>
        <w:fldChar w:fldCharType="end"/>
      </w:r>
      <w:bookmarkEnd w:id="133"/>
      <w:r w:rsidRPr="00A37634">
        <w:rPr>
          <w:rFonts w:ascii="Calibri" w:eastAsia="Cambria" w:hAnsi="Calibri" w:cs="Calibri"/>
          <w:b/>
          <w:bCs/>
          <w:sz w:val="20"/>
          <w:szCs w:val="16"/>
          <w:lang w:val="en-AU"/>
        </w:rPr>
        <w:t>. Air conditioner types installed in homes, Australia and USA</w:t>
      </w:r>
      <w:bookmarkEnd w:id="134"/>
    </w:p>
    <w:tbl>
      <w:tblPr>
        <w:tblStyle w:val="TableGrid"/>
        <w:tblW w:w="0" w:type="auto"/>
        <w:jc w:val="center"/>
        <w:tblLook w:val="04A0" w:firstRow="1" w:lastRow="0" w:firstColumn="1" w:lastColumn="0" w:noHBand="0" w:noVBand="1"/>
        <w:tblCaption w:val="&quot;0&quot;"/>
      </w:tblPr>
      <w:tblGrid>
        <w:gridCol w:w="2972"/>
        <w:gridCol w:w="1504"/>
        <w:gridCol w:w="1473"/>
        <w:gridCol w:w="1473"/>
      </w:tblGrid>
      <w:tr w:rsidR="00A37634" w:rsidRPr="00A37634" w14:paraId="5E27C63F" w14:textId="77777777" w:rsidTr="007C7289">
        <w:trPr>
          <w:trHeight w:val="300"/>
          <w:jc w:val="center"/>
        </w:trPr>
        <w:tc>
          <w:tcPr>
            <w:tcW w:w="2972" w:type="dxa"/>
            <w:noWrap/>
            <w:hideMark/>
          </w:tcPr>
          <w:p w14:paraId="111EE6B1" w14:textId="77777777" w:rsidR="00A37634" w:rsidRPr="00A37634" w:rsidRDefault="00A37634" w:rsidP="00A37634">
            <w:pPr>
              <w:spacing w:after="113" w:line="278" w:lineRule="auto"/>
              <w:jc w:val="center"/>
              <w:rPr>
                <w:rFonts w:ascii="Calibri" w:eastAsia="Cambria" w:hAnsi="Calibri" w:cs="Calibri"/>
                <w:b/>
                <w:lang w:val="en-AU"/>
              </w:rPr>
            </w:pPr>
            <w:r w:rsidRPr="00A37634">
              <w:rPr>
                <w:rFonts w:ascii="Calibri" w:eastAsia="Cambria" w:hAnsi="Calibri" w:cs="Calibri"/>
                <w:b/>
                <w:lang w:val="en-AU"/>
              </w:rPr>
              <w:t>Type</w:t>
            </w:r>
          </w:p>
        </w:tc>
        <w:tc>
          <w:tcPr>
            <w:tcW w:w="1504" w:type="dxa"/>
            <w:noWrap/>
            <w:hideMark/>
          </w:tcPr>
          <w:p w14:paraId="6984CC1F" w14:textId="77777777" w:rsidR="00A37634" w:rsidRPr="00A37634" w:rsidRDefault="00A37634" w:rsidP="00A37634">
            <w:pPr>
              <w:spacing w:after="113" w:line="278" w:lineRule="auto"/>
              <w:jc w:val="center"/>
              <w:rPr>
                <w:rFonts w:ascii="Calibri" w:eastAsia="Cambria" w:hAnsi="Calibri" w:cs="Calibri"/>
                <w:b/>
                <w:lang w:val="en-AU"/>
              </w:rPr>
            </w:pPr>
            <w:proofErr w:type="spellStart"/>
            <w:r w:rsidRPr="00A37634">
              <w:rPr>
                <w:rFonts w:ascii="Calibri" w:eastAsia="Cambria" w:hAnsi="Calibri" w:cs="Calibri"/>
                <w:b/>
                <w:lang w:val="en-AU"/>
              </w:rPr>
              <w:t>Aust</w:t>
            </w:r>
            <w:proofErr w:type="spellEnd"/>
            <w:r w:rsidRPr="00A37634">
              <w:rPr>
                <w:rFonts w:ascii="Calibri" w:eastAsia="Cambria" w:hAnsi="Calibri" w:cs="Calibri"/>
                <w:b/>
                <w:lang w:val="en-AU"/>
              </w:rPr>
              <w:t xml:space="preserve"> 2018 (a)</w:t>
            </w:r>
          </w:p>
        </w:tc>
        <w:tc>
          <w:tcPr>
            <w:tcW w:w="1473" w:type="dxa"/>
          </w:tcPr>
          <w:p w14:paraId="2697A777" w14:textId="77777777" w:rsidR="00A37634" w:rsidRPr="00A37634" w:rsidRDefault="00A37634" w:rsidP="00A37634">
            <w:pPr>
              <w:spacing w:after="113" w:line="278" w:lineRule="auto"/>
              <w:jc w:val="center"/>
              <w:rPr>
                <w:rFonts w:ascii="Calibri" w:eastAsia="Cambria" w:hAnsi="Calibri" w:cs="Calibri"/>
                <w:b/>
                <w:lang w:val="en-AU"/>
              </w:rPr>
            </w:pPr>
            <w:r w:rsidRPr="00A37634">
              <w:rPr>
                <w:rFonts w:ascii="Calibri" w:eastAsia="Cambria" w:hAnsi="Calibri" w:cs="Calibri"/>
                <w:b/>
                <w:lang w:val="en-AU"/>
              </w:rPr>
              <w:t>NZ (a)</w:t>
            </w:r>
          </w:p>
        </w:tc>
        <w:tc>
          <w:tcPr>
            <w:tcW w:w="1473" w:type="dxa"/>
            <w:noWrap/>
            <w:hideMark/>
          </w:tcPr>
          <w:p w14:paraId="230050C8" w14:textId="77777777" w:rsidR="00A37634" w:rsidRPr="00A37634" w:rsidRDefault="00A37634" w:rsidP="00A37634">
            <w:pPr>
              <w:spacing w:after="113" w:line="278" w:lineRule="auto"/>
              <w:jc w:val="center"/>
              <w:rPr>
                <w:rFonts w:ascii="Calibri" w:eastAsia="Cambria" w:hAnsi="Calibri" w:cs="Calibri"/>
                <w:b/>
                <w:lang w:val="en-AU"/>
              </w:rPr>
            </w:pPr>
            <w:r w:rsidRPr="00A37634">
              <w:rPr>
                <w:rFonts w:ascii="Calibri" w:eastAsia="Cambria" w:hAnsi="Calibri" w:cs="Calibri"/>
                <w:b/>
                <w:lang w:val="en-AU"/>
              </w:rPr>
              <w:t>USA 2015 (b)</w:t>
            </w:r>
          </w:p>
        </w:tc>
      </w:tr>
      <w:tr w:rsidR="00A37634" w:rsidRPr="00A37634" w14:paraId="655760D9" w14:textId="77777777" w:rsidTr="007C7289">
        <w:trPr>
          <w:trHeight w:val="300"/>
          <w:jc w:val="center"/>
        </w:trPr>
        <w:tc>
          <w:tcPr>
            <w:tcW w:w="2972" w:type="dxa"/>
            <w:noWrap/>
            <w:hideMark/>
          </w:tcPr>
          <w:p w14:paraId="36ED4491" w14:textId="77777777" w:rsidR="00A37634" w:rsidRPr="00A37634" w:rsidRDefault="00A37634" w:rsidP="00A37634">
            <w:pPr>
              <w:spacing w:after="113" w:line="278" w:lineRule="auto"/>
              <w:rPr>
                <w:rFonts w:ascii="Calibri" w:eastAsia="Cambria" w:hAnsi="Calibri" w:cs="Calibri"/>
                <w:lang w:val="en-AU"/>
              </w:rPr>
            </w:pPr>
            <w:r w:rsidRPr="00A37634">
              <w:rPr>
                <w:rFonts w:ascii="Calibri" w:eastAsia="Cambria" w:hAnsi="Calibri" w:cs="Calibri"/>
                <w:lang w:val="en-AU"/>
              </w:rPr>
              <w:t>Unitary</w:t>
            </w:r>
          </w:p>
        </w:tc>
        <w:tc>
          <w:tcPr>
            <w:tcW w:w="1504" w:type="dxa"/>
            <w:noWrap/>
            <w:hideMark/>
          </w:tcPr>
          <w:p w14:paraId="476C34CF" w14:textId="77777777" w:rsidR="00A37634" w:rsidRPr="00A37634" w:rsidRDefault="00A37634" w:rsidP="00A37634">
            <w:pPr>
              <w:spacing w:after="113" w:line="278" w:lineRule="auto"/>
              <w:jc w:val="center"/>
              <w:rPr>
                <w:rFonts w:ascii="Calibri" w:eastAsia="Cambria" w:hAnsi="Calibri" w:cs="Calibri"/>
                <w:lang w:val="en-AU"/>
              </w:rPr>
            </w:pPr>
            <w:r w:rsidRPr="00A37634">
              <w:rPr>
                <w:rFonts w:ascii="Calibri" w:eastAsia="Cambria" w:hAnsi="Calibri" w:cs="Calibri"/>
                <w:lang w:val="en-AU"/>
              </w:rPr>
              <w:t>12%</w:t>
            </w:r>
          </w:p>
        </w:tc>
        <w:tc>
          <w:tcPr>
            <w:tcW w:w="1473" w:type="dxa"/>
          </w:tcPr>
          <w:p w14:paraId="1D32C3A4" w14:textId="77777777" w:rsidR="00A37634" w:rsidRPr="00A37634" w:rsidRDefault="00A37634" w:rsidP="00A37634">
            <w:pPr>
              <w:spacing w:after="113" w:line="278" w:lineRule="auto"/>
              <w:jc w:val="center"/>
              <w:rPr>
                <w:rFonts w:ascii="Calibri" w:eastAsia="Cambria" w:hAnsi="Calibri" w:cs="Calibri"/>
                <w:lang w:val="en-AU"/>
              </w:rPr>
            </w:pPr>
            <w:r w:rsidRPr="00A37634">
              <w:rPr>
                <w:rFonts w:ascii="Calibri" w:eastAsia="Cambria" w:hAnsi="Calibri" w:cs="Calibri"/>
                <w:lang w:val="en-AU"/>
              </w:rPr>
              <w:t>2%</w:t>
            </w:r>
          </w:p>
        </w:tc>
        <w:tc>
          <w:tcPr>
            <w:tcW w:w="1473" w:type="dxa"/>
            <w:vMerge w:val="restart"/>
            <w:noWrap/>
            <w:hideMark/>
          </w:tcPr>
          <w:p w14:paraId="3F882745" w14:textId="77777777" w:rsidR="00A37634" w:rsidRPr="00A37634" w:rsidRDefault="00A37634" w:rsidP="00A37634">
            <w:pPr>
              <w:spacing w:after="113" w:line="278" w:lineRule="auto"/>
              <w:jc w:val="center"/>
              <w:rPr>
                <w:rFonts w:ascii="Calibri" w:eastAsia="Cambria" w:hAnsi="Calibri" w:cs="Calibri"/>
                <w:lang w:val="en-AU"/>
              </w:rPr>
            </w:pPr>
            <w:r w:rsidRPr="00A37634">
              <w:rPr>
                <w:rFonts w:ascii="Calibri" w:eastAsia="Cambria" w:hAnsi="Calibri" w:cs="Calibri"/>
                <w:lang w:val="en-AU"/>
              </w:rPr>
              <w:t>42% (c)</w:t>
            </w:r>
          </w:p>
        </w:tc>
      </w:tr>
      <w:tr w:rsidR="00A37634" w:rsidRPr="00A37634" w14:paraId="60CD6A5A" w14:textId="77777777" w:rsidTr="007C7289">
        <w:trPr>
          <w:trHeight w:val="300"/>
          <w:jc w:val="center"/>
        </w:trPr>
        <w:tc>
          <w:tcPr>
            <w:tcW w:w="2972" w:type="dxa"/>
            <w:noWrap/>
            <w:hideMark/>
          </w:tcPr>
          <w:p w14:paraId="642B5C6A" w14:textId="77777777" w:rsidR="00A37634" w:rsidRPr="00A37634" w:rsidRDefault="00A37634" w:rsidP="00A37634">
            <w:pPr>
              <w:spacing w:after="113" w:line="278" w:lineRule="auto"/>
              <w:rPr>
                <w:rFonts w:ascii="Calibri" w:eastAsia="Cambria" w:hAnsi="Calibri" w:cs="Calibri"/>
                <w:lang w:val="en-AU"/>
              </w:rPr>
            </w:pPr>
            <w:r w:rsidRPr="00A37634">
              <w:rPr>
                <w:rFonts w:ascii="Calibri" w:eastAsia="Cambria" w:hAnsi="Calibri" w:cs="Calibri"/>
                <w:lang w:val="en-AU"/>
              </w:rPr>
              <w:t>Split</w:t>
            </w:r>
          </w:p>
        </w:tc>
        <w:tc>
          <w:tcPr>
            <w:tcW w:w="1504" w:type="dxa"/>
            <w:noWrap/>
            <w:hideMark/>
          </w:tcPr>
          <w:p w14:paraId="6E854AD0" w14:textId="77777777" w:rsidR="00A37634" w:rsidRPr="00A37634" w:rsidRDefault="00A37634" w:rsidP="00A37634">
            <w:pPr>
              <w:spacing w:after="113" w:line="278" w:lineRule="auto"/>
              <w:jc w:val="center"/>
              <w:rPr>
                <w:rFonts w:ascii="Calibri" w:eastAsia="Cambria" w:hAnsi="Calibri" w:cs="Calibri"/>
                <w:lang w:val="en-AU"/>
              </w:rPr>
            </w:pPr>
            <w:r w:rsidRPr="00A37634">
              <w:rPr>
                <w:rFonts w:ascii="Calibri" w:eastAsia="Cambria" w:hAnsi="Calibri" w:cs="Calibri"/>
                <w:lang w:val="en-AU"/>
              </w:rPr>
              <w:t>75%</w:t>
            </w:r>
          </w:p>
        </w:tc>
        <w:tc>
          <w:tcPr>
            <w:tcW w:w="1473" w:type="dxa"/>
          </w:tcPr>
          <w:p w14:paraId="0A93F484" w14:textId="77777777" w:rsidR="00A37634" w:rsidRPr="00A37634" w:rsidRDefault="00A37634" w:rsidP="00A37634">
            <w:pPr>
              <w:spacing w:after="113" w:line="278" w:lineRule="auto"/>
              <w:jc w:val="center"/>
              <w:rPr>
                <w:rFonts w:ascii="Calibri" w:eastAsia="Cambria" w:hAnsi="Calibri" w:cs="Calibri"/>
                <w:lang w:val="en-AU"/>
              </w:rPr>
            </w:pPr>
            <w:r w:rsidRPr="00A37634">
              <w:rPr>
                <w:rFonts w:ascii="Calibri" w:eastAsia="Cambria" w:hAnsi="Calibri" w:cs="Calibri"/>
                <w:lang w:val="en-AU"/>
              </w:rPr>
              <w:t>91%</w:t>
            </w:r>
          </w:p>
        </w:tc>
        <w:tc>
          <w:tcPr>
            <w:tcW w:w="1473" w:type="dxa"/>
            <w:vMerge/>
            <w:noWrap/>
            <w:hideMark/>
          </w:tcPr>
          <w:p w14:paraId="6918359B" w14:textId="77777777" w:rsidR="00A37634" w:rsidRPr="00A37634" w:rsidRDefault="00A37634" w:rsidP="00A37634">
            <w:pPr>
              <w:spacing w:after="113" w:line="278" w:lineRule="auto"/>
              <w:jc w:val="center"/>
              <w:rPr>
                <w:rFonts w:ascii="Calibri" w:eastAsia="Cambria" w:hAnsi="Calibri" w:cs="Calibri"/>
                <w:lang w:val="en-AU"/>
              </w:rPr>
            </w:pPr>
          </w:p>
        </w:tc>
      </w:tr>
      <w:tr w:rsidR="00A37634" w:rsidRPr="00A37634" w14:paraId="54DBA7B5" w14:textId="77777777" w:rsidTr="007C7289">
        <w:trPr>
          <w:trHeight w:val="300"/>
          <w:jc w:val="center"/>
        </w:trPr>
        <w:tc>
          <w:tcPr>
            <w:tcW w:w="2972" w:type="dxa"/>
            <w:noWrap/>
            <w:hideMark/>
          </w:tcPr>
          <w:p w14:paraId="4375DFE1" w14:textId="77777777" w:rsidR="00A37634" w:rsidRPr="00A37634" w:rsidRDefault="00A37634" w:rsidP="00A37634">
            <w:pPr>
              <w:spacing w:after="113" w:line="278" w:lineRule="auto"/>
              <w:rPr>
                <w:rFonts w:ascii="Calibri" w:eastAsia="Cambria" w:hAnsi="Calibri" w:cs="Calibri"/>
                <w:lang w:val="en-AU"/>
              </w:rPr>
            </w:pPr>
            <w:r w:rsidRPr="00A37634">
              <w:rPr>
                <w:rFonts w:ascii="Calibri" w:eastAsia="Cambria" w:hAnsi="Calibri" w:cs="Calibri"/>
                <w:lang w:val="en-AU"/>
              </w:rPr>
              <w:t>Ducted</w:t>
            </w:r>
          </w:p>
        </w:tc>
        <w:tc>
          <w:tcPr>
            <w:tcW w:w="1504" w:type="dxa"/>
            <w:noWrap/>
            <w:hideMark/>
          </w:tcPr>
          <w:p w14:paraId="1C1A84C5" w14:textId="77777777" w:rsidR="00A37634" w:rsidRPr="00A37634" w:rsidRDefault="00A37634" w:rsidP="00A37634">
            <w:pPr>
              <w:spacing w:after="113" w:line="278" w:lineRule="auto"/>
              <w:jc w:val="center"/>
              <w:rPr>
                <w:rFonts w:ascii="Calibri" w:eastAsia="Cambria" w:hAnsi="Calibri" w:cs="Calibri"/>
                <w:lang w:val="en-AU"/>
              </w:rPr>
            </w:pPr>
            <w:r w:rsidRPr="00A37634">
              <w:rPr>
                <w:rFonts w:ascii="Calibri" w:eastAsia="Cambria" w:hAnsi="Calibri" w:cs="Calibri"/>
                <w:lang w:val="en-AU"/>
              </w:rPr>
              <w:t>13%</w:t>
            </w:r>
          </w:p>
        </w:tc>
        <w:tc>
          <w:tcPr>
            <w:tcW w:w="1473" w:type="dxa"/>
          </w:tcPr>
          <w:p w14:paraId="40643EBA" w14:textId="77777777" w:rsidR="00A37634" w:rsidRPr="00A37634" w:rsidRDefault="00A37634" w:rsidP="00A37634">
            <w:pPr>
              <w:spacing w:after="113" w:line="278" w:lineRule="auto"/>
              <w:jc w:val="center"/>
              <w:rPr>
                <w:rFonts w:ascii="Calibri" w:eastAsia="Cambria" w:hAnsi="Calibri" w:cs="Calibri"/>
                <w:lang w:val="en-AU"/>
              </w:rPr>
            </w:pPr>
            <w:r w:rsidRPr="00A37634">
              <w:rPr>
                <w:rFonts w:ascii="Calibri" w:eastAsia="Cambria" w:hAnsi="Calibri" w:cs="Calibri"/>
                <w:lang w:val="en-AU"/>
              </w:rPr>
              <w:t>7%</w:t>
            </w:r>
          </w:p>
        </w:tc>
        <w:tc>
          <w:tcPr>
            <w:tcW w:w="1473" w:type="dxa"/>
            <w:noWrap/>
            <w:hideMark/>
          </w:tcPr>
          <w:p w14:paraId="60C73225" w14:textId="77777777" w:rsidR="00A37634" w:rsidRPr="00A37634" w:rsidRDefault="00A37634" w:rsidP="00A37634">
            <w:pPr>
              <w:spacing w:after="113" w:line="278" w:lineRule="auto"/>
              <w:jc w:val="center"/>
              <w:rPr>
                <w:rFonts w:ascii="Calibri" w:eastAsia="Cambria" w:hAnsi="Calibri" w:cs="Calibri"/>
                <w:lang w:val="en-AU"/>
              </w:rPr>
            </w:pPr>
            <w:r w:rsidRPr="00A37634">
              <w:rPr>
                <w:rFonts w:ascii="Calibri" w:eastAsia="Cambria" w:hAnsi="Calibri" w:cs="Calibri"/>
                <w:lang w:val="en-AU"/>
              </w:rPr>
              <w:t>58%</w:t>
            </w:r>
          </w:p>
        </w:tc>
      </w:tr>
      <w:tr w:rsidR="00A37634" w:rsidRPr="00A37634" w14:paraId="0701AE2A" w14:textId="77777777" w:rsidTr="007C7289">
        <w:trPr>
          <w:trHeight w:val="300"/>
          <w:jc w:val="center"/>
        </w:trPr>
        <w:tc>
          <w:tcPr>
            <w:tcW w:w="2972" w:type="dxa"/>
            <w:noWrap/>
            <w:hideMark/>
          </w:tcPr>
          <w:p w14:paraId="09BDA4AC" w14:textId="77777777" w:rsidR="00A37634" w:rsidRPr="00A37634" w:rsidRDefault="00A37634" w:rsidP="00A37634">
            <w:pPr>
              <w:spacing w:after="113" w:line="278" w:lineRule="auto"/>
              <w:rPr>
                <w:rFonts w:ascii="Calibri" w:eastAsia="Cambria" w:hAnsi="Calibri" w:cs="Calibri"/>
                <w:lang w:val="en-AU"/>
              </w:rPr>
            </w:pPr>
            <w:r w:rsidRPr="00A37634">
              <w:rPr>
                <w:rFonts w:ascii="Calibri" w:eastAsia="Cambria" w:hAnsi="Calibri" w:cs="Calibri"/>
                <w:lang w:val="en-AU"/>
              </w:rPr>
              <w:t>% of HH with air conditioning</w:t>
            </w:r>
          </w:p>
        </w:tc>
        <w:tc>
          <w:tcPr>
            <w:tcW w:w="1504" w:type="dxa"/>
            <w:noWrap/>
            <w:hideMark/>
          </w:tcPr>
          <w:p w14:paraId="4B630CC3" w14:textId="77777777" w:rsidR="00A37634" w:rsidRPr="00A37634" w:rsidRDefault="00A37634" w:rsidP="00A37634">
            <w:pPr>
              <w:spacing w:after="113" w:line="278" w:lineRule="auto"/>
              <w:jc w:val="center"/>
              <w:rPr>
                <w:rFonts w:ascii="Calibri" w:eastAsia="Cambria" w:hAnsi="Calibri" w:cs="Calibri"/>
                <w:lang w:val="en-AU"/>
              </w:rPr>
            </w:pPr>
            <w:r w:rsidRPr="00A37634">
              <w:rPr>
                <w:rFonts w:ascii="Calibri" w:eastAsia="Cambria" w:hAnsi="Calibri" w:cs="Calibri"/>
                <w:lang w:val="en-AU"/>
              </w:rPr>
              <w:t>70%</w:t>
            </w:r>
          </w:p>
        </w:tc>
        <w:tc>
          <w:tcPr>
            <w:tcW w:w="1473" w:type="dxa"/>
          </w:tcPr>
          <w:p w14:paraId="31ED6A1C" w14:textId="77777777" w:rsidR="00A37634" w:rsidRPr="00A37634" w:rsidRDefault="00A37634" w:rsidP="00A37634">
            <w:pPr>
              <w:spacing w:after="113" w:line="278" w:lineRule="auto"/>
              <w:jc w:val="center"/>
              <w:rPr>
                <w:rFonts w:ascii="Calibri" w:eastAsia="Cambria" w:hAnsi="Calibri" w:cs="Calibri"/>
                <w:lang w:val="en-AU"/>
              </w:rPr>
            </w:pPr>
            <w:r w:rsidRPr="00A37634">
              <w:rPr>
                <w:rFonts w:ascii="Calibri" w:eastAsia="Cambria" w:hAnsi="Calibri" w:cs="Calibri"/>
                <w:lang w:val="en-AU"/>
              </w:rPr>
              <w:t>NA</w:t>
            </w:r>
          </w:p>
        </w:tc>
        <w:tc>
          <w:tcPr>
            <w:tcW w:w="1473" w:type="dxa"/>
            <w:noWrap/>
            <w:hideMark/>
          </w:tcPr>
          <w:p w14:paraId="7C0C82C5" w14:textId="77777777" w:rsidR="00A37634" w:rsidRPr="00A37634" w:rsidRDefault="00A37634" w:rsidP="00A37634">
            <w:pPr>
              <w:spacing w:after="113" w:line="278" w:lineRule="auto"/>
              <w:jc w:val="center"/>
              <w:rPr>
                <w:rFonts w:ascii="Calibri" w:eastAsia="Cambria" w:hAnsi="Calibri" w:cs="Calibri"/>
                <w:lang w:val="en-AU"/>
              </w:rPr>
            </w:pPr>
            <w:r w:rsidRPr="00A37634">
              <w:rPr>
                <w:rFonts w:ascii="Calibri" w:eastAsia="Cambria" w:hAnsi="Calibri" w:cs="Calibri"/>
                <w:lang w:val="en-AU"/>
              </w:rPr>
              <w:t>85%</w:t>
            </w:r>
          </w:p>
        </w:tc>
      </w:tr>
    </w:tbl>
    <w:p w14:paraId="668338A1" w14:textId="77777777" w:rsidR="00A37634" w:rsidRPr="00A37634" w:rsidRDefault="00A37634" w:rsidP="00A37634">
      <w:pPr>
        <w:spacing w:after="120" w:line="276" w:lineRule="auto"/>
        <w:ind w:left="360"/>
        <w:jc w:val="center"/>
        <w:rPr>
          <w:rFonts w:ascii="Calibri" w:eastAsia="Cambria" w:hAnsi="Calibri" w:cs="Calibri"/>
          <w:sz w:val="16"/>
          <w:szCs w:val="16"/>
          <w:lang w:val="en-AU"/>
        </w:rPr>
      </w:pPr>
      <w:r w:rsidRPr="00A37634">
        <w:rPr>
          <w:rFonts w:ascii="Calibri" w:eastAsia="Cambria" w:hAnsi="Calibri" w:cs="Calibri"/>
          <w:sz w:val="16"/>
          <w:szCs w:val="16"/>
          <w:lang w:val="en-AU"/>
        </w:rPr>
        <w:t>(a) Decision RIS: Air Conditioners, E3, December 2018.  (b) U.S. Energy Information Administration, Office of Energy Consumption and Efficiency Statistics, Forms EIA-457A and EIA-457C of the 2015 Residential Energy Consumption Survey. (c) “Individual” air conditioners: split and unitary not differentiated.</w:t>
      </w:r>
    </w:p>
    <w:p w14:paraId="53205B3E" w14:textId="77777777" w:rsidR="00A37634" w:rsidRPr="00A37634" w:rsidRDefault="00A37634" w:rsidP="00A37634">
      <w:pPr>
        <w:spacing w:before="240" w:after="120" w:line="278" w:lineRule="auto"/>
        <w:rPr>
          <w:rFonts w:ascii="Calibri" w:eastAsia="Cambria" w:hAnsi="Calibri" w:cs="Calibri"/>
          <w:szCs w:val="20"/>
          <w:lang w:val="en-AU"/>
        </w:rPr>
      </w:pPr>
      <w:r w:rsidRPr="00A37634">
        <w:rPr>
          <w:rFonts w:ascii="Calibri" w:eastAsia="Cambria" w:hAnsi="Calibri" w:cs="Calibri"/>
          <w:szCs w:val="20"/>
          <w:lang w:val="en-AU"/>
        </w:rPr>
        <w:t xml:space="preserve">Most AC DR programs in the USA rely on Programmable Communicating Thermostats (PCTs) such Google’s “NEST.” These replace the standard wall thermostat used to control ducted ACs and so enable the user (via a smart-phone app) and DR </w:t>
      </w:r>
      <w:proofErr w:type="gramStart"/>
      <w:r w:rsidRPr="00A37634">
        <w:rPr>
          <w:rFonts w:ascii="Calibri" w:eastAsia="Cambria" w:hAnsi="Calibri" w:cs="Calibri"/>
          <w:szCs w:val="20"/>
          <w:lang w:val="en-AU"/>
        </w:rPr>
        <w:t>service</w:t>
      </w:r>
      <w:proofErr w:type="gramEnd"/>
      <w:r w:rsidRPr="00A37634">
        <w:rPr>
          <w:rFonts w:ascii="Calibri" w:eastAsia="Cambria" w:hAnsi="Calibri" w:cs="Calibri"/>
          <w:szCs w:val="20"/>
          <w:lang w:val="en-AU"/>
        </w:rPr>
        <w:t xml:space="preserve"> providers who contract with Google, to adjust the room temperature.</w:t>
      </w:r>
      <w:r w:rsidRPr="00A37634">
        <w:rPr>
          <w:rFonts w:ascii="Calibri" w:eastAsia="Cambria" w:hAnsi="Calibri" w:cs="Calibri"/>
          <w:szCs w:val="20"/>
          <w:vertAlign w:val="superscript"/>
          <w:lang w:val="en-AU"/>
        </w:rPr>
        <w:footnoteReference w:id="80"/>
      </w:r>
      <w:r w:rsidRPr="00A37634">
        <w:rPr>
          <w:rFonts w:ascii="Calibri" w:eastAsia="Cambria" w:hAnsi="Calibri" w:cs="Calibri"/>
          <w:szCs w:val="20"/>
          <w:lang w:val="en-AU"/>
        </w:rPr>
        <w:t xml:space="preserve"> If the home is pre-cooled (or pre-heated) and the AC is maintaining a steady temperature, then adjusting the thermostat upward during SMD or downward during WMD is likely to result in lower energy use and hence lower power consumption during a DR event (and higher energy consumption after the </w:t>
      </w:r>
      <w:proofErr w:type="gramStart"/>
      <w:r w:rsidRPr="00A37634">
        <w:rPr>
          <w:rFonts w:ascii="Calibri" w:eastAsia="Cambria" w:hAnsi="Calibri" w:cs="Calibri"/>
          <w:szCs w:val="20"/>
          <w:lang w:val="en-AU"/>
        </w:rPr>
        <w:t>event  if</w:t>
      </w:r>
      <w:proofErr w:type="gramEnd"/>
      <w:r w:rsidRPr="00A37634">
        <w:rPr>
          <w:rFonts w:ascii="Calibri" w:eastAsia="Cambria" w:hAnsi="Calibri" w:cs="Calibri"/>
          <w:szCs w:val="20"/>
          <w:lang w:val="en-AU"/>
        </w:rPr>
        <w:t xml:space="preserve"> the user or the remote agent restores the pre-event setting).</w:t>
      </w:r>
    </w:p>
    <w:p w14:paraId="1B5942CD" w14:textId="77777777" w:rsidR="00A37634" w:rsidRPr="00A37634" w:rsidRDefault="00A37634" w:rsidP="00A37634">
      <w:pPr>
        <w:spacing w:before="120" w:after="120" w:line="278" w:lineRule="auto"/>
        <w:rPr>
          <w:rFonts w:ascii="Calibri" w:eastAsia="Cambria" w:hAnsi="Calibri" w:cs="Calibri"/>
          <w:szCs w:val="20"/>
          <w:lang w:val="en-AU"/>
        </w:rPr>
      </w:pPr>
      <w:r w:rsidRPr="00A37634">
        <w:rPr>
          <w:rFonts w:ascii="Calibri" w:eastAsia="Cambria" w:hAnsi="Calibri" w:cs="Calibri"/>
          <w:szCs w:val="20"/>
          <w:lang w:val="en-AU"/>
        </w:rPr>
        <w:t>As PCTs are the most common approach to air conditioner DR in the USA, the Energy Star program has published “connected criteria” for them.</w:t>
      </w:r>
      <w:r w:rsidRPr="00A37634">
        <w:rPr>
          <w:rFonts w:ascii="Calibri" w:eastAsia="Cambria" w:hAnsi="Calibri" w:cs="Calibri"/>
          <w:szCs w:val="20"/>
          <w:vertAlign w:val="superscript"/>
          <w:lang w:val="en-AU"/>
        </w:rPr>
        <w:footnoteReference w:id="81"/>
      </w:r>
      <w:r w:rsidRPr="00A37634">
        <w:rPr>
          <w:rFonts w:ascii="Calibri" w:eastAsia="Cambria" w:hAnsi="Calibri" w:cs="Calibri"/>
          <w:szCs w:val="20"/>
          <w:lang w:val="en-AU"/>
        </w:rPr>
        <w:t xml:space="preserve"> Compliance with the criteria must be demonstrated empirically through field trials with a statistically valid number of households. </w:t>
      </w:r>
    </w:p>
    <w:p w14:paraId="4A646DD1" w14:textId="77777777" w:rsidR="00A37634" w:rsidRPr="00A37634" w:rsidRDefault="00A37634" w:rsidP="00A37634">
      <w:pPr>
        <w:spacing w:before="120" w:after="120" w:line="278" w:lineRule="auto"/>
        <w:rPr>
          <w:rFonts w:ascii="Calibri" w:eastAsia="Cambria" w:hAnsi="Calibri" w:cs="Calibri"/>
          <w:szCs w:val="20"/>
          <w:lang w:val="en-AU"/>
        </w:rPr>
      </w:pPr>
      <w:r w:rsidRPr="00A37634">
        <w:rPr>
          <w:rFonts w:ascii="Calibri" w:eastAsia="Cambria" w:hAnsi="Calibri" w:cs="Calibri"/>
          <w:szCs w:val="20"/>
          <w:lang w:val="en-AU"/>
        </w:rPr>
        <w:t xml:space="preserve">PCTs are not suitable for AC DR </w:t>
      </w:r>
      <w:proofErr w:type="gramStart"/>
      <w:r w:rsidRPr="00A37634">
        <w:rPr>
          <w:rFonts w:ascii="Calibri" w:eastAsia="Cambria" w:hAnsi="Calibri" w:cs="Calibri"/>
          <w:szCs w:val="20"/>
          <w:lang w:val="en-AU"/>
        </w:rPr>
        <w:t>programs</w:t>
      </w:r>
      <w:proofErr w:type="gramEnd"/>
      <w:r w:rsidRPr="00A37634">
        <w:rPr>
          <w:rFonts w:ascii="Calibri" w:eastAsia="Cambria" w:hAnsi="Calibri" w:cs="Calibri"/>
          <w:szCs w:val="20"/>
          <w:lang w:val="en-AU"/>
        </w:rPr>
        <w:t xml:space="preserve"> in Australia or New Zealand because:</w:t>
      </w:r>
    </w:p>
    <w:p w14:paraId="09D5BF60" w14:textId="77777777" w:rsidR="00A37634" w:rsidRPr="00A37634" w:rsidRDefault="00A37634" w:rsidP="00A37634">
      <w:pPr>
        <w:numPr>
          <w:ilvl w:val="0"/>
          <w:numId w:val="45"/>
        </w:numPr>
        <w:spacing w:before="120" w:after="120" w:line="278" w:lineRule="auto"/>
        <w:contextualSpacing/>
        <w:rPr>
          <w:rFonts w:ascii="Calibri" w:eastAsia="Cambria" w:hAnsi="Calibri" w:cs="Calibri"/>
          <w:szCs w:val="20"/>
          <w:lang w:val="en-AU"/>
        </w:rPr>
      </w:pPr>
      <w:r w:rsidRPr="00A37634">
        <w:rPr>
          <w:rFonts w:ascii="Calibri" w:eastAsia="Cambria" w:hAnsi="Calibri" w:cs="Calibri"/>
          <w:szCs w:val="20"/>
          <w:lang w:val="en-AU"/>
        </w:rPr>
        <w:t>They do not work with split unit ACs;</w:t>
      </w:r>
    </w:p>
    <w:p w14:paraId="681B6E2F" w14:textId="77777777" w:rsidR="00A37634" w:rsidRPr="00A37634" w:rsidRDefault="00A37634" w:rsidP="00A37634">
      <w:pPr>
        <w:numPr>
          <w:ilvl w:val="0"/>
          <w:numId w:val="45"/>
        </w:numPr>
        <w:spacing w:before="120" w:after="120" w:line="278" w:lineRule="auto"/>
        <w:contextualSpacing/>
        <w:rPr>
          <w:rFonts w:ascii="Calibri" w:eastAsia="Cambria" w:hAnsi="Calibri" w:cs="Calibri"/>
          <w:szCs w:val="20"/>
          <w:lang w:val="en-AU"/>
        </w:rPr>
      </w:pPr>
      <w:r w:rsidRPr="00A37634">
        <w:rPr>
          <w:rFonts w:ascii="Calibri" w:eastAsia="Cambria" w:hAnsi="Calibri" w:cs="Calibri"/>
          <w:szCs w:val="20"/>
          <w:lang w:val="en-AU"/>
        </w:rPr>
        <w:t>Their demand impact relies on a pre-cooled or pre-heated dwelling with adequate thermal mass; the predominant mode of use in Australia is to switch the AC on when coming home from work or school on a hot day.</w:t>
      </w:r>
      <w:r w:rsidRPr="00A37634">
        <w:rPr>
          <w:rFonts w:ascii="Calibri" w:eastAsia="Cambria" w:hAnsi="Calibri" w:cs="Calibri"/>
          <w:szCs w:val="20"/>
          <w:vertAlign w:val="superscript"/>
          <w:lang w:val="en-AU"/>
        </w:rPr>
        <w:footnoteReference w:id="82"/>
      </w:r>
      <w:r w:rsidRPr="00A37634">
        <w:rPr>
          <w:rFonts w:ascii="Calibri" w:eastAsia="Cambria" w:hAnsi="Calibri" w:cs="Calibri"/>
          <w:szCs w:val="20"/>
          <w:lang w:val="en-AU"/>
        </w:rPr>
        <w:t xml:space="preserve"> The unit struggles to reach the thermostat setting in any case, so simply adjusting the setting will have no impact on power;</w:t>
      </w:r>
    </w:p>
    <w:p w14:paraId="7F5EF6A2" w14:textId="77777777" w:rsidR="00A37634" w:rsidRPr="00A37634" w:rsidRDefault="00A37634" w:rsidP="00A37634">
      <w:pPr>
        <w:numPr>
          <w:ilvl w:val="0"/>
          <w:numId w:val="45"/>
        </w:numPr>
        <w:spacing w:before="120" w:after="120" w:line="278" w:lineRule="auto"/>
        <w:contextualSpacing/>
        <w:rPr>
          <w:rFonts w:ascii="Calibri" w:eastAsia="Cambria" w:hAnsi="Calibri" w:cs="Calibri"/>
          <w:szCs w:val="20"/>
          <w:lang w:val="en-AU"/>
        </w:rPr>
      </w:pPr>
      <w:r w:rsidRPr="00A37634">
        <w:rPr>
          <w:rFonts w:ascii="Calibri" w:eastAsia="Cambria" w:hAnsi="Calibri" w:cs="Calibri"/>
          <w:szCs w:val="20"/>
          <w:lang w:val="en-AU"/>
        </w:rPr>
        <w:t>The actual load reduction (if any) during a DR event depends on the thermal mass, layout and temperature conditions of the home at the time, and so the response cannot be verified from monitoring the PCT alone. By contrast, an AS/NZS 4755-compliant AC must deliver a measurable load reduction during DR events and this must be verifiable in a laboratory or field test.  (see Appendix 1); and</w:t>
      </w:r>
    </w:p>
    <w:p w14:paraId="7928A4D3" w14:textId="77777777" w:rsidR="00A37634" w:rsidRPr="00A37634" w:rsidRDefault="00A37634" w:rsidP="00A37634">
      <w:pPr>
        <w:numPr>
          <w:ilvl w:val="0"/>
          <w:numId w:val="45"/>
        </w:numPr>
        <w:spacing w:before="120" w:after="120" w:line="278" w:lineRule="auto"/>
        <w:contextualSpacing/>
        <w:rPr>
          <w:rFonts w:ascii="Calibri" w:eastAsia="Cambria" w:hAnsi="Calibri" w:cs="Calibri"/>
          <w:szCs w:val="20"/>
          <w:lang w:val="en-AU"/>
        </w:rPr>
      </w:pPr>
      <w:r w:rsidRPr="00A37634">
        <w:rPr>
          <w:rFonts w:ascii="Calibri" w:eastAsia="Cambria" w:hAnsi="Calibri" w:cs="Calibri"/>
          <w:szCs w:val="20"/>
          <w:lang w:val="en-AU"/>
        </w:rPr>
        <w:t xml:space="preserve">Both the DRSP and the customer are locked into a proprietary system, so inhibiting market flexibility and risking stranded investments. </w:t>
      </w:r>
    </w:p>
    <w:p w14:paraId="27483C26" w14:textId="70932E59" w:rsidR="00A37634" w:rsidRPr="00A37634" w:rsidRDefault="00A37634" w:rsidP="00A37634">
      <w:pPr>
        <w:spacing w:before="240" w:after="120" w:line="240" w:lineRule="auto"/>
        <w:rPr>
          <w:rFonts w:ascii="Calibri" w:eastAsia="Cambria" w:hAnsi="Calibri" w:cs="Calibri"/>
          <w:bCs/>
          <w:i/>
          <w:iCs/>
          <w:color w:val="1F497D"/>
          <w:sz w:val="18"/>
          <w:szCs w:val="16"/>
          <w:lang w:val="en-AU"/>
        </w:rPr>
      </w:pPr>
      <w:bookmarkStart w:id="135" w:name="_Ref370055638"/>
      <w:bookmarkStart w:id="136" w:name="_Toc16501011"/>
      <w:bookmarkStart w:id="137" w:name="_Toc408944126"/>
      <w:bookmarkStart w:id="138" w:name="_Toc466019431"/>
      <w:r w:rsidRPr="00A37634">
        <w:rPr>
          <w:rFonts w:ascii="Calibri" w:eastAsia="Cambria" w:hAnsi="Calibri" w:cs="Calibri"/>
          <w:b/>
          <w:bCs/>
          <w:sz w:val="20"/>
          <w:szCs w:val="16"/>
          <w:lang w:val="en-AU"/>
        </w:rPr>
        <w:t xml:space="preserve">Table </w:t>
      </w:r>
      <w:r w:rsidRPr="00A37634">
        <w:rPr>
          <w:rFonts w:ascii="Calibri" w:eastAsia="Cambria" w:hAnsi="Calibri" w:cs="Calibri"/>
          <w:b/>
          <w:bCs/>
          <w:sz w:val="20"/>
          <w:szCs w:val="16"/>
          <w:lang w:val="en-AU"/>
        </w:rPr>
        <w:fldChar w:fldCharType="begin"/>
      </w:r>
      <w:r w:rsidRPr="00A37634">
        <w:rPr>
          <w:rFonts w:ascii="Calibri" w:eastAsia="Cambria" w:hAnsi="Calibri" w:cs="Calibri"/>
          <w:b/>
          <w:bCs/>
          <w:sz w:val="20"/>
          <w:szCs w:val="16"/>
          <w:lang w:val="en-AU"/>
        </w:rPr>
        <w:instrText xml:space="preserve"> SEQ Table \* ARABIC </w:instrText>
      </w:r>
      <w:r w:rsidRPr="00A37634">
        <w:rPr>
          <w:rFonts w:ascii="Calibri" w:eastAsia="Cambria" w:hAnsi="Calibri" w:cs="Calibri"/>
          <w:b/>
          <w:bCs/>
          <w:sz w:val="20"/>
          <w:szCs w:val="16"/>
          <w:lang w:val="en-AU"/>
        </w:rPr>
        <w:fldChar w:fldCharType="separate"/>
      </w:r>
      <w:r w:rsidR="00181136">
        <w:rPr>
          <w:rFonts w:ascii="Calibri" w:eastAsia="Cambria" w:hAnsi="Calibri" w:cs="Calibri"/>
          <w:b/>
          <w:bCs/>
          <w:noProof/>
          <w:sz w:val="20"/>
          <w:szCs w:val="16"/>
          <w:lang w:val="en-AU"/>
        </w:rPr>
        <w:t>20</w:t>
      </w:r>
      <w:r w:rsidRPr="00A37634">
        <w:rPr>
          <w:rFonts w:ascii="Calibri" w:eastAsia="Cambria" w:hAnsi="Calibri" w:cs="Calibri"/>
          <w:b/>
          <w:bCs/>
          <w:sz w:val="20"/>
          <w:szCs w:val="16"/>
          <w:lang w:val="en-AU"/>
        </w:rPr>
        <w:fldChar w:fldCharType="end"/>
      </w:r>
      <w:bookmarkEnd w:id="135"/>
      <w:r w:rsidRPr="00A37634">
        <w:rPr>
          <w:rFonts w:ascii="Calibri" w:eastAsia="Cambria" w:hAnsi="Calibri" w:cs="Calibri"/>
          <w:b/>
          <w:bCs/>
          <w:sz w:val="20"/>
          <w:szCs w:val="16"/>
          <w:lang w:val="en-AU"/>
        </w:rPr>
        <w:t>. Product types covered by published standards for ‘connected’ or ‘smart’ products</w:t>
      </w:r>
      <w:bookmarkEnd w:id="136"/>
      <w:r w:rsidRPr="00A37634">
        <w:rPr>
          <w:rFonts w:ascii="Calibri" w:eastAsia="Cambria" w:hAnsi="Calibri" w:cs="Calibri"/>
          <w:b/>
          <w:bCs/>
          <w:sz w:val="20"/>
          <w:szCs w:val="16"/>
          <w:lang w:val="en-AU"/>
        </w:rPr>
        <w:t xml:space="preserve"> </w:t>
      </w:r>
      <w:bookmarkEnd w:id="137"/>
      <w:bookmarkEnd w:id="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005"/>
        <w:gridCol w:w="2005"/>
        <w:gridCol w:w="2006"/>
      </w:tblGrid>
      <w:tr w:rsidR="00A37634" w:rsidRPr="00A37634" w14:paraId="048F1D86" w14:textId="77777777" w:rsidTr="007C7289">
        <w:trPr>
          <w:tblHeader/>
        </w:trPr>
        <w:tc>
          <w:tcPr>
            <w:tcW w:w="3227" w:type="dxa"/>
          </w:tcPr>
          <w:p w14:paraId="19383D46" w14:textId="77777777" w:rsidR="00A37634" w:rsidRPr="00A37634" w:rsidRDefault="00A37634" w:rsidP="00A37634">
            <w:pPr>
              <w:spacing w:after="120" w:line="276" w:lineRule="auto"/>
              <w:jc w:val="center"/>
              <w:rPr>
                <w:rFonts w:ascii="Calibri" w:eastAsia="Calibri" w:hAnsi="Calibri" w:cs="Calibri"/>
                <w:b/>
                <w:sz w:val="20"/>
                <w:szCs w:val="20"/>
                <w:lang w:val="en-AU"/>
              </w:rPr>
            </w:pPr>
            <w:r w:rsidRPr="00A37634">
              <w:rPr>
                <w:rFonts w:ascii="Calibri" w:eastAsia="Calibri" w:hAnsi="Calibri" w:cs="Calibri"/>
                <w:b/>
                <w:sz w:val="20"/>
                <w:szCs w:val="20"/>
                <w:lang w:val="en-AU"/>
              </w:rPr>
              <w:t>Product category</w:t>
            </w:r>
          </w:p>
        </w:tc>
        <w:tc>
          <w:tcPr>
            <w:tcW w:w="2005" w:type="dxa"/>
            <w:tcBorders>
              <w:bottom w:val="single" w:sz="4" w:space="0" w:color="auto"/>
            </w:tcBorders>
          </w:tcPr>
          <w:p w14:paraId="1D935423" w14:textId="77777777" w:rsidR="00A37634" w:rsidRPr="00A37634" w:rsidRDefault="00A37634" w:rsidP="00A37634">
            <w:pPr>
              <w:spacing w:after="120" w:line="276" w:lineRule="auto"/>
              <w:jc w:val="center"/>
              <w:rPr>
                <w:rFonts w:ascii="Calibri" w:eastAsia="Calibri" w:hAnsi="Calibri" w:cs="Calibri"/>
                <w:b/>
                <w:sz w:val="20"/>
                <w:szCs w:val="20"/>
                <w:lang w:val="en-AU"/>
              </w:rPr>
            </w:pPr>
            <w:r w:rsidRPr="00A37634">
              <w:rPr>
                <w:rFonts w:ascii="Calibri" w:eastAsia="Calibri" w:hAnsi="Calibri" w:cs="Calibri"/>
                <w:b/>
                <w:sz w:val="20"/>
                <w:szCs w:val="20"/>
                <w:lang w:val="en-AU"/>
              </w:rPr>
              <w:t>US EPA Energy Star “connected” criteria</w:t>
            </w:r>
          </w:p>
        </w:tc>
        <w:tc>
          <w:tcPr>
            <w:tcW w:w="2005" w:type="dxa"/>
            <w:tcBorders>
              <w:bottom w:val="single" w:sz="4" w:space="0" w:color="auto"/>
            </w:tcBorders>
          </w:tcPr>
          <w:p w14:paraId="380F94E9" w14:textId="77777777" w:rsidR="00A37634" w:rsidRPr="00A37634" w:rsidRDefault="00A37634" w:rsidP="00A37634">
            <w:pPr>
              <w:spacing w:after="120" w:line="276" w:lineRule="auto"/>
              <w:jc w:val="center"/>
              <w:rPr>
                <w:rFonts w:ascii="Calibri" w:eastAsia="Calibri" w:hAnsi="Calibri" w:cs="Calibri"/>
                <w:b/>
                <w:sz w:val="20"/>
                <w:szCs w:val="20"/>
                <w:lang w:val="en-AU"/>
              </w:rPr>
            </w:pPr>
            <w:r w:rsidRPr="00A37634">
              <w:rPr>
                <w:rFonts w:ascii="Calibri" w:eastAsia="Calibri" w:hAnsi="Calibri" w:cs="Calibri"/>
                <w:b/>
                <w:sz w:val="20"/>
                <w:szCs w:val="20"/>
                <w:lang w:val="en-AU"/>
              </w:rPr>
              <w:t>Australia/New Zealand Standard AS/NZS 4755</w:t>
            </w:r>
          </w:p>
        </w:tc>
        <w:tc>
          <w:tcPr>
            <w:tcW w:w="2006" w:type="dxa"/>
            <w:tcBorders>
              <w:bottom w:val="single" w:sz="4" w:space="0" w:color="auto"/>
            </w:tcBorders>
          </w:tcPr>
          <w:p w14:paraId="48D09273" w14:textId="77777777" w:rsidR="00A37634" w:rsidRPr="00A37634" w:rsidRDefault="00A37634" w:rsidP="00A37634">
            <w:pPr>
              <w:spacing w:after="120" w:line="276" w:lineRule="auto"/>
              <w:jc w:val="center"/>
              <w:rPr>
                <w:rFonts w:ascii="Calibri" w:eastAsia="Calibri" w:hAnsi="Calibri" w:cs="Calibri"/>
                <w:b/>
                <w:sz w:val="20"/>
                <w:szCs w:val="20"/>
                <w:lang w:val="en-AU"/>
              </w:rPr>
            </w:pPr>
            <w:r w:rsidRPr="00A37634">
              <w:rPr>
                <w:rFonts w:ascii="Calibri" w:eastAsia="Calibri" w:hAnsi="Calibri" w:cs="Calibri"/>
                <w:b/>
                <w:sz w:val="20"/>
                <w:szCs w:val="20"/>
                <w:lang w:val="en-AU"/>
              </w:rPr>
              <w:t xml:space="preserve">Japan </w:t>
            </w:r>
            <w:r w:rsidRPr="00A37634">
              <w:rPr>
                <w:rFonts w:ascii="Calibri" w:eastAsia="Calibri" w:hAnsi="Calibri" w:cs="Calibri"/>
                <w:b/>
                <w:sz w:val="20"/>
                <w:szCs w:val="20"/>
                <w:lang w:val="en-AU"/>
              </w:rPr>
              <w:br/>
            </w:r>
            <w:proofErr w:type="spellStart"/>
            <w:r w:rsidRPr="00A37634">
              <w:rPr>
                <w:rFonts w:ascii="Calibri" w:eastAsia="Calibri" w:hAnsi="Calibri" w:cs="Calibri"/>
                <w:b/>
                <w:sz w:val="20"/>
                <w:szCs w:val="20"/>
                <w:lang w:val="en-AU"/>
              </w:rPr>
              <w:t>Echonet</w:t>
            </w:r>
            <w:proofErr w:type="spellEnd"/>
            <w:r w:rsidRPr="00A37634">
              <w:rPr>
                <w:rFonts w:ascii="Calibri" w:eastAsia="Calibri" w:hAnsi="Calibri" w:cs="Calibri"/>
                <w:b/>
                <w:sz w:val="20"/>
                <w:szCs w:val="20"/>
                <w:lang w:val="en-AU"/>
              </w:rPr>
              <w:t xml:space="preserve"> </w:t>
            </w:r>
            <w:proofErr w:type="spellStart"/>
            <w:r w:rsidRPr="00A37634">
              <w:rPr>
                <w:rFonts w:ascii="Calibri" w:eastAsia="Calibri" w:hAnsi="Calibri" w:cs="Calibri"/>
                <w:b/>
                <w:sz w:val="20"/>
                <w:szCs w:val="20"/>
                <w:lang w:val="en-AU"/>
              </w:rPr>
              <w:t>Lite</w:t>
            </w:r>
            <w:proofErr w:type="spellEnd"/>
          </w:p>
        </w:tc>
      </w:tr>
      <w:tr w:rsidR="00A37634" w:rsidRPr="00A37634" w14:paraId="63022D15" w14:textId="77777777" w:rsidTr="007C7289">
        <w:trPr>
          <w:cantSplit/>
        </w:trPr>
        <w:tc>
          <w:tcPr>
            <w:tcW w:w="3227" w:type="dxa"/>
          </w:tcPr>
          <w:p w14:paraId="016C45B2"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Air conditioner – window-wall</w:t>
            </w:r>
          </w:p>
        </w:tc>
        <w:tc>
          <w:tcPr>
            <w:tcW w:w="2005" w:type="dxa"/>
            <w:shd w:val="clear" w:color="auto" w:fill="B3B3B3"/>
            <w:vAlign w:val="center"/>
          </w:tcPr>
          <w:p w14:paraId="31BA70FE"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7</w:t>
            </w:r>
          </w:p>
        </w:tc>
        <w:tc>
          <w:tcPr>
            <w:tcW w:w="2005" w:type="dxa"/>
            <w:shd w:val="clear" w:color="auto" w:fill="B3B3B3"/>
          </w:tcPr>
          <w:p w14:paraId="588D8402"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0</w:t>
            </w:r>
          </w:p>
        </w:tc>
        <w:tc>
          <w:tcPr>
            <w:tcW w:w="2006" w:type="dxa"/>
            <w:shd w:val="clear" w:color="auto" w:fill="B3B3B3"/>
          </w:tcPr>
          <w:p w14:paraId="480E2DDC" w14:textId="77777777" w:rsidR="00A37634" w:rsidRPr="00A37634" w:rsidRDefault="00A37634" w:rsidP="00A37634">
            <w:pPr>
              <w:spacing w:after="200" w:line="240" w:lineRule="auto"/>
              <w:jc w:val="center"/>
              <w:rPr>
                <w:rFonts w:ascii="Calibri" w:eastAsia="Times New Roman" w:hAnsi="Calibri" w:cs="Calibri"/>
                <w:b/>
                <w:bCs/>
                <w:sz w:val="20"/>
                <w:szCs w:val="20"/>
                <w:lang w:val="en-US" w:eastAsia="en-GB"/>
              </w:rPr>
            </w:pPr>
            <w:r w:rsidRPr="00A37634">
              <w:rPr>
                <w:rFonts w:ascii="Calibri" w:eastAsia="Times New Roman" w:hAnsi="Calibri" w:cs="Calibri"/>
                <w:b/>
                <w:bCs/>
                <w:sz w:val="20"/>
                <w:szCs w:val="20"/>
                <w:lang w:val="en-US" w:eastAsia="en-GB"/>
              </w:rPr>
              <w:sym w:font="Wingdings" w:char="F0FC"/>
            </w:r>
          </w:p>
        </w:tc>
      </w:tr>
      <w:tr w:rsidR="00A37634" w:rsidRPr="00A37634" w14:paraId="75B0D9A1" w14:textId="77777777" w:rsidTr="007C7289">
        <w:trPr>
          <w:cantSplit/>
        </w:trPr>
        <w:tc>
          <w:tcPr>
            <w:tcW w:w="3227" w:type="dxa"/>
          </w:tcPr>
          <w:p w14:paraId="65886880"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 xml:space="preserve">Air conditioner – split unit </w:t>
            </w:r>
          </w:p>
        </w:tc>
        <w:tc>
          <w:tcPr>
            <w:tcW w:w="2005" w:type="dxa"/>
          </w:tcPr>
          <w:p w14:paraId="3D1DE997"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5" w:type="dxa"/>
            <w:tcBorders>
              <w:bottom w:val="single" w:sz="4" w:space="0" w:color="auto"/>
            </w:tcBorders>
            <w:shd w:val="clear" w:color="auto" w:fill="B3B3B3"/>
          </w:tcPr>
          <w:p w14:paraId="3F971FB2"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990</w:t>
            </w:r>
          </w:p>
        </w:tc>
        <w:tc>
          <w:tcPr>
            <w:tcW w:w="2006" w:type="dxa"/>
            <w:shd w:val="clear" w:color="auto" w:fill="B3B3B3"/>
          </w:tcPr>
          <w:p w14:paraId="23A7C157"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sz w:val="20"/>
                <w:szCs w:val="20"/>
                <w:lang w:val="en-AU"/>
              </w:rPr>
              <w:t>26 families (a)</w:t>
            </w:r>
          </w:p>
        </w:tc>
      </w:tr>
      <w:tr w:rsidR="00A37634" w:rsidRPr="00A37634" w14:paraId="0F1DB516" w14:textId="77777777" w:rsidTr="007C7289">
        <w:trPr>
          <w:cantSplit/>
        </w:trPr>
        <w:tc>
          <w:tcPr>
            <w:tcW w:w="3227" w:type="dxa"/>
          </w:tcPr>
          <w:p w14:paraId="1C99EA14"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 xml:space="preserve">Air conditioner – central/ducted </w:t>
            </w:r>
          </w:p>
        </w:tc>
        <w:tc>
          <w:tcPr>
            <w:tcW w:w="2005" w:type="dxa"/>
          </w:tcPr>
          <w:p w14:paraId="57B5CD04"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5" w:type="dxa"/>
            <w:shd w:val="clear" w:color="auto" w:fill="B3B3B3"/>
          </w:tcPr>
          <w:p w14:paraId="748704CA"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113</w:t>
            </w:r>
          </w:p>
        </w:tc>
        <w:tc>
          <w:tcPr>
            <w:tcW w:w="2006" w:type="dxa"/>
            <w:shd w:val="clear" w:color="auto" w:fill="B3B3B3"/>
          </w:tcPr>
          <w:p w14:paraId="7ACFC0A0"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p>
        </w:tc>
      </w:tr>
      <w:tr w:rsidR="00A37634" w:rsidRPr="00A37634" w14:paraId="67EC28FC" w14:textId="77777777" w:rsidTr="007C7289">
        <w:tc>
          <w:tcPr>
            <w:tcW w:w="3227" w:type="dxa"/>
          </w:tcPr>
          <w:p w14:paraId="01B8C352"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Electric resistance heating</w:t>
            </w:r>
          </w:p>
        </w:tc>
        <w:tc>
          <w:tcPr>
            <w:tcW w:w="2005" w:type="dxa"/>
          </w:tcPr>
          <w:p w14:paraId="2829C85A"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5" w:type="dxa"/>
          </w:tcPr>
          <w:p w14:paraId="65F7FAF0"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6" w:type="dxa"/>
          </w:tcPr>
          <w:p w14:paraId="7562BCA6"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p>
        </w:tc>
      </w:tr>
      <w:tr w:rsidR="00A37634" w:rsidRPr="00A37634" w14:paraId="7B4658C0" w14:textId="77777777" w:rsidTr="007C7289">
        <w:tc>
          <w:tcPr>
            <w:tcW w:w="3227" w:type="dxa"/>
          </w:tcPr>
          <w:p w14:paraId="69ED2EF9"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Pool pump controller</w:t>
            </w:r>
          </w:p>
        </w:tc>
        <w:tc>
          <w:tcPr>
            <w:tcW w:w="2005" w:type="dxa"/>
          </w:tcPr>
          <w:p w14:paraId="4B300815"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5" w:type="dxa"/>
          </w:tcPr>
          <w:p w14:paraId="0CB2F09D"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0</w:t>
            </w:r>
          </w:p>
        </w:tc>
        <w:tc>
          <w:tcPr>
            <w:tcW w:w="2006" w:type="dxa"/>
          </w:tcPr>
          <w:p w14:paraId="47C5687D"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r>
      <w:tr w:rsidR="00A37634" w:rsidRPr="00A37634" w14:paraId="5A1C3B46" w14:textId="77777777" w:rsidTr="007C7289">
        <w:trPr>
          <w:cantSplit/>
        </w:trPr>
        <w:tc>
          <w:tcPr>
            <w:tcW w:w="3227" w:type="dxa"/>
          </w:tcPr>
          <w:p w14:paraId="54C7B9AE"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Water heater – heat pump</w:t>
            </w:r>
          </w:p>
        </w:tc>
        <w:tc>
          <w:tcPr>
            <w:tcW w:w="2005" w:type="dxa"/>
          </w:tcPr>
          <w:p w14:paraId="0D2B32D6"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5" w:type="dxa"/>
          </w:tcPr>
          <w:p w14:paraId="4D4A016D"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0</w:t>
            </w:r>
          </w:p>
        </w:tc>
        <w:tc>
          <w:tcPr>
            <w:tcW w:w="2006" w:type="dxa"/>
          </w:tcPr>
          <w:p w14:paraId="2B258997"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sz w:val="20"/>
                <w:szCs w:val="20"/>
                <w:lang w:val="en-AU"/>
              </w:rPr>
              <w:t>11</w:t>
            </w:r>
          </w:p>
        </w:tc>
      </w:tr>
      <w:tr w:rsidR="00A37634" w:rsidRPr="00A37634" w14:paraId="55B43950" w14:textId="77777777" w:rsidTr="007C7289">
        <w:trPr>
          <w:cantSplit/>
        </w:trPr>
        <w:tc>
          <w:tcPr>
            <w:tcW w:w="3227" w:type="dxa"/>
          </w:tcPr>
          <w:p w14:paraId="081AC8F8"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Water heater – resistance</w:t>
            </w:r>
          </w:p>
        </w:tc>
        <w:tc>
          <w:tcPr>
            <w:tcW w:w="2005" w:type="dxa"/>
            <w:tcBorders>
              <w:bottom w:val="single" w:sz="4" w:space="0" w:color="auto"/>
            </w:tcBorders>
          </w:tcPr>
          <w:p w14:paraId="069C9216"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5" w:type="dxa"/>
            <w:tcBorders>
              <w:bottom w:val="single" w:sz="4" w:space="0" w:color="auto"/>
            </w:tcBorders>
          </w:tcPr>
          <w:p w14:paraId="3F9D0E1D"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0</w:t>
            </w:r>
            <w:r w:rsidRPr="00A37634">
              <w:rPr>
                <w:rFonts w:ascii="Calibri" w:eastAsia="Calibri" w:hAnsi="Calibri" w:cs="Calibri"/>
                <w:b/>
                <w:bCs/>
                <w:sz w:val="20"/>
                <w:szCs w:val="20"/>
                <w:lang w:val="en-AU"/>
              </w:rPr>
              <w:t xml:space="preserve"> </w:t>
            </w:r>
          </w:p>
        </w:tc>
        <w:tc>
          <w:tcPr>
            <w:tcW w:w="2006" w:type="dxa"/>
          </w:tcPr>
          <w:p w14:paraId="07334A40"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r>
      <w:tr w:rsidR="00A37634" w:rsidRPr="00A37634" w14:paraId="17D04760" w14:textId="77777777" w:rsidTr="007C7289">
        <w:tc>
          <w:tcPr>
            <w:tcW w:w="3227" w:type="dxa"/>
          </w:tcPr>
          <w:p w14:paraId="7E079783"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Refrigerator &amp; freezer</w:t>
            </w:r>
          </w:p>
        </w:tc>
        <w:tc>
          <w:tcPr>
            <w:tcW w:w="2005" w:type="dxa"/>
            <w:shd w:val="clear" w:color="auto" w:fill="B3B3B3"/>
          </w:tcPr>
          <w:p w14:paraId="044C7A8C"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41</w:t>
            </w:r>
          </w:p>
        </w:tc>
        <w:tc>
          <w:tcPr>
            <w:tcW w:w="2005" w:type="dxa"/>
            <w:shd w:val="clear" w:color="auto" w:fill="B3B3B3"/>
          </w:tcPr>
          <w:p w14:paraId="05060D60"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6" w:type="dxa"/>
          </w:tcPr>
          <w:p w14:paraId="543BDE69"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p>
        </w:tc>
      </w:tr>
      <w:tr w:rsidR="00A37634" w:rsidRPr="00A37634" w14:paraId="13304715" w14:textId="77777777" w:rsidTr="007C7289">
        <w:tc>
          <w:tcPr>
            <w:tcW w:w="3227" w:type="dxa"/>
          </w:tcPr>
          <w:p w14:paraId="2C4EF090"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Clothes washer &amp; washer-dryer</w:t>
            </w:r>
          </w:p>
        </w:tc>
        <w:tc>
          <w:tcPr>
            <w:tcW w:w="2005" w:type="dxa"/>
            <w:shd w:val="clear" w:color="auto" w:fill="B3B3B3"/>
          </w:tcPr>
          <w:p w14:paraId="6B6F911D"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0</w:t>
            </w:r>
          </w:p>
        </w:tc>
        <w:tc>
          <w:tcPr>
            <w:tcW w:w="2005" w:type="dxa"/>
            <w:shd w:val="clear" w:color="auto" w:fill="B3B3B3"/>
          </w:tcPr>
          <w:p w14:paraId="321EE658"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6" w:type="dxa"/>
          </w:tcPr>
          <w:p w14:paraId="66778B84"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p>
        </w:tc>
      </w:tr>
      <w:tr w:rsidR="00A37634" w:rsidRPr="00A37634" w14:paraId="521BD213" w14:textId="77777777" w:rsidTr="007C7289">
        <w:tc>
          <w:tcPr>
            <w:tcW w:w="3227" w:type="dxa"/>
          </w:tcPr>
          <w:p w14:paraId="3E23BB55"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Clothes dryer</w:t>
            </w:r>
          </w:p>
        </w:tc>
        <w:tc>
          <w:tcPr>
            <w:tcW w:w="2005" w:type="dxa"/>
            <w:shd w:val="clear" w:color="auto" w:fill="B3B3B3"/>
          </w:tcPr>
          <w:p w14:paraId="7BD68963" w14:textId="77777777" w:rsidR="00A37634" w:rsidRPr="00A37634" w:rsidRDefault="00A37634" w:rsidP="00A37634">
            <w:pPr>
              <w:spacing w:after="200" w:line="240" w:lineRule="auto"/>
              <w:jc w:val="center"/>
              <w:rPr>
                <w:rFonts w:ascii="Calibri" w:eastAsia="Times New Roman" w:hAnsi="Calibri" w:cs="Calibri"/>
                <w:b/>
                <w:bCs/>
                <w:sz w:val="20"/>
                <w:szCs w:val="20"/>
                <w:lang w:val="en-US" w:eastAsia="en-GB"/>
              </w:rPr>
            </w:pPr>
            <w:r w:rsidRPr="00A37634">
              <w:rPr>
                <w:rFonts w:ascii="Calibri" w:eastAsia="Times New Roman" w:hAnsi="Calibri" w:cs="Calibri"/>
                <w:b/>
                <w:bCs/>
                <w:sz w:val="20"/>
                <w:szCs w:val="20"/>
                <w:lang w:val="en-US" w:eastAsia="en-GB"/>
              </w:rPr>
              <w:sym w:font="Wingdings" w:char="F0FC"/>
            </w:r>
            <w:r w:rsidRPr="00A37634">
              <w:rPr>
                <w:rFonts w:ascii="Calibri" w:eastAsia="Times New Roman" w:hAnsi="Calibri" w:cs="Calibri"/>
                <w:b/>
                <w:bCs/>
                <w:sz w:val="20"/>
                <w:szCs w:val="20"/>
                <w:lang w:val="en-US" w:eastAsia="en-GB"/>
              </w:rPr>
              <w:t xml:space="preserve"> </w:t>
            </w:r>
            <w:r w:rsidRPr="00A37634">
              <w:rPr>
                <w:rFonts w:ascii="Calibri" w:eastAsia="Times New Roman" w:hAnsi="Calibri" w:cs="Calibri"/>
                <w:sz w:val="20"/>
                <w:szCs w:val="20"/>
                <w:lang w:val="en-US" w:eastAsia="en-GB"/>
              </w:rPr>
              <w:t>2</w:t>
            </w:r>
          </w:p>
        </w:tc>
        <w:tc>
          <w:tcPr>
            <w:tcW w:w="2005" w:type="dxa"/>
            <w:shd w:val="clear" w:color="auto" w:fill="B3B3B3"/>
          </w:tcPr>
          <w:p w14:paraId="70618F2D"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6" w:type="dxa"/>
          </w:tcPr>
          <w:p w14:paraId="69BEA70F"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p>
        </w:tc>
      </w:tr>
      <w:tr w:rsidR="00A37634" w:rsidRPr="00A37634" w14:paraId="03031C4D" w14:textId="77777777" w:rsidTr="007C7289">
        <w:tc>
          <w:tcPr>
            <w:tcW w:w="3227" w:type="dxa"/>
          </w:tcPr>
          <w:p w14:paraId="105704C3"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Dishwasher</w:t>
            </w:r>
          </w:p>
        </w:tc>
        <w:tc>
          <w:tcPr>
            <w:tcW w:w="2005" w:type="dxa"/>
            <w:shd w:val="clear" w:color="auto" w:fill="B3B3B3"/>
          </w:tcPr>
          <w:p w14:paraId="755E68DB"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0</w:t>
            </w:r>
          </w:p>
        </w:tc>
        <w:tc>
          <w:tcPr>
            <w:tcW w:w="2005" w:type="dxa"/>
            <w:shd w:val="clear" w:color="auto" w:fill="B3B3B3"/>
          </w:tcPr>
          <w:p w14:paraId="41E9865B"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6" w:type="dxa"/>
          </w:tcPr>
          <w:p w14:paraId="36D42102"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r>
      <w:tr w:rsidR="00A37634" w:rsidRPr="00A37634" w14:paraId="42A200C0" w14:textId="77777777" w:rsidTr="007C7289">
        <w:tc>
          <w:tcPr>
            <w:tcW w:w="3227" w:type="dxa"/>
          </w:tcPr>
          <w:p w14:paraId="29616FE5"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Light fixtures</w:t>
            </w:r>
          </w:p>
        </w:tc>
        <w:tc>
          <w:tcPr>
            <w:tcW w:w="2005" w:type="dxa"/>
            <w:shd w:val="clear" w:color="auto" w:fill="B3B3B3"/>
          </w:tcPr>
          <w:p w14:paraId="1A0E6755"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241</w:t>
            </w:r>
          </w:p>
        </w:tc>
        <w:tc>
          <w:tcPr>
            <w:tcW w:w="2005" w:type="dxa"/>
          </w:tcPr>
          <w:p w14:paraId="359EE8C5"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6" w:type="dxa"/>
          </w:tcPr>
          <w:p w14:paraId="2C548C95"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p>
        </w:tc>
      </w:tr>
      <w:tr w:rsidR="00A37634" w:rsidRPr="00A37634" w14:paraId="021F2A1C" w14:textId="77777777" w:rsidTr="007C7289">
        <w:tc>
          <w:tcPr>
            <w:tcW w:w="3227" w:type="dxa"/>
          </w:tcPr>
          <w:p w14:paraId="5C03B0AC"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Connected thermostat</w:t>
            </w:r>
          </w:p>
        </w:tc>
        <w:tc>
          <w:tcPr>
            <w:tcW w:w="2005" w:type="dxa"/>
            <w:shd w:val="clear" w:color="auto" w:fill="B3B3B3"/>
          </w:tcPr>
          <w:p w14:paraId="149D980B"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47</w:t>
            </w:r>
          </w:p>
        </w:tc>
        <w:tc>
          <w:tcPr>
            <w:tcW w:w="2005" w:type="dxa"/>
          </w:tcPr>
          <w:p w14:paraId="7CDEA480"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6" w:type="dxa"/>
          </w:tcPr>
          <w:p w14:paraId="0459BFC9"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p>
        </w:tc>
      </w:tr>
      <w:tr w:rsidR="00A37634" w:rsidRPr="00A37634" w14:paraId="13F8456E" w14:textId="77777777" w:rsidTr="007C7289">
        <w:tc>
          <w:tcPr>
            <w:tcW w:w="3227" w:type="dxa"/>
          </w:tcPr>
          <w:p w14:paraId="009F2E78"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Energy battery storage system</w:t>
            </w:r>
          </w:p>
        </w:tc>
        <w:tc>
          <w:tcPr>
            <w:tcW w:w="2005" w:type="dxa"/>
            <w:tcBorders>
              <w:bottom w:val="single" w:sz="4" w:space="0" w:color="auto"/>
            </w:tcBorders>
          </w:tcPr>
          <w:p w14:paraId="75C67135"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5" w:type="dxa"/>
          </w:tcPr>
          <w:p w14:paraId="58F1F742"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5</w:t>
            </w:r>
          </w:p>
        </w:tc>
        <w:tc>
          <w:tcPr>
            <w:tcW w:w="2006" w:type="dxa"/>
          </w:tcPr>
          <w:p w14:paraId="55A7731F"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sz w:val="20"/>
                <w:szCs w:val="20"/>
                <w:lang w:val="en-AU"/>
              </w:rPr>
              <w:t>46</w:t>
            </w:r>
          </w:p>
        </w:tc>
      </w:tr>
      <w:tr w:rsidR="00A37634" w:rsidRPr="00A37634" w14:paraId="61C398EA" w14:textId="77777777" w:rsidTr="007C7289">
        <w:tc>
          <w:tcPr>
            <w:tcW w:w="3227" w:type="dxa"/>
          </w:tcPr>
          <w:p w14:paraId="368C4648"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Electric vehicle charger (EVSE)</w:t>
            </w:r>
          </w:p>
        </w:tc>
        <w:tc>
          <w:tcPr>
            <w:tcW w:w="2005" w:type="dxa"/>
            <w:shd w:val="clear" w:color="auto" w:fill="B3B3B3"/>
          </w:tcPr>
          <w:p w14:paraId="3E711046"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0</w:t>
            </w:r>
          </w:p>
        </w:tc>
        <w:tc>
          <w:tcPr>
            <w:tcW w:w="2005" w:type="dxa"/>
          </w:tcPr>
          <w:p w14:paraId="128A1849"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(b)</w:t>
            </w:r>
          </w:p>
        </w:tc>
        <w:tc>
          <w:tcPr>
            <w:tcW w:w="2006" w:type="dxa"/>
          </w:tcPr>
          <w:p w14:paraId="56D26D9A"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sz w:val="20"/>
                <w:szCs w:val="20"/>
                <w:lang w:val="en-AU"/>
              </w:rPr>
              <w:t>1</w:t>
            </w:r>
          </w:p>
        </w:tc>
      </w:tr>
      <w:tr w:rsidR="00A37634" w:rsidRPr="00A37634" w14:paraId="0CA49873" w14:textId="77777777" w:rsidTr="007C7289">
        <w:tc>
          <w:tcPr>
            <w:tcW w:w="3227" w:type="dxa"/>
          </w:tcPr>
          <w:p w14:paraId="27CE3F65"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Photovoltaic/battery inverter</w:t>
            </w:r>
          </w:p>
        </w:tc>
        <w:tc>
          <w:tcPr>
            <w:tcW w:w="2005" w:type="dxa"/>
          </w:tcPr>
          <w:p w14:paraId="2E62DF3B"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5" w:type="dxa"/>
          </w:tcPr>
          <w:p w14:paraId="221AB699"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(c)</w:t>
            </w:r>
          </w:p>
        </w:tc>
        <w:tc>
          <w:tcPr>
            <w:tcW w:w="2006" w:type="dxa"/>
          </w:tcPr>
          <w:p w14:paraId="75DBCF17"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23</w:t>
            </w:r>
          </w:p>
        </w:tc>
      </w:tr>
      <w:tr w:rsidR="00A37634" w:rsidRPr="00A37634" w14:paraId="53A881C3" w14:textId="77777777" w:rsidTr="007C7289">
        <w:tc>
          <w:tcPr>
            <w:tcW w:w="3227" w:type="dxa"/>
          </w:tcPr>
          <w:p w14:paraId="21792741" w14:textId="77777777" w:rsidR="00A37634" w:rsidRPr="00A37634" w:rsidRDefault="00A37634" w:rsidP="00A37634">
            <w:pPr>
              <w:spacing w:after="120" w:line="276" w:lineRule="auto"/>
              <w:rPr>
                <w:rFonts w:ascii="Calibri" w:eastAsia="Calibri" w:hAnsi="Calibri" w:cs="Calibri"/>
                <w:sz w:val="20"/>
                <w:szCs w:val="20"/>
                <w:lang w:val="en-AU"/>
              </w:rPr>
            </w:pPr>
            <w:r w:rsidRPr="00A37634">
              <w:rPr>
                <w:rFonts w:ascii="Calibri" w:eastAsia="Calibri" w:hAnsi="Calibri" w:cs="Calibri"/>
                <w:sz w:val="20"/>
                <w:szCs w:val="20"/>
                <w:lang w:val="en-AU"/>
              </w:rPr>
              <w:t xml:space="preserve">Controller for other devices </w:t>
            </w:r>
          </w:p>
        </w:tc>
        <w:tc>
          <w:tcPr>
            <w:tcW w:w="2005" w:type="dxa"/>
          </w:tcPr>
          <w:p w14:paraId="3FE3BA49" w14:textId="77777777" w:rsidR="00A37634" w:rsidRPr="00A37634" w:rsidRDefault="00A37634" w:rsidP="00A37634">
            <w:pPr>
              <w:spacing w:after="120" w:line="276" w:lineRule="auto"/>
              <w:jc w:val="center"/>
              <w:rPr>
                <w:rFonts w:ascii="Calibri" w:eastAsia="Calibri" w:hAnsi="Calibri" w:cs="Calibri"/>
                <w:b/>
                <w:bCs/>
                <w:sz w:val="20"/>
                <w:szCs w:val="20"/>
                <w:lang w:val="en-AU"/>
              </w:rPr>
            </w:pPr>
          </w:p>
        </w:tc>
        <w:tc>
          <w:tcPr>
            <w:tcW w:w="2005" w:type="dxa"/>
          </w:tcPr>
          <w:p w14:paraId="1E6E5BE9"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 xml:space="preserve"> </w:t>
            </w:r>
            <w:r w:rsidRPr="00A37634">
              <w:rPr>
                <w:rFonts w:ascii="Calibri" w:eastAsia="Calibri" w:hAnsi="Calibri" w:cs="Calibri"/>
                <w:sz w:val="20"/>
                <w:szCs w:val="20"/>
                <w:lang w:val="en-AU"/>
              </w:rPr>
              <w:t>0</w:t>
            </w:r>
          </w:p>
        </w:tc>
        <w:tc>
          <w:tcPr>
            <w:tcW w:w="2006" w:type="dxa"/>
          </w:tcPr>
          <w:p w14:paraId="0AC8C7E0" w14:textId="77777777" w:rsidR="00A37634" w:rsidRPr="00A37634" w:rsidRDefault="00A37634" w:rsidP="00A37634">
            <w:pPr>
              <w:spacing w:after="120" w:line="276" w:lineRule="auto"/>
              <w:jc w:val="center"/>
              <w:rPr>
                <w:rFonts w:ascii="Calibri" w:eastAsia="Calibri" w:hAnsi="Calibri" w:cs="Calibri"/>
                <w:b/>
                <w:bCs/>
                <w:sz w:val="20"/>
                <w:szCs w:val="20"/>
                <w:lang w:val="en-AU"/>
              </w:rPr>
            </w:pPr>
            <w:r w:rsidRPr="00A37634">
              <w:rPr>
                <w:rFonts w:ascii="Calibri" w:eastAsia="Calibri" w:hAnsi="Calibri" w:cs="Calibri"/>
                <w:b/>
                <w:bCs/>
                <w:sz w:val="20"/>
                <w:szCs w:val="20"/>
                <w:lang w:val="en-AU"/>
              </w:rPr>
              <w:sym w:font="Wingdings" w:char="F0FC"/>
            </w:r>
            <w:r w:rsidRPr="00A37634">
              <w:rPr>
                <w:rFonts w:ascii="Calibri" w:eastAsia="Calibri" w:hAnsi="Calibri" w:cs="Calibri"/>
                <w:b/>
                <w:bCs/>
                <w:sz w:val="20"/>
                <w:szCs w:val="20"/>
                <w:lang w:val="en-AU"/>
              </w:rPr>
              <w:t>213</w:t>
            </w:r>
          </w:p>
        </w:tc>
      </w:tr>
    </w:tbl>
    <w:p w14:paraId="0287082F" w14:textId="77777777" w:rsidR="00A37634" w:rsidRPr="00A37634" w:rsidRDefault="00A37634" w:rsidP="00A37634">
      <w:pPr>
        <w:spacing w:after="0" w:line="240" w:lineRule="auto"/>
        <w:rPr>
          <w:rFonts w:ascii="Calibri" w:eastAsia="Calibri" w:hAnsi="Calibri" w:cs="Calibri"/>
          <w:sz w:val="18"/>
          <w:szCs w:val="20"/>
          <w:lang w:val="en-AU"/>
        </w:rPr>
      </w:pPr>
      <w:r w:rsidRPr="00A37634">
        <w:rPr>
          <w:rFonts w:ascii="Calibri" w:eastAsia="Calibri" w:hAnsi="Calibri" w:cs="Calibri"/>
          <w:sz w:val="18"/>
          <w:szCs w:val="20"/>
          <w:lang w:val="en-AU"/>
        </w:rPr>
        <w:sym w:font="Wingdings" w:char="F0FC"/>
      </w:r>
      <w:r w:rsidRPr="00A37634">
        <w:rPr>
          <w:rFonts w:ascii="Calibri" w:eastAsia="Calibri" w:hAnsi="Calibri" w:cs="Calibri"/>
          <w:sz w:val="18"/>
          <w:szCs w:val="20"/>
          <w:lang w:val="en-AU"/>
        </w:rPr>
        <w:t xml:space="preserve"> </w:t>
      </w:r>
      <w:proofErr w:type="gramStart"/>
      <w:r w:rsidRPr="00A37634">
        <w:rPr>
          <w:rFonts w:ascii="Calibri" w:eastAsia="Calibri" w:hAnsi="Calibri" w:cs="Calibri"/>
          <w:sz w:val="18"/>
          <w:szCs w:val="20"/>
          <w:lang w:val="en-AU"/>
        </w:rPr>
        <w:t>indicates</w:t>
      </w:r>
      <w:proofErr w:type="gramEnd"/>
      <w:r w:rsidRPr="00A37634">
        <w:rPr>
          <w:rFonts w:ascii="Calibri" w:eastAsia="Calibri" w:hAnsi="Calibri" w:cs="Calibri"/>
          <w:sz w:val="18"/>
          <w:szCs w:val="20"/>
          <w:lang w:val="en-AU"/>
        </w:rPr>
        <w:t xml:space="preserve"> that there are standards or rules published for these products. Shading indicate there is energy labelling for that product (voluntary endorsement label for Energy Star, mandatory comparative label for Australia and Japan). Numbers indicate distinct models listed as compliant (June 2019). (a) </w:t>
      </w:r>
      <w:proofErr w:type="spellStart"/>
      <w:r w:rsidRPr="00A37634">
        <w:rPr>
          <w:rFonts w:ascii="Calibri" w:eastAsia="Calibri" w:hAnsi="Calibri" w:cs="Calibri"/>
          <w:sz w:val="18"/>
          <w:szCs w:val="20"/>
          <w:lang w:val="en-AU"/>
        </w:rPr>
        <w:t>Echonet</w:t>
      </w:r>
      <w:proofErr w:type="spellEnd"/>
      <w:r w:rsidRPr="00A37634">
        <w:rPr>
          <w:rFonts w:ascii="Calibri" w:eastAsia="Calibri" w:hAnsi="Calibri" w:cs="Calibri"/>
          <w:sz w:val="18"/>
          <w:szCs w:val="20"/>
          <w:lang w:val="en-AU"/>
        </w:rPr>
        <w:t xml:space="preserve"> listings cover model families, so number of models not shown. (b) Standard/rule under development. (c) Via cross-reference in AS/NZS 4777. </w:t>
      </w:r>
    </w:p>
    <w:p w14:paraId="1151AD99" w14:textId="77777777" w:rsidR="00A37634" w:rsidRPr="00A37634" w:rsidRDefault="00A37634" w:rsidP="00A37634">
      <w:pPr>
        <w:spacing w:before="240" w:after="120" w:line="278" w:lineRule="auto"/>
        <w:rPr>
          <w:rFonts w:ascii="Calibri" w:eastAsia="Cambria" w:hAnsi="Calibri" w:cs="Calibri"/>
          <w:szCs w:val="20"/>
          <w:lang w:val="en-AU"/>
        </w:rPr>
      </w:pPr>
      <w:r w:rsidRPr="00A37634">
        <w:rPr>
          <w:rFonts w:ascii="Calibri" w:eastAsia="Cambria" w:hAnsi="Calibri" w:cs="Calibri"/>
          <w:szCs w:val="20"/>
          <w:lang w:val="en-AU"/>
        </w:rPr>
        <w:t xml:space="preserve">One Victorian DNSP, </w:t>
      </w:r>
      <w:proofErr w:type="spellStart"/>
      <w:r w:rsidRPr="00A37634">
        <w:rPr>
          <w:rFonts w:ascii="Calibri" w:eastAsia="Cambria" w:hAnsi="Calibri" w:cs="Calibri"/>
          <w:szCs w:val="20"/>
          <w:lang w:val="en-AU"/>
        </w:rPr>
        <w:t>PowerCor</w:t>
      </w:r>
      <w:proofErr w:type="spellEnd"/>
      <w:r w:rsidRPr="00A37634">
        <w:rPr>
          <w:rFonts w:ascii="Calibri" w:eastAsia="Cambria" w:hAnsi="Calibri" w:cs="Calibri"/>
          <w:szCs w:val="20"/>
          <w:lang w:val="en-AU"/>
        </w:rPr>
        <w:t>, is trialling a product that enables temperature adjustment signals to be sent to split unit ACs</w:t>
      </w:r>
      <w:r w:rsidRPr="00A37634">
        <w:rPr>
          <w:rFonts w:ascii="Calibri" w:eastAsia="Cambria" w:hAnsi="Calibri" w:cs="Calibri"/>
          <w:szCs w:val="20"/>
          <w:vertAlign w:val="superscript"/>
          <w:lang w:val="en-AU"/>
        </w:rPr>
        <w:footnoteReference w:id="83"/>
      </w:r>
      <w:r w:rsidRPr="00A37634">
        <w:rPr>
          <w:rFonts w:ascii="Calibri" w:eastAsia="Cambria" w:hAnsi="Calibri" w:cs="Calibri"/>
          <w:szCs w:val="20"/>
          <w:lang w:val="en-AU"/>
        </w:rPr>
        <w:t xml:space="preserve"> so addressing problem (a) above. </w:t>
      </w:r>
      <w:proofErr w:type="spellStart"/>
      <w:r w:rsidRPr="00A37634">
        <w:rPr>
          <w:rFonts w:ascii="Calibri" w:eastAsia="Cambria" w:hAnsi="Calibri" w:cs="Calibri"/>
          <w:szCs w:val="20"/>
          <w:lang w:val="en-AU"/>
        </w:rPr>
        <w:t>PowerCor</w:t>
      </w:r>
      <w:proofErr w:type="spellEnd"/>
      <w:r w:rsidRPr="00A37634">
        <w:rPr>
          <w:rFonts w:ascii="Calibri" w:eastAsia="Cambria" w:hAnsi="Calibri" w:cs="Calibri"/>
          <w:szCs w:val="20"/>
          <w:lang w:val="en-AU"/>
        </w:rPr>
        <w:t xml:space="preserve"> is using the </w:t>
      </w:r>
      <w:proofErr w:type="spellStart"/>
      <w:r w:rsidRPr="00A37634">
        <w:rPr>
          <w:rFonts w:ascii="Calibri" w:eastAsia="Cambria" w:hAnsi="Calibri" w:cs="Calibri"/>
          <w:szCs w:val="20"/>
          <w:lang w:val="en-AU"/>
        </w:rPr>
        <w:t>Sensibo</w:t>
      </w:r>
      <w:proofErr w:type="spellEnd"/>
      <w:r w:rsidRPr="00A37634">
        <w:rPr>
          <w:rFonts w:ascii="Calibri" w:eastAsia="Cambria" w:hAnsi="Calibri" w:cs="Calibri"/>
          <w:szCs w:val="20"/>
          <w:lang w:val="en-AU"/>
        </w:rPr>
        <w:t xml:space="preserve"> Sky controller</w:t>
      </w:r>
      <w:r w:rsidRPr="00A37634">
        <w:rPr>
          <w:rFonts w:ascii="Calibri" w:eastAsia="Cambria" w:hAnsi="Calibri" w:cs="Calibri"/>
          <w:szCs w:val="20"/>
          <w:vertAlign w:val="superscript"/>
          <w:lang w:val="en-AU"/>
        </w:rPr>
        <w:footnoteReference w:id="84"/>
      </w:r>
      <w:r w:rsidRPr="00A37634">
        <w:rPr>
          <w:rFonts w:ascii="Calibri" w:eastAsia="Cambria" w:hAnsi="Calibri" w:cs="Calibri"/>
          <w:szCs w:val="20"/>
          <w:lang w:val="en-AU"/>
        </w:rPr>
        <w:t xml:space="preserve"> which acts as a “smart” replacement for the standard line-of-sight infra-red remote control supplied with most ACs. The controller is </w:t>
      </w:r>
      <w:proofErr w:type="spellStart"/>
      <w:r w:rsidRPr="00A37634">
        <w:rPr>
          <w:rFonts w:ascii="Calibri" w:eastAsia="Cambria" w:hAnsi="Calibri" w:cs="Calibri"/>
          <w:szCs w:val="20"/>
          <w:lang w:val="en-AU"/>
        </w:rPr>
        <w:t>WiFi</w:t>
      </w:r>
      <w:proofErr w:type="spellEnd"/>
      <w:r w:rsidRPr="00A37634">
        <w:rPr>
          <w:rFonts w:ascii="Calibri" w:eastAsia="Cambria" w:hAnsi="Calibri" w:cs="Calibri"/>
          <w:szCs w:val="20"/>
          <w:lang w:val="en-AU"/>
        </w:rPr>
        <w:t xml:space="preserve"> enabled, so all the normal on/off and adjustment functions can be operated via a smartphone app that controls the </w:t>
      </w:r>
      <w:proofErr w:type="spellStart"/>
      <w:r w:rsidRPr="00A37634">
        <w:rPr>
          <w:rFonts w:ascii="Calibri" w:eastAsia="Cambria" w:hAnsi="Calibri" w:cs="Calibri"/>
          <w:szCs w:val="20"/>
          <w:lang w:val="en-AU"/>
        </w:rPr>
        <w:t>Sensibo</w:t>
      </w:r>
      <w:proofErr w:type="spellEnd"/>
      <w:r w:rsidRPr="00A37634">
        <w:rPr>
          <w:rFonts w:ascii="Calibri" w:eastAsia="Cambria" w:hAnsi="Calibri" w:cs="Calibri"/>
          <w:szCs w:val="20"/>
          <w:lang w:val="en-AU"/>
        </w:rPr>
        <w:t xml:space="preserve">. The company has contracted with </w:t>
      </w:r>
      <w:proofErr w:type="spellStart"/>
      <w:r w:rsidRPr="00A37634">
        <w:rPr>
          <w:rFonts w:ascii="Calibri" w:eastAsia="Cambria" w:hAnsi="Calibri" w:cs="Calibri"/>
          <w:szCs w:val="20"/>
          <w:lang w:val="en-AU"/>
        </w:rPr>
        <w:t>PowerCor</w:t>
      </w:r>
      <w:proofErr w:type="spellEnd"/>
      <w:r w:rsidRPr="00A37634">
        <w:rPr>
          <w:rFonts w:ascii="Calibri" w:eastAsia="Cambria" w:hAnsi="Calibri" w:cs="Calibri"/>
          <w:szCs w:val="20"/>
          <w:lang w:val="en-AU"/>
        </w:rPr>
        <w:t xml:space="preserve"> (and hence with the </w:t>
      </w:r>
      <w:proofErr w:type="spellStart"/>
      <w:r w:rsidRPr="00A37634">
        <w:rPr>
          <w:rFonts w:ascii="Calibri" w:eastAsia="Cambria" w:hAnsi="Calibri" w:cs="Calibri"/>
          <w:szCs w:val="20"/>
          <w:lang w:val="en-AU"/>
        </w:rPr>
        <w:t>PowerCor</w:t>
      </w:r>
      <w:proofErr w:type="spellEnd"/>
      <w:r w:rsidRPr="00A37634">
        <w:rPr>
          <w:rFonts w:ascii="Calibri" w:eastAsia="Cambria" w:hAnsi="Calibri" w:cs="Calibri"/>
          <w:szCs w:val="20"/>
          <w:lang w:val="en-AU"/>
        </w:rPr>
        <w:t xml:space="preserve"> consumers involved) for permission to manipulate thermostat temperature setting at </w:t>
      </w:r>
      <w:proofErr w:type="spellStart"/>
      <w:r w:rsidRPr="00A37634">
        <w:rPr>
          <w:rFonts w:ascii="Calibri" w:eastAsia="Cambria" w:hAnsi="Calibri" w:cs="Calibri"/>
          <w:szCs w:val="20"/>
          <w:lang w:val="en-AU"/>
        </w:rPr>
        <w:t>PowerCor’s</w:t>
      </w:r>
      <w:proofErr w:type="spellEnd"/>
      <w:r w:rsidRPr="00A37634">
        <w:rPr>
          <w:rFonts w:ascii="Calibri" w:eastAsia="Cambria" w:hAnsi="Calibri" w:cs="Calibri"/>
          <w:szCs w:val="20"/>
          <w:lang w:val="en-AU"/>
        </w:rPr>
        <w:t xml:space="preserve"> request.  This pathway is an alternative to using each air conditioner manufacturer’s own app for this purpose, so the </w:t>
      </w:r>
      <w:proofErr w:type="spellStart"/>
      <w:r w:rsidRPr="00A37634">
        <w:rPr>
          <w:rFonts w:ascii="Calibri" w:eastAsia="Cambria" w:hAnsi="Calibri" w:cs="Calibri"/>
          <w:szCs w:val="20"/>
          <w:lang w:val="en-AU"/>
        </w:rPr>
        <w:t>Sensibo</w:t>
      </w:r>
      <w:proofErr w:type="spellEnd"/>
      <w:r w:rsidRPr="00A37634">
        <w:rPr>
          <w:rFonts w:ascii="Calibri" w:eastAsia="Cambria" w:hAnsi="Calibri" w:cs="Calibri"/>
          <w:szCs w:val="20"/>
          <w:lang w:val="en-AU"/>
        </w:rPr>
        <w:t xml:space="preserve"> is in effect a form of aggregator. However, it does not overcome problems (b), (c) or (d) above. </w:t>
      </w:r>
    </w:p>
    <w:p w14:paraId="057D74BE" w14:textId="77777777" w:rsidR="00A37634" w:rsidRPr="00A37634" w:rsidRDefault="00A37634" w:rsidP="00A37634">
      <w:pPr>
        <w:spacing w:before="120" w:after="120" w:line="278" w:lineRule="auto"/>
        <w:rPr>
          <w:rFonts w:ascii="Calibri" w:eastAsia="Cambria" w:hAnsi="Calibri" w:cs="Calibri"/>
          <w:szCs w:val="20"/>
          <w:lang w:val="en-AU"/>
        </w:rPr>
      </w:pPr>
      <w:r w:rsidRPr="00A37634">
        <w:rPr>
          <w:rFonts w:ascii="Calibri" w:eastAsia="Cambria" w:hAnsi="Calibri" w:cs="Calibri"/>
          <w:szCs w:val="20"/>
          <w:lang w:val="en-AU"/>
        </w:rPr>
        <w:t xml:space="preserve">The approaches discussed above (loosely termed “smart” or “internet of things”) do not offer the reliable and verifiable DR outcomes of AS/NZS 4755-compliant products, and are therefore not direct competitors. There is nothing to prevent an AS/NZS 4755-compliant and activated AC from being controlled by a </w:t>
      </w:r>
      <w:proofErr w:type="spellStart"/>
      <w:r w:rsidRPr="00A37634">
        <w:rPr>
          <w:rFonts w:ascii="Calibri" w:eastAsia="Cambria" w:hAnsi="Calibri" w:cs="Calibri"/>
          <w:szCs w:val="20"/>
          <w:lang w:val="en-AU"/>
        </w:rPr>
        <w:t>Sensibo</w:t>
      </w:r>
      <w:proofErr w:type="spellEnd"/>
      <w:r w:rsidRPr="00A37634">
        <w:rPr>
          <w:rFonts w:ascii="Calibri" w:eastAsia="Cambria" w:hAnsi="Calibri" w:cs="Calibri"/>
          <w:szCs w:val="20"/>
          <w:lang w:val="en-AU"/>
        </w:rPr>
        <w:t xml:space="preserve">-like device, so long as the AC responds to DRM 1, DRM 2 and DRM 3. The </w:t>
      </w:r>
      <w:proofErr w:type="spellStart"/>
      <w:r w:rsidRPr="00A37634">
        <w:rPr>
          <w:rFonts w:ascii="Calibri" w:eastAsia="Cambria" w:hAnsi="Calibri" w:cs="Calibri"/>
          <w:szCs w:val="20"/>
          <w:lang w:val="en-AU"/>
        </w:rPr>
        <w:t>Sensibo</w:t>
      </w:r>
      <w:proofErr w:type="spellEnd"/>
      <w:r w:rsidRPr="00A37634">
        <w:rPr>
          <w:rFonts w:ascii="Calibri" w:eastAsia="Cambria" w:hAnsi="Calibri" w:cs="Calibri"/>
          <w:szCs w:val="20"/>
          <w:lang w:val="en-AU"/>
        </w:rPr>
        <w:t xml:space="preserve"> control only could mean that the power setting at the beginning of a DR event is slightly lower because the AC is operating at a higher temperature (say 0.8 kW rather than 1 kW, a 0.2 kW reduction) so DRM 2 will produce a power reduction of a further 0.4 kW rather than 0.5 kW. Under conditions when the AC is running in an over-26</w:t>
      </w:r>
      <w:r w:rsidRPr="00A37634">
        <w:rPr>
          <w:rFonts w:ascii="Calibri" w:eastAsia="Cambria" w:hAnsi="Calibri" w:cs="Calibri"/>
          <w:szCs w:val="20"/>
          <w:vertAlign w:val="superscript"/>
          <w:lang w:val="en-AU"/>
        </w:rPr>
        <w:t>o</w:t>
      </w:r>
      <w:r w:rsidRPr="00A37634">
        <w:rPr>
          <w:rFonts w:ascii="Calibri" w:eastAsia="Cambria" w:hAnsi="Calibri" w:cs="Calibri"/>
          <w:szCs w:val="20"/>
          <w:lang w:val="en-AU"/>
        </w:rPr>
        <w:t xml:space="preserve">C space than a pre-cooled space, it may be drawing say 1.5 kW, the </w:t>
      </w:r>
      <w:proofErr w:type="spellStart"/>
      <w:r w:rsidRPr="00A37634">
        <w:rPr>
          <w:rFonts w:ascii="Calibri" w:eastAsia="Cambria" w:hAnsi="Calibri" w:cs="Calibri"/>
          <w:szCs w:val="20"/>
          <w:lang w:val="en-AU"/>
        </w:rPr>
        <w:t>Sensibo</w:t>
      </w:r>
      <w:proofErr w:type="spellEnd"/>
      <w:r w:rsidRPr="00A37634">
        <w:rPr>
          <w:rFonts w:ascii="Calibri" w:eastAsia="Cambria" w:hAnsi="Calibri" w:cs="Calibri"/>
          <w:szCs w:val="20"/>
          <w:lang w:val="en-AU"/>
        </w:rPr>
        <w:t xml:space="preserve"> would produce no power reductions whereas DRM 2 would produce 0.75 kW. </w:t>
      </w:r>
    </w:p>
    <w:p w14:paraId="38F4634F" w14:textId="77777777" w:rsidR="00A37634" w:rsidRPr="00A37634" w:rsidRDefault="00A37634" w:rsidP="00A37634">
      <w:pPr>
        <w:spacing w:before="120" w:after="120" w:line="278" w:lineRule="auto"/>
        <w:rPr>
          <w:rFonts w:ascii="Calibri" w:eastAsia="Cambria" w:hAnsi="Calibri" w:cs="Calibri"/>
          <w:szCs w:val="20"/>
          <w:lang w:val="en-AU"/>
        </w:rPr>
      </w:pPr>
      <w:r w:rsidRPr="00A37634">
        <w:rPr>
          <w:rFonts w:ascii="Calibri" w:eastAsia="Cambria" w:hAnsi="Calibri" w:cs="Calibri"/>
          <w:szCs w:val="20"/>
          <w:lang w:val="en-AU"/>
        </w:rPr>
        <w:t xml:space="preserve">Therefore, the wider adoption and use of other ‘smart’ approaches would have minimal impact on the case for and cost-effectiveness of mandating compliance with AS/NZS 4755. The same appliances could support both approaches. Under AS/NZS 4755, DR commands from the remote agent must have priority while the product is activated in accordance with AS/NZS 4755, but consumers could continue to take part in price-driven DR at other times if they wish. The user or other authorised party could access the appliance by a proprietary app instead of activating the AS/NZS 4755 capabilities, or – for activated products – using the other capabilities outside AS/NZS 4755 DR events. Furthermore, manufacturers of appliances with proprietary DR capabilities have the option of incorporating their systems in the AS/NZS 4755 framework by proposing new appendices for AS 4755.2. </w:t>
      </w:r>
    </w:p>
    <w:p w14:paraId="12928FB7" w14:textId="77777777" w:rsidR="00A37634" w:rsidRPr="00A37634" w:rsidRDefault="00A37634" w:rsidP="00A37634">
      <w:pPr>
        <w:spacing w:before="240" w:after="120" w:line="278" w:lineRule="auto"/>
        <w:rPr>
          <w:rFonts w:ascii="Calibri" w:eastAsia="Cambria" w:hAnsi="Calibri" w:cs="Calibri"/>
          <w:sz w:val="20"/>
          <w:szCs w:val="20"/>
          <w:lang w:val="en-AU"/>
        </w:rPr>
      </w:pPr>
    </w:p>
    <w:p w14:paraId="1BA013EF" w14:textId="77777777" w:rsidR="00A37634" w:rsidRPr="00A37634" w:rsidRDefault="00A37634" w:rsidP="00A37634">
      <w:pPr>
        <w:spacing w:after="113" w:line="278" w:lineRule="auto"/>
        <w:jc w:val="center"/>
        <w:rPr>
          <w:rFonts w:ascii="Calibri" w:eastAsia="Cambria" w:hAnsi="Calibri" w:cs="Calibri"/>
          <w:sz w:val="20"/>
          <w:szCs w:val="20"/>
          <w:lang w:val="en-AU"/>
        </w:rPr>
      </w:pPr>
      <w:r w:rsidRPr="00A37634">
        <w:rPr>
          <w:rFonts w:ascii="Calibri" w:eastAsia="Cambria" w:hAnsi="Calibri" w:cs="Calibri"/>
          <w:sz w:val="20"/>
          <w:szCs w:val="20"/>
          <w:lang w:val="en-AU"/>
        </w:rPr>
        <w:t>*****</w:t>
      </w:r>
    </w:p>
    <w:p w14:paraId="672970FE" w14:textId="77777777" w:rsidR="00A37634" w:rsidRPr="00A37634" w:rsidRDefault="00A37634" w:rsidP="00A37634">
      <w:pPr>
        <w:spacing w:after="120" w:line="276" w:lineRule="auto"/>
        <w:rPr>
          <w:rFonts w:ascii="Calibri" w:eastAsia="Calibri" w:hAnsi="Calibri" w:cs="Calibri"/>
          <w:szCs w:val="20"/>
          <w:lang w:val="en-AU"/>
        </w:rPr>
      </w:pPr>
    </w:p>
    <w:p w14:paraId="3BE0B0D1" w14:textId="77777777" w:rsidR="0093762B" w:rsidRDefault="0093762B"/>
    <w:sectPr w:rsidR="0093762B" w:rsidSect="007C7289">
      <w:pgSz w:w="11906" w:h="16838" w:code="9"/>
      <w:pgMar w:top="1699" w:right="1138" w:bottom="1728" w:left="1138" w:header="576"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A0468" w14:textId="77777777" w:rsidR="00F50F68" w:rsidRDefault="00F50F68" w:rsidP="00A37634">
      <w:pPr>
        <w:spacing w:after="0" w:line="240" w:lineRule="auto"/>
      </w:pPr>
      <w:r>
        <w:separator/>
      </w:r>
    </w:p>
  </w:endnote>
  <w:endnote w:type="continuationSeparator" w:id="0">
    <w:p w14:paraId="3E391F7B" w14:textId="77777777" w:rsidR="00F50F68" w:rsidRDefault="00F50F68" w:rsidP="00A3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05EDD" w14:textId="77777777" w:rsidR="007C7289" w:rsidRPr="006F5F2C" w:rsidRDefault="007C7289" w:rsidP="007C7289">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EAF4B" w14:textId="77777777" w:rsidR="007C7289" w:rsidRPr="006F5F2C" w:rsidRDefault="007C7289" w:rsidP="007C7289">
    <w:pPr>
      <w:pStyle w:val="Footer"/>
      <w:pBdr>
        <w:top w:val="none" w:sz="0" w:space="0" w:color="auto"/>
      </w:pBdr>
      <w:jc w:val="center"/>
    </w:pPr>
    <w:r w:rsidRPr="00FD791E">
      <w:t>A joint initiative of Australia, State and Territory and New Zealand Governments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5DC10" w14:textId="77777777" w:rsidR="007C7289" w:rsidRPr="006F5F2C" w:rsidRDefault="007C7289" w:rsidP="007C7289">
    <w:pPr>
      <w:pStyle w:val="Footer"/>
    </w:pPr>
    <w:r w:rsidRPr="000E0B58">
      <w:t>Consultation Paper: ‘Smart’ Demand Response Capabilities for Selected Appliances</w:t>
    </w:r>
    <w:r>
      <w:tab/>
    </w:r>
    <w:r>
      <w:fldChar w:fldCharType="begin"/>
    </w:r>
    <w:r>
      <w:instrText xml:space="preserve"> PAGE   \* MERGEFORMAT </w:instrText>
    </w:r>
    <w:r>
      <w:fldChar w:fldCharType="separate"/>
    </w:r>
    <w:r w:rsidR="00593F8A">
      <w:rPr>
        <w:noProof/>
      </w:rPr>
      <w:t>23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D912E" w14:textId="77777777" w:rsidR="007C7289" w:rsidRPr="006F5F2C" w:rsidRDefault="007C7289" w:rsidP="007C7289">
    <w:pPr>
      <w:pStyle w:val="Footer"/>
    </w:pPr>
    <w:r>
      <w:t>Consultation Paper: ‘Smart’ Demand Response Capabilities for Selected Appliances</w:t>
    </w:r>
    <w:r>
      <w:tab/>
    </w:r>
    <w:r>
      <w:fldChar w:fldCharType="begin"/>
    </w:r>
    <w:r>
      <w:instrText xml:space="preserve"> PAGE   \* MERGEFORMAT </w:instrText>
    </w:r>
    <w:r>
      <w:fldChar w:fldCharType="separate"/>
    </w:r>
    <w:r w:rsidR="00593F8A">
      <w:rPr>
        <w:noProof/>
      </w:rPr>
      <w:t>55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97E02" w14:textId="77777777" w:rsidR="00F50F68" w:rsidRDefault="00F50F68" w:rsidP="00A37634">
      <w:pPr>
        <w:spacing w:after="0" w:line="240" w:lineRule="auto"/>
      </w:pPr>
      <w:r>
        <w:separator/>
      </w:r>
    </w:p>
  </w:footnote>
  <w:footnote w:type="continuationSeparator" w:id="0">
    <w:p w14:paraId="5FAAC5B4" w14:textId="77777777" w:rsidR="00F50F68" w:rsidRDefault="00F50F68" w:rsidP="00A37634">
      <w:pPr>
        <w:spacing w:after="0" w:line="240" w:lineRule="auto"/>
      </w:pPr>
      <w:r>
        <w:continuationSeparator/>
      </w:r>
    </w:p>
  </w:footnote>
  <w:footnote w:id="1">
    <w:p w14:paraId="0CF01FC9" w14:textId="77777777" w:rsidR="007C7289" w:rsidRPr="0092788C" w:rsidRDefault="007C7289" w:rsidP="00A37634">
      <w:pPr>
        <w:pStyle w:val="FootnoteText"/>
        <w:rPr>
          <w:sz w:val="18"/>
          <w:szCs w:val="18"/>
        </w:rPr>
      </w:pPr>
      <w:r>
        <w:rPr>
          <w:rStyle w:val="FootnoteReference"/>
        </w:rPr>
        <w:footnoteRef/>
      </w:r>
      <w:r>
        <w:t xml:space="preserve"> </w:t>
      </w:r>
      <w:r w:rsidRPr="00BE1AA2">
        <w:rPr>
          <w:i/>
          <w:iCs/>
          <w:sz w:val="18"/>
          <w:szCs w:val="18"/>
        </w:rPr>
        <w:t>Technical Integration of Distributed Energy Resources</w:t>
      </w:r>
      <w:r w:rsidRPr="0092788C">
        <w:rPr>
          <w:sz w:val="18"/>
          <w:szCs w:val="18"/>
        </w:rPr>
        <w:t>, Australian Energy Market Operator, April 2019</w:t>
      </w:r>
    </w:p>
  </w:footnote>
  <w:footnote w:id="2">
    <w:p w14:paraId="73002C6C"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w:t>
      </w:r>
      <w:r w:rsidRPr="00BE1AA2">
        <w:rPr>
          <w:i/>
          <w:iCs/>
          <w:sz w:val="18"/>
          <w:szCs w:val="18"/>
        </w:rPr>
        <w:t>Electricity Network Transformation Roadmap: Final Report</w:t>
      </w:r>
      <w:r w:rsidRPr="0092788C">
        <w:rPr>
          <w:sz w:val="18"/>
          <w:szCs w:val="18"/>
        </w:rPr>
        <w:t>, Electricity Networks Australia and CSIRO, April 2017</w:t>
      </w:r>
    </w:p>
  </w:footnote>
  <w:footnote w:id="3">
    <w:p w14:paraId="68B5133C"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w:t>
      </w:r>
      <w:r w:rsidRPr="00BE1AA2">
        <w:rPr>
          <w:i/>
          <w:iCs/>
          <w:sz w:val="18"/>
          <w:szCs w:val="18"/>
        </w:rPr>
        <w:t>Distribution Market Model final report (DMM)</w:t>
      </w:r>
      <w:r w:rsidRPr="0092788C">
        <w:rPr>
          <w:sz w:val="18"/>
          <w:szCs w:val="18"/>
        </w:rPr>
        <w:t>, The Australian Energy Market Commission, August 2017</w:t>
      </w:r>
    </w:p>
  </w:footnote>
  <w:footnote w:id="4">
    <w:p w14:paraId="05AFC323"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w:t>
      </w:r>
      <w:bookmarkStart w:id="3" w:name="_Hlk11697598"/>
      <w:r w:rsidRPr="00BE1AA2">
        <w:rPr>
          <w:i/>
          <w:iCs/>
          <w:sz w:val="18"/>
          <w:szCs w:val="18"/>
        </w:rPr>
        <w:t>Restoring electricity affordability and Australia’s competitive advantage; Retail electricity pricing inquiry</w:t>
      </w:r>
      <w:r w:rsidRPr="0092788C">
        <w:rPr>
          <w:sz w:val="18"/>
          <w:szCs w:val="18"/>
        </w:rPr>
        <w:t xml:space="preserve"> – Final Report, Australian Consumer and Competition Commission, June 2018</w:t>
      </w:r>
      <w:bookmarkEnd w:id="3"/>
    </w:p>
  </w:footnote>
  <w:footnote w:id="5">
    <w:p w14:paraId="42DDBD21"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w:t>
      </w:r>
      <w:r w:rsidRPr="00BE1AA2">
        <w:rPr>
          <w:i/>
          <w:iCs/>
          <w:sz w:val="18"/>
          <w:szCs w:val="18"/>
        </w:rPr>
        <w:t>Independent Review of the Future Security of the National Electricity Market</w:t>
      </w:r>
      <w:r w:rsidRPr="0092788C">
        <w:rPr>
          <w:sz w:val="18"/>
          <w:szCs w:val="18"/>
        </w:rPr>
        <w:t xml:space="preserve"> (</w:t>
      </w:r>
      <w:proofErr w:type="spellStart"/>
      <w:r w:rsidRPr="0092788C">
        <w:rPr>
          <w:sz w:val="18"/>
          <w:szCs w:val="18"/>
        </w:rPr>
        <w:t>Finkel</w:t>
      </w:r>
      <w:proofErr w:type="spellEnd"/>
      <w:r w:rsidRPr="0092788C">
        <w:rPr>
          <w:sz w:val="18"/>
          <w:szCs w:val="18"/>
        </w:rPr>
        <w:t xml:space="preserve"> Review), June 2017</w:t>
      </w:r>
    </w:p>
  </w:footnote>
  <w:footnote w:id="6">
    <w:p w14:paraId="4FAD634B" w14:textId="77777777" w:rsidR="007C7289" w:rsidRDefault="007C7289" w:rsidP="00A37634">
      <w:pPr>
        <w:pStyle w:val="FootnoteText"/>
      </w:pPr>
      <w:r>
        <w:rPr>
          <w:rStyle w:val="FootnoteReference"/>
        </w:rPr>
        <w:footnoteRef/>
      </w:r>
      <w:r>
        <w:t xml:space="preserve"> </w:t>
      </w:r>
      <w:hyperlink r:id="rId1" w:history="1">
        <w:r w:rsidRPr="007C42D6">
          <w:rPr>
            <w:rStyle w:val="Hyperlink1"/>
          </w:rPr>
          <w:t>https://www.aemc.gov.au/rule-changes/wholesale-demand-response-mechanism</w:t>
        </w:r>
      </w:hyperlink>
    </w:p>
  </w:footnote>
  <w:footnote w:id="7">
    <w:p w14:paraId="49C718F3" w14:textId="77777777" w:rsidR="007C7289" w:rsidRPr="0092788C" w:rsidRDefault="007C7289" w:rsidP="00A37634">
      <w:pPr>
        <w:pStyle w:val="FootnoteText"/>
        <w:rPr>
          <w:sz w:val="18"/>
          <w:szCs w:val="18"/>
        </w:rPr>
      </w:pPr>
      <w:r>
        <w:rPr>
          <w:rStyle w:val="FootnoteReference"/>
        </w:rPr>
        <w:footnoteRef/>
      </w:r>
      <w:r w:rsidRPr="00E94608">
        <w:t xml:space="preserve"> </w:t>
      </w:r>
      <w:bookmarkStart w:id="4" w:name="_Hlk14766531"/>
      <w:r w:rsidRPr="00BE7A5E">
        <w:rPr>
          <w:i/>
          <w:iCs/>
          <w:sz w:val="18"/>
          <w:szCs w:val="18"/>
        </w:rPr>
        <w:t>Consultation Regulation Impact Statement: Mandating ‘smart appliance’ interfaces for air conditioners, water heaters and other appliances</w:t>
      </w:r>
      <w:r w:rsidRPr="0092788C">
        <w:rPr>
          <w:sz w:val="18"/>
          <w:szCs w:val="18"/>
        </w:rPr>
        <w:t>. Equipment Energy Efficiency Committee, 2013</w:t>
      </w:r>
      <w:bookmarkEnd w:id="4"/>
      <w:r w:rsidRPr="0092788C">
        <w:rPr>
          <w:sz w:val="18"/>
          <w:szCs w:val="18"/>
        </w:rPr>
        <w:t xml:space="preserve">. </w:t>
      </w:r>
      <w:hyperlink r:id="rId2" w:history="1">
        <w:r w:rsidRPr="0092788C">
          <w:rPr>
            <w:rStyle w:val="Hyperlink1"/>
            <w:sz w:val="18"/>
            <w:szCs w:val="18"/>
          </w:rPr>
          <w:t>http://www.energyrating.gov.au/document/consultation-regulation-impact-statement-mandating-smart-appliance-interfaces-air</w:t>
        </w:r>
      </w:hyperlink>
    </w:p>
  </w:footnote>
  <w:footnote w:id="8">
    <w:p w14:paraId="761500E9"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w:t>
      </w:r>
      <w:r>
        <w:rPr>
          <w:sz w:val="18"/>
          <w:szCs w:val="18"/>
        </w:rPr>
        <w:t>(</w:t>
      </w:r>
      <w:r w:rsidRPr="0092788C">
        <w:rPr>
          <w:sz w:val="18"/>
          <w:szCs w:val="18"/>
        </w:rPr>
        <w:t>DR</w:t>
      </w:r>
      <w:r>
        <w:rPr>
          <w:sz w:val="18"/>
          <w:szCs w:val="18"/>
        </w:rPr>
        <w:t>)</w:t>
      </w:r>
      <w:r w:rsidRPr="0092788C">
        <w:rPr>
          <w:sz w:val="18"/>
          <w:szCs w:val="18"/>
        </w:rPr>
        <w:t xml:space="preserve"> AS 4755.2 </w:t>
      </w:r>
      <w:bookmarkStart w:id="5" w:name="_Hlk11613117"/>
      <w:r w:rsidRPr="0092788C">
        <w:rPr>
          <w:i/>
          <w:iCs/>
          <w:sz w:val="18"/>
          <w:szCs w:val="18"/>
        </w:rPr>
        <w:t>Demand response framework and requirements for Communications between Remote Agents and Electrical Products</w:t>
      </w:r>
      <w:bookmarkEnd w:id="5"/>
      <w:r w:rsidRPr="0092788C">
        <w:rPr>
          <w:sz w:val="18"/>
          <w:szCs w:val="18"/>
        </w:rPr>
        <w:t xml:space="preserve">, open for public comment until 6 August 2019 at </w:t>
      </w:r>
      <w:hyperlink r:id="rId3" w:history="1">
        <w:r w:rsidRPr="0092788C">
          <w:rPr>
            <w:rStyle w:val="Hyperlink1"/>
            <w:sz w:val="18"/>
            <w:szCs w:val="18"/>
          </w:rPr>
          <w:t>https://sapc.standards.org.au/sapc/public/listOpenCommentingPublication.action</w:t>
        </w:r>
      </w:hyperlink>
    </w:p>
    <w:p w14:paraId="1ED0D44C" w14:textId="77777777" w:rsidR="007C7289" w:rsidRDefault="007C7289" w:rsidP="00A37634">
      <w:pPr>
        <w:pStyle w:val="FootnoteText"/>
      </w:pPr>
    </w:p>
  </w:footnote>
  <w:footnote w:id="9">
    <w:p w14:paraId="4C6D1F95" w14:textId="77777777" w:rsidR="007C7289" w:rsidRPr="0092788C" w:rsidRDefault="007C7289" w:rsidP="00A37634">
      <w:pPr>
        <w:pStyle w:val="FootnoteText"/>
        <w:rPr>
          <w:sz w:val="18"/>
          <w:szCs w:val="18"/>
        </w:rPr>
      </w:pPr>
      <w:r>
        <w:rPr>
          <w:rStyle w:val="FootnoteReference"/>
        </w:rPr>
        <w:footnoteRef/>
      </w:r>
      <w:r>
        <w:t xml:space="preserve"> </w:t>
      </w:r>
      <w:r w:rsidRPr="0092788C">
        <w:rPr>
          <w:sz w:val="18"/>
          <w:szCs w:val="18"/>
        </w:rPr>
        <w:t>ACCC (201</w:t>
      </w:r>
      <w:r>
        <w:rPr>
          <w:sz w:val="18"/>
          <w:szCs w:val="18"/>
        </w:rPr>
        <w:t>8</w:t>
      </w:r>
      <w:r w:rsidRPr="0092788C">
        <w:rPr>
          <w:sz w:val="18"/>
          <w:szCs w:val="18"/>
        </w:rPr>
        <w:t xml:space="preserve">) p206/398. </w:t>
      </w:r>
      <w:r>
        <w:rPr>
          <w:sz w:val="18"/>
          <w:szCs w:val="18"/>
        </w:rPr>
        <w:t xml:space="preserve">Many consumers also have </w:t>
      </w:r>
      <w:r w:rsidRPr="0092788C">
        <w:rPr>
          <w:sz w:val="18"/>
          <w:szCs w:val="18"/>
        </w:rPr>
        <w:t>controlled tariff</w:t>
      </w:r>
      <w:r>
        <w:rPr>
          <w:sz w:val="18"/>
          <w:szCs w:val="18"/>
        </w:rPr>
        <w:t xml:space="preserve"> supply for</w:t>
      </w:r>
      <w:r w:rsidRPr="0092788C">
        <w:rPr>
          <w:sz w:val="18"/>
          <w:szCs w:val="18"/>
        </w:rPr>
        <w:t xml:space="preserve"> water heating</w:t>
      </w:r>
      <w:r>
        <w:rPr>
          <w:sz w:val="18"/>
          <w:szCs w:val="18"/>
        </w:rPr>
        <w:t xml:space="preserve"> and some other uses</w:t>
      </w:r>
      <w:r w:rsidRPr="0092788C">
        <w:rPr>
          <w:sz w:val="18"/>
          <w:szCs w:val="18"/>
        </w:rPr>
        <w:t xml:space="preserve">.  </w:t>
      </w:r>
    </w:p>
  </w:footnote>
  <w:footnote w:id="10">
    <w:p w14:paraId="116164E8"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PC (2013</w:t>
      </w:r>
      <w:r>
        <w:rPr>
          <w:sz w:val="18"/>
          <w:szCs w:val="18"/>
        </w:rPr>
        <w:t>)</w:t>
      </w:r>
      <w:r w:rsidRPr="0092788C">
        <w:rPr>
          <w:sz w:val="18"/>
          <w:szCs w:val="18"/>
        </w:rPr>
        <w:t xml:space="preserve"> p338.</w:t>
      </w:r>
    </w:p>
  </w:footnote>
  <w:footnote w:id="11">
    <w:p w14:paraId="6068E096"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ACCC (201</w:t>
      </w:r>
      <w:r>
        <w:rPr>
          <w:sz w:val="18"/>
          <w:szCs w:val="18"/>
        </w:rPr>
        <w:t>8</w:t>
      </w:r>
      <w:r w:rsidRPr="0092788C">
        <w:rPr>
          <w:sz w:val="18"/>
          <w:szCs w:val="18"/>
        </w:rPr>
        <w:t>), p6/398</w:t>
      </w:r>
    </w:p>
  </w:footnote>
  <w:footnote w:id="12">
    <w:p w14:paraId="327CBF32" w14:textId="77777777" w:rsidR="007C7289" w:rsidRDefault="007C7289" w:rsidP="00A37634">
      <w:pPr>
        <w:pStyle w:val="FootnoteText"/>
      </w:pPr>
      <w:r>
        <w:rPr>
          <w:rStyle w:val="FootnoteReference"/>
        </w:rPr>
        <w:footnoteRef/>
      </w:r>
      <w:r>
        <w:t xml:space="preserve"> </w:t>
      </w:r>
      <w:hyperlink r:id="rId4" w:history="1">
        <w:r w:rsidRPr="004F7D66">
          <w:rPr>
            <w:rStyle w:val="Hyperlink1"/>
          </w:rPr>
          <w:t>http://forecasting.aemo.com.au/</w:t>
        </w:r>
      </w:hyperlink>
    </w:p>
  </w:footnote>
  <w:footnote w:id="13">
    <w:p w14:paraId="76BFBFCC" w14:textId="77777777" w:rsidR="007C7289" w:rsidRDefault="007C7289" w:rsidP="00A37634">
      <w:pPr>
        <w:pStyle w:val="FootnoteText"/>
      </w:pPr>
      <w:r w:rsidRPr="008150DB">
        <w:rPr>
          <w:rStyle w:val="FootnoteReference"/>
          <w:i/>
          <w:iCs/>
        </w:rPr>
        <w:footnoteRef/>
      </w:r>
      <w:r w:rsidRPr="008150DB">
        <w:rPr>
          <w:i/>
          <w:iCs/>
        </w:rPr>
        <w:t xml:space="preserve"> Consultation Regulation Impact Statement: Mandating ‘smart appliance’ interfaces for air conditioners, water heaters and other appliances</w:t>
      </w:r>
      <w:r w:rsidRPr="00D03DC3">
        <w:t>. Equipment Energy Efficiency Committee, 2013</w:t>
      </w:r>
      <w:r>
        <w:t xml:space="preserve">, p136/179. </w:t>
      </w:r>
    </w:p>
  </w:footnote>
  <w:footnote w:id="14">
    <w:p w14:paraId="352DDEC2" w14:textId="77777777" w:rsidR="007C7289" w:rsidRDefault="007C7289" w:rsidP="00A37634">
      <w:pPr>
        <w:pStyle w:val="FootnoteText"/>
      </w:pPr>
      <w:r>
        <w:rPr>
          <w:rStyle w:val="FootnoteReference"/>
        </w:rPr>
        <w:footnoteRef/>
      </w:r>
      <w:r>
        <w:t xml:space="preserve"> ARENA (2019) Demand Response RERT Year 1 Report, March 2019, p3/20</w:t>
      </w:r>
    </w:p>
  </w:footnote>
  <w:footnote w:id="15">
    <w:p w14:paraId="3BC796D0" w14:textId="77777777" w:rsidR="007C7289" w:rsidRDefault="007C7289" w:rsidP="00A37634">
      <w:pPr>
        <w:pStyle w:val="FootnoteText"/>
      </w:pPr>
      <w:r>
        <w:rPr>
          <w:rStyle w:val="FootnoteReference"/>
        </w:rPr>
        <w:footnoteRef/>
      </w:r>
      <w:r>
        <w:t xml:space="preserve"> The annual market share of DR-capable air conditioners is currently being clarified, using sales data collected by E3.  </w:t>
      </w:r>
    </w:p>
  </w:footnote>
  <w:footnote w:id="16">
    <w:p w14:paraId="72F17756" w14:textId="77777777" w:rsidR="007C7289" w:rsidRDefault="007C7289" w:rsidP="00A37634">
      <w:pPr>
        <w:pStyle w:val="FootnoteText"/>
      </w:pPr>
      <w:r>
        <w:rPr>
          <w:rStyle w:val="FootnoteReference"/>
        </w:rPr>
        <w:footnoteRef/>
      </w:r>
      <w:r>
        <w:t xml:space="preserve"> </w:t>
      </w:r>
      <w:bookmarkStart w:id="22" w:name="_Hlk16190432"/>
      <w:r w:rsidRPr="00373DF2">
        <w:t>Greenhouse and Energy Minimum Standards (GEMS) Act Review - Draft Report</w:t>
      </w:r>
      <w:r>
        <w:t>, November 2018, p78</w:t>
      </w:r>
      <w:bookmarkEnd w:id="22"/>
    </w:p>
  </w:footnote>
  <w:footnote w:id="17">
    <w:p w14:paraId="347C0CEA" w14:textId="77777777" w:rsidR="007C7289" w:rsidRDefault="007C7289" w:rsidP="00A37634">
      <w:pPr>
        <w:pStyle w:val="FootnoteText"/>
      </w:pPr>
      <w:r>
        <w:rPr>
          <w:rStyle w:val="FootnoteReference"/>
        </w:rPr>
        <w:footnoteRef/>
      </w:r>
      <w:r>
        <w:t xml:space="preserve"> </w:t>
      </w:r>
      <w:r w:rsidRPr="00C55F8B">
        <w:t>Consultation Regulation Impact Statement: Mandating ‘Smart Appliance’ Interfaces for Air Conditioners, Water Heaters and other Appliances 2013, p136</w:t>
      </w:r>
    </w:p>
  </w:footnote>
  <w:footnote w:id="18">
    <w:p w14:paraId="16082B6D" w14:textId="77777777" w:rsidR="007C7289" w:rsidRDefault="007C7289" w:rsidP="00A37634">
      <w:pPr>
        <w:pStyle w:val="FootnoteText"/>
      </w:pPr>
      <w:r>
        <w:rPr>
          <w:rStyle w:val="FootnoteReference"/>
        </w:rPr>
        <w:footnoteRef/>
      </w:r>
      <w:r>
        <w:t xml:space="preserve"> </w:t>
      </w:r>
      <w:r w:rsidRPr="00C55F8B">
        <w:t>Productivity Commission, Report on Electricity Network Regulatory Frameworks, April 2013, p 356</w:t>
      </w:r>
    </w:p>
  </w:footnote>
  <w:footnote w:id="19">
    <w:p w14:paraId="5276B3D6" w14:textId="77777777" w:rsidR="007C7289" w:rsidRDefault="007C7289" w:rsidP="00A37634">
      <w:pPr>
        <w:pStyle w:val="FootnoteText"/>
      </w:pPr>
      <w:r>
        <w:rPr>
          <w:rStyle w:val="FootnoteReference"/>
        </w:rPr>
        <w:footnoteRef/>
      </w:r>
      <w:r>
        <w:t xml:space="preserve"> </w:t>
      </w:r>
      <w:r w:rsidRPr="00C55F8B">
        <w:t>ACCC (2018), 205/398</w:t>
      </w:r>
    </w:p>
  </w:footnote>
  <w:footnote w:id="20">
    <w:p w14:paraId="2EDDFE45" w14:textId="77777777" w:rsidR="007C7289" w:rsidRDefault="007C7289" w:rsidP="00A37634">
      <w:pPr>
        <w:pStyle w:val="FootnoteText"/>
      </w:pPr>
      <w:r>
        <w:rPr>
          <w:rStyle w:val="FootnoteReference"/>
        </w:rPr>
        <w:footnoteRef/>
      </w:r>
      <w:r>
        <w:t xml:space="preserve"> </w:t>
      </w:r>
      <w:hyperlink r:id="rId5" w:history="1">
        <w:r w:rsidRPr="00EB2057">
          <w:rPr>
            <w:rStyle w:val="Hyperlink1"/>
          </w:rPr>
          <w:t>http://www.bom.gov.au/climate/current/statements/scs68.pdf</w:t>
        </w:r>
      </w:hyperlink>
    </w:p>
  </w:footnote>
  <w:footnote w:id="21">
    <w:p w14:paraId="15707BA1" w14:textId="77777777" w:rsidR="007C7289" w:rsidRDefault="007C7289" w:rsidP="00A37634">
      <w:pPr>
        <w:pStyle w:val="FootnoteText"/>
      </w:pPr>
      <w:r>
        <w:rPr>
          <w:rStyle w:val="FootnoteReference"/>
        </w:rPr>
        <w:footnoteRef/>
      </w:r>
      <w:r>
        <w:t xml:space="preserve"> </w:t>
      </w:r>
      <w:hyperlink r:id="rId6" w:history="1">
        <w:r w:rsidRPr="009445FD">
          <w:rPr>
            <w:rStyle w:val="Hyperlink1"/>
          </w:rPr>
          <w:t>www.energyrating.gov.au/products-themes/other/swimming-pool-pumps</w:t>
        </w:r>
      </w:hyperlink>
    </w:p>
  </w:footnote>
  <w:footnote w:id="22">
    <w:p w14:paraId="17438BCF" w14:textId="77777777" w:rsidR="007C7289" w:rsidRDefault="007C7289" w:rsidP="00A37634">
      <w:pPr>
        <w:pStyle w:val="FootnoteText"/>
      </w:pPr>
      <w:r>
        <w:rPr>
          <w:rStyle w:val="FootnoteReference"/>
        </w:rPr>
        <w:footnoteRef/>
      </w:r>
      <w:r>
        <w:t xml:space="preserve"> </w:t>
      </w:r>
      <w:r w:rsidRPr="00D3054F">
        <w:rPr>
          <w:i/>
          <w:iCs/>
          <w:sz w:val="18"/>
          <w:szCs w:val="18"/>
        </w:rPr>
        <w:t>Residential Pool Pumps: Load control and demand management in Queensland</w:t>
      </w:r>
      <w:r w:rsidRPr="00D3054F">
        <w:rPr>
          <w:sz w:val="18"/>
          <w:szCs w:val="18"/>
        </w:rPr>
        <w:t>, Presentation to DCCEE Swimming Pool Pump</w:t>
      </w:r>
      <w:r>
        <w:rPr>
          <w:sz w:val="18"/>
          <w:szCs w:val="18"/>
        </w:rPr>
        <w:br/>
      </w:r>
      <w:r w:rsidRPr="00D3054F">
        <w:rPr>
          <w:sz w:val="18"/>
          <w:szCs w:val="18"/>
        </w:rPr>
        <w:t>Stakeholder Meeting (R Wilson), Sydney, 1 June 2012</w:t>
      </w:r>
    </w:p>
  </w:footnote>
  <w:footnote w:id="23">
    <w:p w14:paraId="15574025" w14:textId="77777777" w:rsidR="007C7289" w:rsidRDefault="007C7289" w:rsidP="00A37634">
      <w:pPr>
        <w:pStyle w:val="FootnoteText"/>
      </w:pPr>
      <w:r>
        <w:rPr>
          <w:rStyle w:val="FootnoteReference"/>
        </w:rPr>
        <w:footnoteRef/>
      </w:r>
      <w:r>
        <w:t xml:space="preserve"> </w:t>
      </w:r>
      <w:r w:rsidRPr="002C07B9">
        <w:t>Australian Electric Vehicle Market Study, Energeia, 2018</w:t>
      </w:r>
    </w:p>
  </w:footnote>
  <w:footnote w:id="24">
    <w:p w14:paraId="4F448AE8" w14:textId="77777777" w:rsidR="007C7289" w:rsidRDefault="007C7289" w:rsidP="00A37634">
      <w:pPr>
        <w:pStyle w:val="FootnoteText"/>
      </w:pPr>
      <w:r>
        <w:rPr>
          <w:rStyle w:val="FootnoteReference"/>
        </w:rPr>
        <w:footnoteRef/>
      </w:r>
      <w:r>
        <w:t xml:space="preserve"> The published standards covering DR for appliances uses terms such as “demand responsive”, “connected” or “controllable” – none define or use the term “smart” on its own.</w:t>
      </w:r>
    </w:p>
  </w:footnote>
  <w:footnote w:id="25">
    <w:p w14:paraId="1391BA5B" w14:textId="77777777" w:rsidR="007C7289" w:rsidRDefault="007C7289" w:rsidP="00A37634">
      <w:pPr>
        <w:pStyle w:val="FootnoteText"/>
      </w:pPr>
      <w:r>
        <w:rPr>
          <w:rStyle w:val="FootnoteReference"/>
        </w:rPr>
        <w:footnoteRef/>
      </w:r>
      <w:r>
        <w:t xml:space="preserve"> </w:t>
      </w:r>
      <w:r w:rsidRPr="00FE10A1">
        <w:t>Greenhouse and Energy Minimum Standards (Air Conditioners up to 65kW) Determination 2019</w:t>
      </w:r>
      <w:r>
        <w:t xml:space="preserve">. The new label shows 6 scales of 10 star each with a map, whereas the old label showed two scales of 6 stars each and no map. </w:t>
      </w:r>
    </w:p>
  </w:footnote>
  <w:footnote w:id="26">
    <w:p w14:paraId="58A6E0E4" w14:textId="77777777" w:rsidR="007C7289" w:rsidRDefault="007C7289" w:rsidP="00A37634">
      <w:pPr>
        <w:pStyle w:val="FootnoteText"/>
      </w:pPr>
      <w:r>
        <w:rPr>
          <w:rStyle w:val="FootnoteReference"/>
        </w:rPr>
        <w:footnoteRef/>
      </w:r>
      <w:r>
        <w:t xml:space="preserve"> G. </w:t>
      </w:r>
      <w:proofErr w:type="spellStart"/>
      <w:r>
        <w:t>Wilkenfeld</w:t>
      </w:r>
      <w:proofErr w:type="spellEnd"/>
      <w:r>
        <w:t xml:space="preserve"> (2017) </w:t>
      </w:r>
      <w:r w:rsidRPr="000331D6">
        <w:rPr>
          <w:i/>
          <w:iCs/>
        </w:rPr>
        <w:t>Labelling for “Smartness”: Problems for energy labelling and standards schemes</w:t>
      </w:r>
      <w:r>
        <w:t>, in Proceedings of the 9</w:t>
      </w:r>
      <w:r w:rsidRPr="000331D6">
        <w:rPr>
          <w:vertAlign w:val="superscript"/>
        </w:rPr>
        <w:t>th</w:t>
      </w:r>
      <w:r>
        <w:t xml:space="preserve"> international conference on Energy Efficiency in Domestic Appliances and Lighting</w:t>
      </w:r>
    </w:p>
    <w:p w14:paraId="150E6EA3" w14:textId="77777777" w:rsidR="007C7289" w:rsidRDefault="007C7289" w:rsidP="00A37634">
      <w:pPr>
        <w:pStyle w:val="FootnoteText"/>
      </w:pPr>
      <w:r>
        <w:t xml:space="preserve">(EEDAL '17) </w:t>
      </w:r>
      <w:hyperlink r:id="rId7" w:history="1">
        <w:r w:rsidRPr="00860538">
          <w:rPr>
            <w:rStyle w:val="Hyperlink1"/>
          </w:rPr>
          <w:t>https://e3p.jrc.ec.europa.eu/publications/proceedings-9th-international-conference-energy-efficiency-domestic-appliances-and-0</w:t>
        </w:r>
      </w:hyperlink>
    </w:p>
  </w:footnote>
  <w:footnote w:id="27">
    <w:p w14:paraId="65B71497" w14:textId="77777777" w:rsidR="007C7289" w:rsidRDefault="007C7289" w:rsidP="00A37634">
      <w:pPr>
        <w:pStyle w:val="FootnoteText"/>
      </w:pPr>
      <w:r>
        <w:rPr>
          <w:rStyle w:val="FootnoteReference"/>
        </w:rPr>
        <w:footnoteRef/>
      </w:r>
      <w:r>
        <w:t xml:space="preserve"> Queensland Energy Group, (2109) </w:t>
      </w:r>
      <w:r w:rsidRPr="000331D6">
        <w:rPr>
          <w:i/>
          <w:iCs/>
        </w:rPr>
        <w:t>Customer Interactions Demand Management Outcomes 2015-20</w:t>
      </w:r>
      <w:r>
        <w:t>, J</w:t>
      </w:r>
      <w:r w:rsidRPr="0050079D">
        <w:t>anuary 2019</w:t>
      </w:r>
      <w:r>
        <w:t xml:space="preserve"> </w:t>
      </w:r>
    </w:p>
  </w:footnote>
  <w:footnote w:id="28">
    <w:p w14:paraId="3B9DD998" w14:textId="77777777" w:rsidR="007C7289" w:rsidRDefault="007C7289" w:rsidP="00A37634">
      <w:pPr>
        <w:pStyle w:val="FootnoteText"/>
      </w:pPr>
      <w:r>
        <w:rPr>
          <w:rStyle w:val="FootnoteReference"/>
        </w:rPr>
        <w:footnoteRef/>
      </w:r>
      <w:r>
        <w:t xml:space="preserve"> </w:t>
      </w:r>
      <w:r w:rsidRPr="00ED04E8">
        <w:t xml:space="preserve">ARENA (2019) </w:t>
      </w:r>
      <w:r w:rsidRPr="000331D6">
        <w:rPr>
          <w:i/>
          <w:iCs/>
        </w:rPr>
        <w:t>Demand Response RERT Trial Year 1 Report</w:t>
      </w:r>
      <w:r w:rsidRPr="00ED04E8">
        <w:t>, ARENA with Oakley Greenwood, March 2019</w:t>
      </w:r>
      <w:r>
        <w:t xml:space="preserve">. </w:t>
      </w:r>
    </w:p>
  </w:footnote>
  <w:footnote w:id="29">
    <w:p w14:paraId="31B175E9" w14:textId="77777777" w:rsidR="007C7289" w:rsidRDefault="007C7289" w:rsidP="00A37634">
      <w:pPr>
        <w:pStyle w:val="FootnoteText"/>
      </w:pPr>
      <w:r>
        <w:rPr>
          <w:rStyle w:val="FootnoteReference"/>
        </w:rPr>
        <w:footnoteRef/>
      </w:r>
      <w:r>
        <w:t xml:space="preserve"> AEMC (2018) Consultation Paper: Wholesale Demand Response Mechanisms; Proponents: Public Interest Advocacy Centre, Total Environment Centre, The Australia Institute, Australian Energy Council, South Australian Government, AEMC, 15 November 2018, p17/86</w:t>
      </w:r>
    </w:p>
  </w:footnote>
  <w:footnote w:id="30">
    <w:p w14:paraId="00052F62" w14:textId="77777777" w:rsidR="007C7289" w:rsidRDefault="007C7289" w:rsidP="00A37634">
      <w:pPr>
        <w:pStyle w:val="FootnoteText"/>
      </w:pPr>
      <w:r>
        <w:rPr>
          <w:rStyle w:val="FootnoteReference"/>
        </w:rPr>
        <w:footnoteRef/>
      </w:r>
      <w:r>
        <w:t xml:space="preserve"> AEMC (2019) draft Rule Determination: National electricity amendment (wholesale demand response mechanism) rule 2019; National energy retail amendment (wholesale demand response mechanism) rule 2019, 18 July 2019</w:t>
      </w:r>
    </w:p>
  </w:footnote>
  <w:footnote w:id="31">
    <w:p w14:paraId="61F77DDE" w14:textId="77777777" w:rsidR="007C7289" w:rsidRDefault="007C7289" w:rsidP="00A37634">
      <w:pPr>
        <w:pStyle w:val="FootnoteText"/>
      </w:pPr>
      <w:r>
        <w:rPr>
          <w:rStyle w:val="FootnoteReference"/>
        </w:rPr>
        <w:footnoteRef/>
      </w:r>
      <w:r>
        <w:t xml:space="preserve"> AEMC (2019) p67/228</w:t>
      </w:r>
    </w:p>
  </w:footnote>
  <w:footnote w:id="32">
    <w:p w14:paraId="6EA4A17D" w14:textId="77777777" w:rsidR="007C7289" w:rsidRDefault="007C7289" w:rsidP="00A37634">
      <w:pPr>
        <w:pStyle w:val="FootnoteText"/>
      </w:pPr>
      <w:r>
        <w:rPr>
          <w:rStyle w:val="FootnoteReference"/>
        </w:rPr>
        <w:footnoteRef/>
      </w:r>
      <w:r>
        <w:t xml:space="preserve"> </w:t>
      </w:r>
      <w:r w:rsidRPr="0056001A">
        <w:t>National Electricity (South Australia) (Retailer Reliability Obligation) Amendment Act 2019</w:t>
      </w:r>
      <w:r>
        <w:t xml:space="preserve"> </w:t>
      </w:r>
      <w:hyperlink r:id="rId8" w:history="1">
        <w:r w:rsidRPr="009F2428">
          <w:rPr>
            <w:rStyle w:val="Hyperlink1"/>
          </w:rPr>
          <w:t>https://www.legislation.sa.gov.au/LZ/B/CURRENT/NATIONAL%20ELECTRICITY%20(SOUTH%20AUSTRALIA)%20(RETAILER%20RELIABILITY%20OBLIGATION)%20AMENDMENT%20BILL%202019.aspx</w:t>
        </w:r>
      </w:hyperlink>
    </w:p>
  </w:footnote>
  <w:footnote w:id="33">
    <w:p w14:paraId="3CD41911" w14:textId="77777777" w:rsidR="007C7289" w:rsidRDefault="007C7289" w:rsidP="00A37634">
      <w:pPr>
        <w:pStyle w:val="FootnoteText"/>
      </w:pPr>
      <w:r>
        <w:rPr>
          <w:rStyle w:val="FootnoteReference"/>
        </w:rPr>
        <w:footnoteRef/>
      </w:r>
      <w:r>
        <w:t xml:space="preserve"> </w:t>
      </w:r>
      <w:r w:rsidRPr="003B10A5">
        <w:t>Productivity Commission, report on Electricity Network Regulatory Frameworks, April 2013, p 336.</w:t>
      </w:r>
    </w:p>
  </w:footnote>
  <w:footnote w:id="34">
    <w:p w14:paraId="2FD2874E" w14:textId="77777777" w:rsidR="007C7289" w:rsidRPr="00D3054F" w:rsidRDefault="007C7289" w:rsidP="00A37634">
      <w:pPr>
        <w:pStyle w:val="FootnoteText"/>
        <w:rPr>
          <w:sz w:val="18"/>
          <w:szCs w:val="18"/>
        </w:rPr>
      </w:pPr>
      <w:r>
        <w:rPr>
          <w:rStyle w:val="FootnoteReference"/>
        </w:rPr>
        <w:footnoteRef/>
      </w:r>
      <w:r>
        <w:t xml:space="preserve"> </w:t>
      </w:r>
      <w:r w:rsidRPr="00D3054F">
        <w:rPr>
          <w:sz w:val="18"/>
          <w:szCs w:val="18"/>
        </w:rPr>
        <w:t>Sydney Morning Herald article (</w:t>
      </w:r>
      <w:hyperlink r:id="rId9" w:history="1">
        <w:r w:rsidRPr="00D3054F">
          <w:rPr>
            <w:rStyle w:val="Hyperlink1"/>
            <w:sz w:val="18"/>
            <w:szCs w:val="18"/>
          </w:rPr>
          <w:t>www.smh.com.au/articles/2004/10/24/1098556297439.html</w:t>
        </w:r>
      </w:hyperlink>
      <w:r w:rsidRPr="00D3054F">
        <w:rPr>
          <w:sz w:val="18"/>
          <w:szCs w:val="18"/>
        </w:rPr>
        <w:t>).</w:t>
      </w:r>
    </w:p>
  </w:footnote>
  <w:footnote w:id="35">
    <w:p w14:paraId="3A9D84EB" w14:textId="77777777" w:rsidR="007C7289" w:rsidRPr="00D3054F" w:rsidRDefault="007C7289" w:rsidP="00A37634">
      <w:pPr>
        <w:pStyle w:val="FootnoteText"/>
        <w:rPr>
          <w:sz w:val="18"/>
          <w:szCs w:val="18"/>
        </w:rPr>
      </w:pPr>
      <w:r w:rsidRPr="00D3054F">
        <w:rPr>
          <w:rStyle w:val="FootnoteReference"/>
          <w:sz w:val="18"/>
          <w:szCs w:val="18"/>
        </w:rPr>
        <w:footnoteRef/>
      </w:r>
      <w:r w:rsidRPr="00D3054F">
        <w:rPr>
          <w:sz w:val="18"/>
          <w:szCs w:val="18"/>
        </w:rPr>
        <w:t xml:space="preserve"> Sydney Morning Herald article (</w:t>
      </w:r>
      <w:hyperlink r:id="rId10" w:history="1">
        <w:r w:rsidRPr="00D3054F">
          <w:rPr>
            <w:rStyle w:val="Hyperlink1"/>
            <w:sz w:val="18"/>
            <w:szCs w:val="18"/>
          </w:rPr>
          <w:t>www.smh.com.au/news/environment/we-love-a-sunburnt-country-our-aircons-too/2009/02/02/1233423135557.html</w:t>
        </w:r>
      </w:hyperlink>
      <w:r w:rsidRPr="00D3054F">
        <w:rPr>
          <w:sz w:val="18"/>
          <w:szCs w:val="18"/>
        </w:rPr>
        <w:t>).</w:t>
      </w:r>
    </w:p>
  </w:footnote>
  <w:footnote w:id="36">
    <w:p w14:paraId="4800ED15" w14:textId="77777777" w:rsidR="007C7289" w:rsidRPr="00D3054F" w:rsidRDefault="007C7289" w:rsidP="00A37634">
      <w:pPr>
        <w:pStyle w:val="FootnoteText"/>
        <w:rPr>
          <w:sz w:val="18"/>
          <w:szCs w:val="18"/>
        </w:rPr>
      </w:pPr>
      <w:r w:rsidRPr="00D3054F">
        <w:rPr>
          <w:rStyle w:val="FootnoteReference"/>
          <w:sz w:val="18"/>
          <w:szCs w:val="18"/>
        </w:rPr>
        <w:footnoteRef/>
      </w:r>
      <w:r w:rsidRPr="00D3054F">
        <w:rPr>
          <w:sz w:val="18"/>
          <w:szCs w:val="18"/>
        </w:rPr>
        <w:t xml:space="preserve"> DELWP (2018), </w:t>
      </w:r>
      <w:bookmarkStart w:id="28" w:name="_Hlk11269029"/>
      <w:r w:rsidRPr="00D3054F">
        <w:rPr>
          <w:sz w:val="18"/>
          <w:szCs w:val="18"/>
        </w:rPr>
        <w:t>Post Event Review, Power Outages 28 &amp; 29 January 2018</w:t>
      </w:r>
      <w:bookmarkEnd w:id="28"/>
      <w:r w:rsidRPr="00D3054F">
        <w:rPr>
          <w:sz w:val="18"/>
          <w:szCs w:val="18"/>
        </w:rPr>
        <w:t xml:space="preserve">.  </w:t>
      </w:r>
    </w:p>
  </w:footnote>
  <w:footnote w:id="37">
    <w:p w14:paraId="669423EE" w14:textId="77777777" w:rsidR="007C7289" w:rsidRPr="00D3054F" w:rsidRDefault="007C7289" w:rsidP="00A37634">
      <w:pPr>
        <w:pStyle w:val="FootnoteText"/>
        <w:rPr>
          <w:sz w:val="18"/>
          <w:szCs w:val="18"/>
        </w:rPr>
      </w:pPr>
      <w:r w:rsidRPr="00D3054F">
        <w:rPr>
          <w:rStyle w:val="FootnoteReference"/>
          <w:sz w:val="18"/>
          <w:szCs w:val="18"/>
        </w:rPr>
        <w:footnoteRef/>
      </w:r>
      <w:r w:rsidRPr="00D3054F">
        <w:rPr>
          <w:sz w:val="18"/>
          <w:szCs w:val="18"/>
        </w:rPr>
        <w:t xml:space="preserve"> </w:t>
      </w:r>
      <w:hyperlink r:id="rId11" w:history="1">
        <w:r w:rsidRPr="00D3054F">
          <w:rPr>
            <w:rStyle w:val="Hyperlink1"/>
            <w:sz w:val="18"/>
            <w:szCs w:val="18"/>
          </w:rPr>
          <w:t>https://www.abc.net.au/news/2019-01-26/victorian-blackouts-what-caused-them-and-is-this-the-new-normal/10751412</w:t>
        </w:r>
      </w:hyperlink>
    </w:p>
  </w:footnote>
  <w:footnote w:id="38">
    <w:p w14:paraId="5C33517A" w14:textId="77777777" w:rsidR="007C7289" w:rsidRDefault="007C7289" w:rsidP="00A37634">
      <w:pPr>
        <w:pStyle w:val="FootnoteText"/>
      </w:pPr>
      <w:r>
        <w:rPr>
          <w:rStyle w:val="FootnoteReference"/>
        </w:rPr>
        <w:footnoteRef/>
      </w:r>
      <w:r>
        <w:t xml:space="preserve"> </w:t>
      </w:r>
      <w:r w:rsidRPr="00AE7B74">
        <w:rPr>
          <w:i/>
          <w:iCs/>
        </w:rPr>
        <w:t>Keep calm and carry on</w:t>
      </w:r>
      <w:r>
        <w:rPr>
          <w:i/>
          <w:iCs/>
        </w:rPr>
        <w:t>:</w:t>
      </w:r>
      <w:r w:rsidRPr="00AE7B74">
        <w:rPr>
          <w:i/>
          <w:iCs/>
        </w:rPr>
        <w:t xml:space="preserve"> Managing electricity reliability</w:t>
      </w:r>
      <w:r>
        <w:t xml:space="preserve"> Tony Wood, Guy Dundas and Lucy Percival (Grattan, 2019)</w:t>
      </w:r>
    </w:p>
  </w:footnote>
  <w:footnote w:id="39">
    <w:p w14:paraId="37C9A45D" w14:textId="77777777" w:rsidR="007C7289" w:rsidRPr="00D3054F" w:rsidRDefault="007C7289" w:rsidP="00A37634">
      <w:pPr>
        <w:pStyle w:val="FootnoteText"/>
        <w:rPr>
          <w:sz w:val="18"/>
          <w:szCs w:val="18"/>
        </w:rPr>
      </w:pPr>
      <w:r w:rsidRPr="00D3054F">
        <w:rPr>
          <w:rStyle w:val="FootnoteReference"/>
          <w:sz w:val="18"/>
          <w:szCs w:val="18"/>
        </w:rPr>
        <w:footnoteRef/>
      </w:r>
      <w:r w:rsidRPr="00D3054F">
        <w:rPr>
          <w:sz w:val="18"/>
          <w:szCs w:val="18"/>
        </w:rPr>
        <w:t xml:space="preserve"> </w:t>
      </w:r>
      <w:r w:rsidRPr="003D4E6C">
        <w:rPr>
          <w:sz w:val="18"/>
          <w:szCs w:val="18"/>
        </w:rPr>
        <w:t>Calculated from air conditioner market projections supplied by E3</w:t>
      </w:r>
      <w:r>
        <w:rPr>
          <w:sz w:val="18"/>
          <w:szCs w:val="18"/>
        </w:rPr>
        <w:t>.</w:t>
      </w:r>
    </w:p>
  </w:footnote>
  <w:footnote w:id="40">
    <w:p w14:paraId="4DB364F7" w14:textId="77777777" w:rsidR="007C7289" w:rsidRPr="0092788C" w:rsidRDefault="007C7289" w:rsidP="00A37634">
      <w:pPr>
        <w:pStyle w:val="FootnoteText"/>
        <w:rPr>
          <w:sz w:val="18"/>
          <w:szCs w:val="18"/>
        </w:rPr>
      </w:pPr>
      <w:r w:rsidRPr="00D3054F">
        <w:rPr>
          <w:rStyle w:val="FootnoteReference"/>
          <w:sz w:val="18"/>
          <w:szCs w:val="18"/>
        </w:rPr>
        <w:footnoteRef/>
      </w:r>
      <w:r w:rsidRPr="00D3054F">
        <w:rPr>
          <w:sz w:val="18"/>
          <w:szCs w:val="18"/>
        </w:rPr>
        <w:t xml:space="preserve"> Decision </w:t>
      </w:r>
      <w:r>
        <w:rPr>
          <w:sz w:val="18"/>
          <w:szCs w:val="18"/>
        </w:rPr>
        <w:t>RIS</w:t>
      </w:r>
      <w:r w:rsidRPr="00D3054F">
        <w:rPr>
          <w:sz w:val="18"/>
          <w:szCs w:val="18"/>
        </w:rPr>
        <w:t>: Air Conditioners, December 2018</w:t>
      </w:r>
      <w:r>
        <w:rPr>
          <w:sz w:val="18"/>
          <w:szCs w:val="18"/>
        </w:rPr>
        <w:t>, p17/138</w:t>
      </w:r>
      <w:r w:rsidRPr="0092788C">
        <w:rPr>
          <w:sz w:val="18"/>
          <w:szCs w:val="18"/>
        </w:rPr>
        <w:t>.</w:t>
      </w:r>
    </w:p>
  </w:footnote>
  <w:footnote w:id="41">
    <w:p w14:paraId="7635481F"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w:t>
      </w:r>
      <w:hyperlink r:id="rId12" w:history="1">
        <w:r w:rsidRPr="0092788C">
          <w:rPr>
            <w:rStyle w:val="Hyperlink1"/>
            <w:sz w:val="18"/>
            <w:szCs w:val="18"/>
          </w:rPr>
          <w:t>http://www.energyrating.gov.au/document/policy-framework-hot-water-systems-australia-new-zealand</w:t>
        </w:r>
      </w:hyperlink>
    </w:p>
  </w:footnote>
  <w:footnote w:id="42">
    <w:p w14:paraId="751CB8C8" w14:textId="77777777" w:rsidR="007C7289" w:rsidRPr="00B20C99" w:rsidRDefault="007C7289" w:rsidP="00A37634">
      <w:pPr>
        <w:pStyle w:val="FootnoteText"/>
        <w:rPr>
          <w:sz w:val="18"/>
          <w:szCs w:val="18"/>
        </w:rPr>
      </w:pPr>
      <w:r w:rsidRPr="00B20C99">
        <w:rPr>
          <w:rStyle w:val="FootnoteReference"/>
          <w:sz w:val="18"/>
          <w:szCs w:val="18"/>
        </w:rPr>
        <w:footnoteRef/>
      </w:r>
      <w:r w:rsidRPr="00B20C99">
        <w:rPr>
          <w:sz w:val="18"/>
          <w:szCs w:val="18"/>
        </w:rPr>
        <w:t xml:space="preserve"> Wilson, R (2012) Residential Pool Pumps: Load control and demand management in Queensland. Presentation to DCCEE Swimming Pool Pump Stakeholder Meeting, Sydney, 1 June 2012</w:t>
      </w:r>
    </w:p>
  </w:footnote>
  <w:footnote w:id="43">
    <w:p w14:paraId="69E9C3AB" w14:textId="77777777" w:rsidR="007C7289" w:rsidRPr="0092788C" w:rsidRDefault="007C7289" w:rsidP="00A37634">
      <w:pPr>
        <w:pStyle w:val="FootnoteText"/>
        <w:rPr>
          <w:sz w:val="18"/>
          <w:szCs w:val="18"/>
        </w:rPr>
      </w:pPr>
      <w:r>
        <w:rPr>
          <w:rStyle w:val="FootnoteReference"/>
        </w:rPr>
        <w:footnoteRef/>
      </w:r>
      <w:r>
        <w:t xml:space="preserve"> </w:t>
      </w:r>
      <w:r w:rsidRPr="0092788C">
        <w:rPr>
          <w:sz w:val="18"/>
          <w:szCs w:val="18"/>
        </w:rPr>
        <w:t>ABS, Environmental Issues: Water Use and Conservation, Cat. No. 4602.055, March 2010.</w:t>
      </w:r>
    </w:p>
  </w:footnote>
  <w:footnote w:id="44">
    <w:p w14:paraId="4804706E"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Decision Regulation Impact Statement: Swimming Pool Pumps, September 2018.</w:t>
      </w:r>
    </w:p>
  </w:footnote>
  <w:footnote w:id="45">
    <w:p w14:paraId="6D5A08B8" w14:textId="77777777" w:rsidR="007C7289" w:rsidRDefault="007C7289" w:rsidP="00A37634">
      <w:pPr>
        <w:pStyle w:val="FootnoteText"/>
      </w:pPr>
      <w:r>
        <w:rPr>
          <w:rStyle w:val="FootnoteReference"/>
        </w:rPr>
        <w:footnoteRef/>
      </w:r>
      <w:r>
        <w:t xml:space="preserve"> Cabinet submission by Minister of Transport, </w:t>
      </w:r>
      <w:r w:rsidRPr="00E60510">
        <w:t>Electric Vehicles: Package of Measures to Encourage Uptake</w:t>
      </w:r>
      <w:r>
        <w:t>, undated (2016)</w:t>
      </w:r>
      <w:r w:rsidRPr="00E60510">
        <w:t xml:space="preserve"> https://www.transport.govt.nz/multi-modal/climatechange/electric-vehicles/</w:t>
      </w:r>
    </w:p>
  </w:footnote>
  <w:footnote w:id="46">
    <w:p w14:paraId="320D761A"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Australian Electric Vehicle Market Study, Energeia, 2018 p93. </w:t>
      </w:r>
    </w:p>
  </w:footnote>
  <w:footnote w:id="47">
    <w:p w14:paraId="497895A4"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w:t>
      </w:r>
      <w:hyperlink r:id="rId13" w:history="1">
        <w:r w:rsidRPr="0092788C">
          <w:rPr>
            <w:rStyle w:val="Hyperlink1"/>
            <w:sz w:val="18"/>
            <w:szCs w:val="18"/>
          </w:rPr>
          <w:t>https://www.aph.gov.au/Parliamentary_Business/Committees/Senate/Electric_Vehicles</w:t>
        </w:r>
      </w:hyperlink>
    </w:p>
  </w:footnote>
  <w:footnote w:id="48">
    <w:p w14:paraId="32119862" w14:textId="77777777" w:rsidR="007C7289" w:rsidRDefault="007C7289" w:rsidP="00A37634">
      <w:pPr>
        <w:pStyle w:val="FootnoteText"/>
      </w:pPr>
      <w:r>
        <w:rPr>
          <w:rStyle w:val="FootnoteReference"/>
        </w:rPr>
        <w:footnoteRef/>
      </w:r>
      <w:r>
        <w:t xml:space="preserve"> </w:t>
      </w:r>
      <w:r w:rsidRPr="00464D7E">
        <w:t>https://www.gov.uk/government/consultations/electric-vehicle-smart-charging</w:t>
      </w:r>
    </w:p>
  </w:footnote>
  <w:footnote w:id="49">
    <w:p w14:paraId="680FBF57"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w:t>
      </w:r>
      <w:hyperlink r:id="rId14" w:history="1">
        <w:r w:rsidRPr="0092788C">
          <w:rPr>
            <w:rStyle w:val="Hyperlink1"/>
            <w:sz w:val="18"/>
            <w:szCs w:val="18"/>
          </w:rPr>
          <w:t>https://www.sae.org/standards/content/j1772_201710/</w:t>
        </w:r>
      </w:hyperlink>
    </w:p>
  </w:footnote>
  <w:footnote w:id="50">
    <w:p w14:paraId="3F2C6158" w14:textId="77777777" w:rsidR="007C7289" w:rsidRPr="0092788C" w:rsidRDefault="007C7289" w:rsidP="00A37634">
      <w:pPr>
        <w:pStyle w:val="FootnoteText"/>
        <w:rPr>
          <w:sz w:val="18"/>
          <w:szCs w:val="18"/>
        </w:rPr>
      </w:pPr>
      <w:r w:rsidRPr="0092788C">
        <w:rPr>
          <w:rStyle w:val="FootnoteReference"/>
          <w:sz w:val="18"/>
          <w:szCs w:val="18"/>
        </w:rPr>
        <w:footnoteRef/>
      </w:r>
      <w:r w:rsidRPr="0092788C">
        <w:rPr>
          <w:sz w:val="18"/>
          <w:szCs w:val="18"/>
        </w:rPr>
        <w:t xml:space="preserve"> </w:t>
      </w:r>
      <w:hyperlink r:id="rId15" w:history="1">
        <w:r w:rsidRPr="0092788C">
          <w:rPr>
            <w:rStyle w:val="Hyperlink1"/>
            <w:sz w:val="18"/>
            <w:szCs w:val="18"/>
          </w:rPr>
          <w:t>https://webstore.iec.ch/publication/33644</w:t>
        </w:r>
      </w:hyperlink>
    </w:p>
  </w:footnote>
  <w:footnote w:id="51">
    <w:p w14:paraId="249F46A9" w14:textId="77777777" w:rsidR="007C7289" w:rsidRDefault="007C7289" w:rsidP="00A37634">
      <w:pPr>
        <w:pStyle w:val="FootnoteText"/>
      </w:pPr>
      <w:r>
        <w:rPr>
          <w:rStyle w:val="FootnoteReference"/>
        </w:rPr>
        <w:footnoteRef/>
      </w:r>
      <w:r>
        <w:t xml:space="preserve"> There are some standards for communications related to demand response, such as </w:t>
      </w:r>
      <w:proofErr w:type="spellStart"/>
      <w:r>
        <w:t>OpenADR</w:t>
      </w:r>
      <w:proofErr w:type="spellEnd"/>
      <w:r>
        <w:t xml:space="preserve"> (republished as</w:t>
      </w:r>
      <w:r w:rsidRPr="00914C2B">
        <w:t xml:space="preserve"> IEC 62746-10-1</w:t>
      </w:r>
      <w:r>
        <w:t xml:space="preserve">:2018) but these are not specific to appliances. Verification is usually limited to whether an end node has received an instruction, and actual responses can only to be determined statistically across many installations rather than individually on a single appliance.  </w:t>
      </w:r>
    </w:p>
  </w:footnote>
  <w:footnote w:id="52">
    <w:p w14:paraId="0D668522" w14:textId="77777777" w:rsidR="007C7289" w:rsidRDefault="007C7289" w:rsidP="00A37634">
      <w:pPr>
        <w:pStyle w:val="FootnoteText"/>
      </w:pPr>
      <w:r>
        <w:rPr>
          <w:rStyle w:val="FootnoteReference"/>
        </w:rPr>
        <w:footnoteRef/>
      </w:r>
      <w:r>
        <w:t xml:space="preserve"> </w:t>
      </w:r>
      <w:hyperlink r:id="rId16" w:history="1">
        <w:r w:rsidRPr="00681500">
          <w:rPr>
            <w:rStyle w:val="Hyperlink1"/>
          </w:rPr>
          <w:t>https://arena.gov.au/news/aemo-arena-demand-response/</w:t>
        </w:r>
      </w:hyperlink>
      <w:r>
        <w:rPr>
          <w:rStyle w:val="Hyperlink1"/>
        </w:rPr>
        <w:t xml:space="preserve"> </w:t>
      </w:r>
    </w:p>
  </w:footnote>
  <w:footnote w:id="53">
    <w:p w14:paraId="310E249F" w14:textId="77777777" w:rsidR="007C7289" w:rsidRDefault="007C7289" w:rsidP="00A37634">
      <w:pPr>
        <w:pStyle w:val="FootnoteText"/>
      </w:pPr>
      <w:r>
        <w:rPr>
          <w:rStyle w:val="FootnoteReference"/>
        </w:rPr>
        <w:footnoteRef/>
      </w:r>
      <w:r>
        <w:t xml:space="preserve"> T</w:t>
      </w:r>
      <w:r>
        <w:rPr>
          <w:lang w:eastAsia="en-GB"/>
        </w:rPr>
        <w:t>he limiting factor in one case was that too few of the volunteers had AS/NZS 4755 air conditioners - see</w:t>
      </w:r>
      <w:r>
        <w:t xml:space="preserve"> </w:t>
      </w:r>
      <w:hyperlink r:id="rId17" w:history="1">
        <w:r w:rsidRPr="00681500">
          <w:rPr>
            <w:rStyle w:val="Hyperlink1"/>
          </w:rPr>
          <w:t>https://www.agl.com.au/solar-renewables/projects/peak-energy-rewards-managed-for-you</w:t>
        </w:r>
      </w:hyperlink>
      <w:r>
        <w:t xml:space="preserve"> p15/33</w:t>
      </w:r>
    </w:p>
  </w:footnote>
  <w:footnote w:id="54">
    <w:p w14:paraId="069FB53E" w14:textId="77777777" w:rsidR="007C7289" w:rsidRDefault="007C7289" w:rsidP="00A37634">
      <w:pPr>
        <w:pStyle w:val="FootnoteText"/>
      </w:pPr>
      <w:r>
        <w:rPr>
          <w:rStyle w:val="FootnoteReference"/>
        </w:rPr>
        <w:footnoteRef/>
      </w:r>
      <w:r>
        <w:t xml:space="preserve"> </w:t>
      </w:r>
      <w:hyperlink r:id="rId18" w:history="1">
        <w:r w:rsidRPr="000D2707">
          <w:rPr>
            <w:rStyle w:val="Hyperlink1"/>
          </w:rPr>
          <w:t>https://echonet.jp/product_en/echonet_lite_specification/</w:t>
        </w:r>
      </w:hyperlink>
    </w:p>
  </w:footnote>
  <w:footnote w:id="55">
    <w:p w14:paraId="37F8B7F5" w14:textId="77777777" w:rsidR="007C7289" w:rsidRDefault="007C7289" w:rsidP="00A37634">
      <w:pPr>
        <w:pStyle w:val="FootnoteText"/>
      </w:pPr>
      <w:r>
        <w:rPr>
          <w:rStyle w:val="FootnoteReference"/>
        </w:rPr>
        <w:footnoteRef/>
      </w:r>
      <w:r>
        <w:t xml:space="preserve"> AS/NZS 4755 adds the following notes: Note 1 to entry: Examples include electricity distributor, electricity retailer, electricity system manager and demand response aggregator.</w:t>
      </w:r>
    </w:p>
    <w:p w14:paraId="5BB600D4" w14:textId="77777777" w:rsidR="007C7289" w:rsidRDefault="007C7289" w:rsidP="00A37634">
      <w:pPr>
        <w:pStyle w:val="FootnoteText"/>
      </w:pPr>
      <w:r>
        <w:t>Note 2 to entry: The remote agent will generally have a contractual relationship with the user in which the user gives prior consent for the remote agent to initiate demand response under agreed conditions.</w:t>
      </w:r>
    </w:p>
    <w:p w14:paraId="704AA226" w14:textId="77777777" w:rsidR="007C7289" w:rsidRDefault="007C7289" w:rsidP="00A37634">
      <w:pPr>
        <w:pStyle w:val="FootnoteText"/>
      </w:pPr>
      <w:r>
        <w:t>Note 3 to entry: An electrical product can have only one remote agent at a time, but may be available to respond to other requests for demand response, provided that operational instructions from the sole remote agent take priority.</w:t>
      </w:r>
    </w:p>
  </w:footnote>
  <w:footnote w:id="56">
    <w:p w14:paraId="7A3B8389" w14:textId="77777777" w:rsidR="007C7289" w:rsidRDefault="007C7289" w:rsidP="00A37634">
      <w:pPr>
        <w:pStyle w:val="FootnoteText"/>
      </w:pPr>
      <w:r>
        <w:rPr>
          <w:rStyle w:val="FootnoteReference"/>
        </w:rPr>
        <w:footnoteRef/>
      </w:r>
      <w:r>
        <w:t xml:space="preserve"> </w:t>
      </w:r>
      <w:r w:rsidRPr="007B5CB2">
        <w:rPr>
          <w:sz w:val="18"/>
          <w:szCs w:val="18"/>
        </w:rPr>
        <w:t>This part is an Australian rather than a joint standard</w:t>
      </w:r>
      <w:r>
        <w:rPr>
          <w:sz w:val="18"/>
          <w:szCs w:val="18"/>
        </w:rPr>
        <w:t>.</w:t>
      </w:r>
      <w:r w:rsidRPr="007B5CB2">
        <w:rPr>
          <w:sz w:val="18"/>
          <w:szCs w:val="18"/>
        </w:rPr>
        <w:t xml:space="preserve"> It is available for public comment until 6 August 2019</w:t>
      </w:r>
      <w:r>
        <w:rPr>
          <w:sz w:val="18"/>
          <w:szCs w:val="18"/>
        </w:rPr>
        <w:t xml:space="preserve"> at </w:t>
      </w:r>
      <w:hyperlink r:id="rId19" w:history="1">
        <w:r w:rsidRPr="0092788C">
          <w:rPr>
            <w:rStyle w:val="Hyperlink1"/>
            <w:sz w:val="18"/>
            <w:szCs w:val="18"/>
          </w:rPr>
          <w:t>https://sapc.standards.org.au/sapc/public/listOpenCommentingPublication.action</w:t>
        </w:r>
      </w:hyperlink>
      <w:r>
        <w:t xml:space="preserve"> </w:t>
      </w:r>
    </w:p>
  </w:footnote>
  <w:footnote w:id="57">
    <w:p w14:paraId="7F4377A2" w14:textId="77777777" w:rsidR="007C7289" w:rsidRDefault="007C7289" w:rsidP="00A37634">
      <w:pPr>
        <w:pStyle w:val="FootnoteText"/>
      </w:pPr>
      <w:r>
        <w:rPr>
          <w:rStyle w:val="FootnoteReference"/>
        </w:rPr>
        <w:footnoteRef/>
      </w:r>
      <w:r>
        <w:t xml:space="preserve"> ARENA (2019) Demand Response RERT Trial Year 1 Report, ARENA with Oakley Greenwood, March 2019</w:t>
      </w:r>
    </w:p>
  </w:footnote>
  <w:footnote w:id="58">
    <w:p w14:paraId="5A517145" w14:textId="77777777" w:rsidR="007C7289" w:rsidRPr="006D2CD9" w:rsidRDefault="007C7289" w:rsidP="00A37634">
      <w:pPr>
        <w:pStyle w:val="FootnoteText"/>
        <w:rPr>
          <w:sz w:val="18"/>
          <w:szCs w:val="18"/>
        </w:rPr>
      </w:pPr>
      <w:r>
        <w:rPr>
          <w:rStyle w:val="FootnoteReference"/>
        </w:rPr>
        <w:footnoteRef/>
      </w:r>
      <w:r>
        <w:t xml:space="preserve"> </w:t>
      </w:r>
      <w:r w:rsidRPr="006D2CD9">
        <w:rPr>
          <w:sz w:val="18"/>
          <w:szCs w:val="18"/>
        </w:rPr>
        <w:t>Restoring electricity affordability and Australia’s competitive advantage; Retail electricity pricing inquiry – Final Report, Australian Consumer and Competition Commission, June 2018, p230/398</w:t>
      </w:r>
    </w:p>
  </w:footnote>
  <w:footnote w:id="59">
    <w:p w14:paraId="017341CE" w14:textId="77777777" w:rsidR="007C7289" w:rsidRDefault="007C7289" w:rsidP="00A37634">
      <w:pPr>
        <w:pStyle w:val="FootnoteText"/>
      </w:pPr>
      <w:r w:rsidRPr="006D2CD9">
        <w:rPr>
          <w:rStyle w:val="FootnoteReference"/>
          <w:sz w:val="18"/>
          <w:szCs w:val="18"/>
        </w:rPr>
        <w:footnoteRef/>
      </w:r>
      <w:r w:rsidRPr="006D2CD9">
        <w:rPr>
          <w:sz w:val="18"/>
          <w:szCs w:val="18"/>
        </w:rPr>
        <w:t xml:space="preserve"> </w:t>
      </w:r>
      <w:hyperlink r:id="rId20" w:history="1">
        <w:r w:rsidRPr="009445FD">
          <w:rPr>
            <w:rStyle w:val="Hyperlink1"/>
            <w:sz w:val="18"/>
            <w:szCs w:val="18"/>
          </w:rPr>
          <w:t>https://www.aemc.gov.au/rule-changes/wholesale-demand-response-mechanism</w:t>
        </w:r>
      </w:hyperlink>
    </w:p>
  </w:footnote>
  <w:footnote w:id="60">
    <w:p w14:paraId="3DB0383B" w14:textId="77777777" w:rsidR="007C7289" w:rsidRPr="006D2CD9" w:rsidRDefault="007C7289" w:rsidP="00A37634">
      <w:pPr>
        <w:pStyle w:val="FootnoteText"/>
        <w:rPr>
          <w:sz w:val="18"/>
          <w:szCs w:val="18"/>
        </w:rPr>
      </w:pPr>
      <w:r>
        <w:rPr>
          <w:rStyle w:val="FootnoteReference"/>
        </w:rPr>
        <w:footnoteRef/>
      </w:r>
      <w:r>
        <w:t xml:space="preserve"> </w:t>
      </w:r>
      <w:hyperlink r:id="rId21" w:history="1">
        <w:r w:rsidRPr="006D2CD9">
          <w:rPr>
            <w:rStyle w:val="Hyperlink1"/>
            <w:sz w:val="18"/>
            <w:szCs w:val="18"/>
          </w:rPr>
          <w:t>https://www.aemo.com.au/Electricity/National-Electricity-Market-NEM/Emergency-Management/RERT-panel-expressions-of-interest</w:t>
        </w:r>
      </w:hyperlink>
    </w:p>
  </w:footnote>
  <w:footnote w:id="61">
    <w:p w14:paraId="2C69F259" w14:textId="77777777" w:rsidR="007C7289" w:rsidRPr="006D2CD9" w:rsidRDefault="007C7289" w:rsidP="00A37634">
      <w:pPr>
        <w:pStyle w:val="FootnoteText"/>
        <w:rPr>
          <w:sz w:val="18"/>
          <w:szCs w:val="18"/>
        </w:rPr>
      </w:pPr>
      <w:r w:rsidRPr="006D2CD9">
        <w:rPr>
          <w:rStyle w:val="FootnoteReference"/>
          <w:sz w:val="18"/>
          <w:szCs w:val="18"/>
        </w:rPr>
        <w:footnoteRef/>
      </w:r>
      <w:r w:rsidRPr="006D2CD9">
        <w:rPr>
          <w:sz w:val="18"/>
          <w:szCs w:val="18"/>
        </w:rPr>
        <w:t xml:space="preserve"> This was still below the legislated pool price cap of $14,500/MWh.  </w:t>
      </w:r>
    </w:p>
  </w:footnote>
  <w:footnote w:id="62">
    <w:p w14:paraId="77830723" w14:textId="77777777" w:rsidR="007C7289" w:rsidRDefault="007C7289" w:rsidP="00A37634">
      <w:pPr>
        <w:pStyle w:val="FootnoteText"/>
      </w:pPr>
      <w:r>
        <w:rPr>
          <w:rStyle w:val="FootnoteReference"/>
        </w:rPr>
        <w:footnoteRef/>
      </w:r>
      <w:r>
        <w:t xml:space="preserve"> </w:t>
      </w:r>
      <w:r w:rsidRPr="00F71E4F">
        <w:rPr>
          <w:i/>
          <w:iCs/>
        </w:rPr>
        <w:t>Guide to Ancillary Services on the National Electricity Market</w:t>
      </w:r>
      <w:r>
        <w:t>, AEMO April 2015</w:t>
      </w:r>
    </w:p>
  </w:footnote>
  <w:footnote w:id="63">
    <w:p w14:paraId="78B5BC80" w14:textId="77777777" w:rsidR="007C7289" w:rsidRDefault="007C7289" w:rsidP="00A37634">
      <w:pPr>
        <w:pStyle w:val="FootnoteText"/>
      </w:pPr>
      <w:r w:rsidRPr="006D2CD9">
        <w:rPr>
          <w:rStyle w:val="FootnoteReference"/>
          <w:sz w:val="18"/>
          <w:szCs w:val="18"/>
        </w:rPr>
        <w:footnoteRef/>
      </w:r>
      <w:r w:rsidRPr="006D2CD9">
        <w:rPr>
          <w:sz w:val="18"/>
          <w:szCs w:val="18"/>
        </w:rPr>
        <w:t xml:space="preserve"> AS/NZ</w:t>
      </w:r>
      <w:r>
        <w:rPr>
          <w:sz w:val="18"/>
          <w:szCs w:val="18"/>
        </w:rPr>
        <w:t>S</w:t>
      </w:r>
      <w:r w:rsidRPr="006D2CD9">
        <w:rPr>
          <w:sz w:val="18"/>
          <w:szCs w:val="18"/>
        </w:rPr>
        <w:t xml:space="preserve"> 4755 products can also be connected to and managed by a customer’s own home energy management system, without involving a DR </w:t>
      </w:r>
      <w:proofErr w:type="gramStart"/>
      <w:r w:rsidRPr="006D2CD9">
        <w:rPr>
          <w:sz w:val="18"/>
          <w:szCs w:val="18"/>
        </w:rPr>
        <w:t>service</w:t>
      </w:r>
      <w:proofErr w:type="gramEnd"/>
      <w:r w:rsidRPr="006D2CD9">
        <w:rPr>
          <w:sz w:val="18"/>
          <w:szCs w:val="18"/>
        </w:rPr>
        <w:t xml:space="preserve"> provider. Whether or not the customer operates the products in a way that supports network or generation constraints is uncertain, and will depend largely on the clarity of price signalling. The potential additional benefits of this form of price-drive demand response using AS/NZS 4755-compliant products have not been quantified.</w:t>
      </w:r>
      <w:r>
        <w:t xml:space="preserve">  </w:t>
      </w:r>
    </w:p>
  </w:footnote>
  <w:footnote w:id="64">
    <w:p w14:paraId="6F0D8531" w14:textId="77777777" w:rsidR="007C7289" w:rsidRDefault="007C7289" w:rsidP="00A37634">
      <w:pPr>
        <w:pStyle w:val="FootnoteText"/>
      </w:pPr>
      <w:r>
        <w:rPr>
          <w:rStyle w:val="FootnoteReference"/>
        </w:rPr>
        <w:footnoteRef/>
      </w:r>
      <w:r>
        <w:t xml:space="preserve"> </w:t>
      </w:r>
      <w:r w:rsidRPr="00A038CA">
        <w:rPr>
          <w:sz w:val="18"/>
          <w:szCs w:val="18"/>
        </w:rPr>
        <w:t xml:space="preserve">Only demand reductions are valued for New Zealand, since the wholesale market structure </w:t>
      </w:r>
      <w:r>
        <w:rPr>
          <w:sz w:val="18"/>
          <w:szCs w:val="18"/>
        </w:rPr>
        <w:t xml:space="preserve">is </w:t>
      </w:r>
      <w:r w:rsidRPr="00A038CA">
        <w:rPr>
          <w:sz w:val="18"/>
          <w:szCs w:val="18"/>
        </w:rPr>
        <w:t>different from the NEM and high PV effects are not a concern.</w:t>
      </w:r>
      <w:r>
        <w:t xml:space="preserve"> </w:t>
      </w:r>
    </w:p>
  </w:footnote>
  <w:footnote w:id="65">
    <w:p w14:paraId="74BB8B07" w14:textId="77777777" w:rsidR="007C7289" w:rsidRDefault="007C7289" w:rsidP="00A37634">
      <w:pPr>
        <w:pStyle w:val="FootnoteText"/>
      </w:pPr>
      <w:r>
        <w:rPr>
          <w:rStyle w:val="FootnoteReference"/>
        </w:rPr>
        <w:footnoteRef/>
      </w:r>
      <w:r>
        <w:t xml:space="preserve"> ACCC (2018), p6/398, p203/398</w:t>
      </w:r>
    </w:p>
  </w:footnote>
  <w:footnote w:id="66">
    <w:p w14:paraId="59D190D7" w14:textId="77777777" w:rsidR="007C7289" w:rsidRDefault="007C7289" w:rsidP="00A37634">
      <w:pPr>
        <w:pStyle w:val="FootnoteText"/>
      </w:pPr>
      <w:r>
        <w:rPr>
          <w:rStyle w:val="FootnoteReference"/>
        </w:rPr>
        <w:footnoteRef/>
      </w:r>
      <w:r>
        <w:t xml:space="preserve"> The AGL “Managed for You” trial DR program for AS/NZS 4755 air conditioners states: “</w:t>
      </w:r>
      <w:r w:rsidRPr="0053002D">
        <w:t>We agree to limit Peak Events during the Program Duration as follows</w:t>
      </w:r>
      <w:proofErr w:type="gramStart"/>
      <w:r w:rsidRPr="0053002D">
        <w:t>:–</w:t>
      </w:r>
      <w:proofErr w:type="gramEnd"/>
      <w:r w:rsidRPr="0053002D">
        <w:t xml:space="preserve"> each Peak Event will be a maximum of 2 hours long;– a maximum of 1 Peak Event per day;– a maximum of 2 consecutive days with a Peak Event; and– a maximum of 8 peak events for the Duration of the Program.</w:t>
      </w:r>
      <w:r>
        <w:t xml:space="preserve">”  </w:t>
      </w:r>
      <w:r w:rsidRPr="0053002D">
        <w:t>https://www.agl.com.au/terms-conditions/managed-for-you-terms-and-conditions</w:t>
      </w:r>
    </w:p>
  </w:footnote>
  <w:footnote w:id="67">
    <w:p w14:paraId="57AE6757" w14:textId="77777777" w:rsidR="007C7289" w:rsidRDefault="007C7289" w:rsidP="00A37634">
      <w:pPr>
        <w:pStyle w:val="FootnoteText"/>
      </w:pPr>
      <w:r>
        <w:rPr>
          <w:rStyle w:val="FootnoteReference"/>
        </w:rPr>
        <w:footnoteRef/>
      </w:r>
      <w:r>
        <w:t xml:space="preserve"> ACCC (2018), p204/398</w:t>
      </w:r>
    </w:p>
  </w:footnote>
  <w:footnote w:id="68">
    <w:p w14:paraId="58BF4946" w14:textId="77777777" w:rsidR="007C7289" w:rsidRDefault="007C7289" w:rsidP="00A37634">
      <w:pPr>
        <w:pStyle w:val="FootnoteText"/>
      </w:pPr>
      <w:r>
        <w:rPr>
          <w:rStyle w:val="FootnoteReference"/>
        </w:rPr>
        <w:footnoteRef/>
      </w:r>
      <w:r>
        <w:t xml:space="preserve"> ACCC (2018) p19/398</w:t>
      </w:r>
    </w:p>
  </w:footnote>
  <w:footnote w:id="69">
    <w:p w14:paraId="3D6AE603" w14:textId="77777777" w:rsidR="007C7289" w:rsidRDefault="007C7289" w:rsidP="00A37634">
      <w:pPr>
        <w:pStyle w:val="FootnoteText"/>
      </w:pPr>
      <w:r>
        <w:rPr>
          <w:rStyle w:val="FootnoteReference"/>
        </w:rPr>
        <w:footnoteRef/>
      </w:r>
      <w:r>
        <w:t xml:space="preserve"> </w:t>
      </w:r>
      <w:r w:rsidRPr="00494E42">
        <w:rPr>
          <w:sz w:val="18"/>
          <w:szCs w:val="18"/>
        </w:rPr>
        <w:t xml:space="preserve">Much of the technical content of (DR) AS/NZS 4755.3.4 </w:t>
      </w:r>
      <w:r>
        <w:rPr>
          <w:sz w:val="18"/>
          <w:szCs w:val="18"/>
        </w:rPr>
        <w:t xml:space="preserve">was later incorporated in </w:t>
      </w:r>
      <w:r w:rsidRPr="00494E42">
        <w:rPr>
          <w:sz w:val="18"/>
          <w:szCs w:val="18"/>
        </w:rPr>
        <w:t>AS/NZS 4755.3.5</w:t>
      </w:r>
      <w:r>
        <w:rPr>
          <w:sz w:val="18"/>
          <w:szCs w:val="18"/>
        </w:rPr>
        <w:t>:2016</w:t>
      </w:r>
      <w:r w:rsidRPr="00494E42">
        <w:rPr>
          <w:sz w:val="18"/>
          <w:szCs w:val="18"/>
        </w:rPr>
        <w:t xml:space="preserve"> </w:t>
      </w:r>
      <w:r w:rsidRPr="00494E42">
        <w:rPr>
          <w:i/>
          <w:iCs/>
          <w:sz w:val="18"/>
          <w:szCs w:val="18"/>
        </w:rPr>
        <w:t>Operational instructions and connections for grid-connected electrical energy storage systems</w:t>
      </w:r>
      <w:r w:rsidRPr="00494E42">
        <w:rPr>
          <w:sz w:val="18"/>
          <w:szCs w:val="18"/>
        </w:rPr>
        <w:t xml:space="preserve"> and </w:t>
      </w:r>
      <w:r>
        <w:rPr>
          <w:sz w:val="18"/>
          <w:szCs w:val="18"/>
        </w:rPr>
        <w:t xml:space="preserve">in </w:t>
      </w:r>
      <w:r w:rsidRPr="00494E42">
        <w:rPr>
          <w:sz w:val="18"/>
          <w:szCs w:val="18"/>
        </w:rPr>
        <w:t xml:space="preserve">Appendix D of (DR) AS 4755.2. </w:t>
      </w:r>
    </w:p>
  </w:footnote>
  <w:footnote w:id="70">
    <w:p w14:paraId="4906C3ED" w14:textId="77777777" w:rsidR="007C7289" w:rsidRDefault="007C7289" w:rsidP="00A37634">
      <w:pPr>
        <w:pStyle w:val="FootnoteText"/>
      </w:pPr>
      <w:r>
        <w:rPr>
          <w:rStyle w:val="FootnoteReference"/>
        </w:rPr>
        <w:footnoteRef/>
      </w:r>
      <w:r>
        <w:t xml:space="preserve"> </w:t>
      </w:r>
      <w:bookmarkStart w:id="100" w:name="_Hlk11577419"/>
      <w:r>
        <w:t xml:space="preserve">The 2013 Consultation RIS proposed </w:t>
      </w:r>
      <w:bookmarkEnd w:id="100"/>
      <w:r>
        <w:t xml:space="preserve">a limit of 30 kW cooling capacity, but this was revised to 19kW following the previous consultations. </w:t>
      </w:r>
    </w:p>
  </w:footnote>
  <w:footnote w:id="71">
    <w:p w14:paraId="239735D6" w14:textId="77777777" w:rsidR="007C7289" w:rsidRDefault="007C7289" w:rsidP="00A37634">
      <w:pPr>
        <w:pStyle w:val="FootnoteText"/>
      </w:pPr>
      <w:r>
        <w:rPr>
          <w:rStyle w:val="FootnoteReference"/>
        </w:rPr>
        <w:footnoteRef/>
      </w:r>
      <w:r>
        <w:t xml:space="preserve"> The 2013 Consultation RIS proposed that solar-electric and heat pump water heaters should also comply, but this was revised following the previous consultations. </w:t>
      </w:r>
    </w:p>
  </w:footnote>
  <w:footnote w:id="72">
    <w:p w14:paraId="7AF92B4E" w14:textId="77777777" w:rsidR="007C7289" w:rsidRDefault="007C7289" w:rsidP="00A37634">
      <w:pPr>
        <w:pStyle w:val="FootnoteText"/>
      </w:pPr>
      <w:r>
        <w:rPr>
          <w:rStyle w:val="FootnoteReference"/>
        </w:rPr>
        <w:footnoteRef/>
      </w:r>
      <w:r>
        <w:t xml:space="preserve"> Energex (2014) </w:t>
      </w:r>
      <w:proofErr w:type="spellStart"/>
      <w:r w:rsidRPr="00FB3A47">
        <w:t>PeakSmart</w:t>
      </w:r>
      <w:proofErr w:type="spellEnd"/>
      <w:r w:rsidRPr="00FB3A47">
        <w:t xml:space="preserve"> Air Conditioning Demand Response Control Event Report, Energex, November 2014</w:t>
      </w:r>
    </w:p>
  </w:footnote>
  <w:footnote w:id="73">
    <w:p w14:paraId="43FF4400" w14:textId="77777777" w:rsidR="007C7289" w:rsidRDefault="007C7289" w:rsidP="00A37634">
      <w:pPr>
        <w:pStyle w:val="FootnoteText"/>
      </w:pPr>
      <w:r>
        <w:rPr>
          <w:rStyle w:val="FootnoteReference"/>
        </w:rPr>
        <w:footnoteRef/>
      </w:r>
      <w:r>
        <w:t xml:space="preserve"> e.g. </w:t>
      </w:r>
      <w:r w:rsidRPr="00DC48CB">
        <w:rPr>
          <w:i/>
          <w:iCs/>
        </w:rPr>
        <w:t>Automated and Zero Emission Vehicle Infrastructure Advice: Energy Impact Modelling,</w:t>
      </w:r>
      <w:r w:rsidRPr="00DC48CB">
        <w:t xml:space="preserve"> KPMG for Infrastru</w:t>
      </w:r>
      <w:r>
        <w:t>c</w:t>
      </w:r>
      <w:r w:rsidRPr="00DC48CB">
        <w:t>ture Victoria, Final Report, July 2018</w:t>
      </w:r>
    </w:p>
  </w:footnote>
  <w:footnote w:id="74">
    <w:p w14:paraId="32E086CC" w14:textId="77777777" w:rsidR="007C7289" w:rsidRDefault="007C7289" w:rsidP="00A37634">
      <w:pPr>
        <w:pStyle w:val="FootnoteText"/>
      </w:pPr>
      <w:r>
        <w:rPr>
          <w:rStyle w:val="FootnoteReference"/>
        </w:rPr>
        <w:footnoteRef/>
      </w:r>
      <w:r>
        <w:t xml:space="preserve"> Energex, Personal communication 3 May 2019 </w:t>
      </w:r>
    </w:p>
  </w:footnote>
  <w:footnote w:id="75">
    <w:p w14:paraId="6AA00EEF" w14:textId="77777777" w:rsidR="007C7289" w:rsidRDefault="007C7289" w:rsidP="00A37634">
      <w:pPr>
        <w:pStyle w:val="FootnoteText"/>
      </w:pPr>
      <w:r>
        <w:rPr>
          <w:rStyle w:val="FootnoteReference"/>
        </w:rPr>
        <w:footnoteRef/>
      </w:r>
      <w:r>
        <w:t xml:space="preserve"> Queensland regions compared, Census 2016, Queensland Government Statisticians’ Office, 2017</w:t>
      </w:r>
    </w:p>
  </w:footnote>
  <w:footnote w:id="76">
    <w:p w14:paraId="1969C3F6" w14:textId="77777777" w:rsidR="007C7289" w:rsidRDefault="007C7289" w:rsidP="00A37634">
      <w:pPr>
        <w:pStyle w:val="FootnoteText"/>
      </w:pPr>
      <w:r>
        <w:rPr>
          <w:rStyle w:val="FootnoteReference"/>
        </w:rPr>
        <w:footnoteRef/>
      </w:r>
      <w:r>
        <w:t xml:space="preserve"> An ARENA-funded AGL trial of post-installation offers to activate AS/NZS 4755 air conditioners was unsuccessful because </w:t>
      </w:r>
      <w:r w:rsidRPr="00D21D47">
        <w:t>too few of the volunteers had AS/NZS 4755 air conditioners</w:t>
      </w:r>
      <w:r>
        <w:t>.</w:t>
      </w:r>
    </w:p>
  </w:footnote>
  <w:footnote w:id="77">
    <w:p w14:paraId="5FB7211C" w14:textId="77777777" w:rsidR="007C7289" w:rsidRPr="007B5CB2" w:rsidRDefault="007C7289" w:rsidP="00A37634">
      <w:pPr>
        <w:pStyle w:val="FootnoteText"/>
        <w:rPr>
          <w:sz w:val="18"/>
          <w:szCs w:val="18"/>
        </w:rPr>
      </w:pPr>
      <w:r>
        <w:rPr>
          <w:rStyle w:val="FootnoteReference"/>
        </w:rPr>
        <w:footnoteRef/>
      </w:r>
      <w:r>
        <w:t xml:space="preserve"> </w:t>
      </w:r>
      <w:r w:rsidRPr="007B5CB2">
        <w:rPr>
          <w:sz w:val="18"/>
          <w:szCs w:val="18"/>
        </w:rPr>
        <w:t>The Preface to (DR) AS 4755.2 states: “Users of this standard are invited to propose new appendices to Committee EL-054, provided that electrical products embodying those means and formats of communications can be physically tested to ensure they meet the requirements of the standard. Proposals should be:</w:t>
      </w:r>
    </w:p>
    <w:p w14:paraId="0F7E0D6F" w14:textId="77777777" w:rsidR="007C7289" w:rsidRPr="007B5CB2" w:rsidRDefault="007C7289" w:rsidP="00A37634">
      <w:pPr>
        <w:pStyle w:val="FootnoteText"/>
        <w:rPr>
          <w:sz w:val="18"/>
          <w:szCs w:val="18"/>
        </w:rPr>
      </w:pPr>
      <w:r w:rsidRPr="007B5CB2">
        <w:rPr>
          <w:sz w:val="18"/>
          <w:szCs w:val="18"/>
        </w:rPr>
        <w:t>(a)</w:t>
      </w:r>
      <w:r w:rsidRPr="007B5CB2">
        <w:rPr>
          <w:sz w:val="18"/>
          <w:szCs w:val="18"/>
        </w:rPr>
        <w:tab/>
        <w:t>Standards-based — leveraging existing Standards.</w:t>
      </w:r>
    </w:p>
    <w:p w14:paraId="71D62221" w14:textId="77777777" w:rsidR="007C7289" w:rsidRPr="007B5CB2" w:rsidRDefault="007C7289" w:rsidP="00A37634">
      <w:pPr>
        <w:pStyle w:val="FootnoteText"/>
        <w:rPr>
          <w:sz w:val="18"/>
          <w:szCs w:val="18"/>
        </w:rPr>
      </w:pPr>
      <w:r w:rsidRPr="007B5CB2">
        <w:rPr>
          <w:sz w:val="18"/>
          <w:szCs w:val="18"/>
        </w:rPr>
        <w:t>(b)</w:t>
      </w:r>
      <w:r w:rsidRPr="007B5CB2">
        <w:rPr>
          <w:sz w:val="18"/>
          <w:szCs w:val="18"/>
        </w:rPr>
        <w:tab/>
        <w:t>Simple — easy to describe, understand, implement and deploy.</w:t>
      </w:r>
    </w:p>
    <w:p w14:paraId="3EE83EC7" w14:textId="77777777" w:rsidR="007C7289" w:rsidRPr="007B5CB2" w:rsidRDefault="007C7289" w:rsidP="00A37634">
      <w:pPr>
        <w:pStyle w:val="FootnoteText"/>
        <w:rPr>
          <w:sz w:val="18"/>
          <w:szCs w:val="18"/>
        </w:rPr>
      </w:pPr>
      <w:r w:rsidRPr="007B5CB2">
        <w:rPr>
          <w:sz w:val="18"/>
          <w:szCs w:val="18"/>
        </w:rPr>
        <w:t>(c)</w:t>
      </w:r>
      <w:r w:rsidRPr="007B5CB2">
        <w:rPr>
          <w:sz w:val="18"/>
          <w:szCs w:val="18"/>
        </w:rPr>
        <w:tab/>
        <w:t>Testable — implementations should be easy to test.</w:t>
      </w:r>
    </w:p>
    <w:p w14:paraId="6EBD3C9F" w14:textId="77777777" w:rsidR="007C7289" w:rsidRPr="007B5CB2" w:rsidRDefault="007C7289" w:rsidP="00A37634">
      <w:pPr>
        <w:pStyle w:val="FootnoteText"/>
        <w:rPr>
          <w:sz w:val="18"/>
          <w:szCs w:val="18"/>
        </w:rPr>
      </w:pPr>
      <w:r w:rsidRPr="007B5CB2">
        <w:rPr>
          <w:sz w:val="18"/>
          <w:szCs w:val="18"/>
        </w:rPr>
        <w:t>(d)</w:t>
      </w:r>
      <w:r w:rsidRPr="007B5CB2">
        <w:rPr>
          <w:sz w:val="18"/>
          <w:szCs w:val="18"/>
        </w:rPr>
        <w:tab/>
        <w:t>Reliable — auto-recovery after transient failures.</w:t>
      </w:r>
    </w:p>
    <w:p w14:paraId="6CCB81EA" w14:textId="77777777" w:rsidR="007C7289" w:rsidRPr="007B5CB2" w:rsidRDefault="007C7289" w:rsidP="00A37634">
      <w:pPr>
        <w:pStyle w:val="FootnoteText"/>
        <w:rPr>
          <w:sz w:val="18"/>
          <w:szCs w:val="18"/>
        </w:rPr>
      </w:pPr>
      <w:r w:rsidRPr="007B5CB2">
        <w:rPr>
          <w:sz w:val="18"/>
          <w:szCs w:val="18"/>
        </w:rPr>
        <w:t>(e)</w:t>
      </w:r>
      <w:r w:rsidRPr="007B5CB2">
        <w:rPr>
          <w:sz w:val="18"/>
          <w:szCs w:val="18"/>
        </w:rPr>
        <w:tab/>
        <w:t>Secure — security of both the electrical product and the remote agent should be maintained.</w:t>
      </w:r>
    </w:p>
    <w:p w14:paraId="5643EC69" w14:textId="77777777" w:rsidR="007C7289" w:rsidRPr="007B5CB2" w:rsidRDefault="007C7289" w:rsidP="00A37634">
      <w:pPr>
        <w:pStyle w:val="FootnoteText"/>
        <w:rPr>
          <w:sz w:val="18"/>
          <w:szCs w:val="18"/>
        </w:rPr>
      </w:pPr>
      <w:r w:rsidRPr="007B5CB2">
        <w:rPr>
          <w:sz w:val="18"/>
          <w:szCs w:val="18"/>
        </w:rPr>
        <w:t>(</w:t>
      </w:r>
      <w:proofErr w:type="gramStart"/>
      <w:r w:rsidRPr="007B5CB2">
        <w:rPr>
          <w:sz w:val="18"/>
          <w:szCs w:val="18"/>
        </w:rPr>
        <w:t>f</w:t>
      </w:r>
      <w:proofErr w:type="gramEnd"/>
      <w:r w:rsidRPr="007B5CB2">
        <w:rPr>
          <w:sz w:val="18"/>
          <w:szCs w:val="18"/>
        </w:rPr>
        <w:t>)</w:t>
      </w:r>
      <w:r w:rsidRPr="007B5CB2">
        <w:rPr>
          <w:sz w:val="18"/>
          <w:szCs w:val="18"/>
        </w:rPr>
        <w:tab/>
        <w:t>Flexible — should allow for a variety of deployment patterns.</w:t>
      </w:r>
    </w:p>
    <w:p w14:paraId="06D16279" w14:textId="77777777" w:rsidR="007C7289" w:rsidRPr="007B5CB2" w:rsidRDefault="007C7289" w:rsidP="00A37634">
      <w:pPr>
        <w:pStyle w:val="FootnoteText"/>
        <w:rPr>
          <w:sz w:val="18"/>
          <w:szCs w:val="18"/>
        </w:rPr>
      </w:pPr>
      <w:r w:rsidRPr="007B5CB2">
        <w:rPr>
          <w:sz w:val="18"/>
          <w:szCs w:val="18"/>
        </w:rPr>
        <w:t>(g)</w:t>
      </w:r>
      <w:r w:rsidRPr="007B5CB2">
        <w:rPr>
          <w:sz w:val="18"/>
          <w:szCs w:val="18"/>
        </w:rPr>
        <w:tab/>
        <w:t>Efficient — should be mindful of network bandwidth and power usage.</w:t>
      </w:r>
    </w:p>
    <w:p w14:paraId="29BB65C5" w14:textId="77777777" w:rsidR="007C7289" w:rsidRPr="007B5CB2" w:rsidRDefault="007C7289" w:rsidP="00A37634">
      <w:pPr>
        <w:pStyle w:val="FootnoteText"/>
        <w:rPr>
          <w:sz w:val="18"/>
          <w:szCs w:val="18"/>
        </w:rPr>
      </w:pPr>
      <w:r w:rsidRPr="007B5CB2">
        <w:rPr>
          <w:sz w:val="18"/>
          <w:szCs w:val="18"/>
        </w:rPr>
        <w:t>(h)</w:t>
      </w:r>
      <w:r w:rsidRPr="007B5CB2">
        <w:rPr>
          <w:sz w:val="18"/>
          <w:szCs w:val="18"/>
        </w:rPr>
        <w:tab/>
        <w:t>Compatible — should fit the AS 4755 framework.</w:t>
      </w:r>
    </w:p>
    <w:p w14:paraId="153BF7AF" w14:textId="77777777" w:rsidR="007C7289" w:rsidRPr="007B5CB2" w:rsidRDefault="007C7289" w:rsidP="00A37634">
      <w:pPr>
        <w:pStyle w:val="FootnoteText"/>
        <w:rPr>
          <w:sz w:val="18"/>
          <w:szCs w:val="18"/>
        </w:rPr>
      </w:pPr>
      <w:r w:rsidRPr="007B5CB2">
        <w:rPr>
          <w:sz w:val="18"/>
          <w:szCs w:val="18"/>
        </w:rPr>
        <w:t>(</w:t>
      </w:r>
      <w:proofErr w:type="spellStart"/>
      <w:proofErr w:type="gramStart"/>
      <w:r w:rsidRPr="007B5CB2">
        <w:rPr>
          <w:sz w:val="18"/>
          <w:szCs w:val="18"/>
        </w:rPr>
        <w:t>i</w:t>
      </w:r>
      <w:proofErr w:type="spellEnd"/>
      <w:proofErr w:type="gramEnd"/>
      <w:r w:rsidRPr="007B5CB2">
        <w:rPr>
          <w:sz w:val="18"/>
          <w:szCs w:val="18"/>
        </w:rPr>
        <w:t>)</w:t>
      </w:r>
      <w:r w:rsidRPr="007B5CB2">
        <w:rPr>
          <w:sz w:val="18"/>
          <w:szCs w:val="18"/>
        </w:rPr>
        <w:tab/>
        <w:t>Fully documented so both RAs and testers are able to replicate it.”</w:t>
      </w:r>
    </w:p>
  </w:footnote>
  <w:footnote w:id="78">
    <w:p w14:paraId="32C86B9A" w14:textId="77777777" w:rsidR="007C7289" w:rsidRDefault="007C7289" w:rsidP="00A37634">
      <w:pPr>
        <w:pStyle w:val="FootnoteText"/>
      </w:pPr>
      <w:r>
        <w:rPr>
          <w:rStyle w:val="FootnoteReference"/>
        </w:rPr>
        <w:footnoteRef/>
      </w:r>
      <w:r>
        <w:t xml:space="preserve"> </w:t>
      </w:r>
      <w:hyperlink r:id="rId22" w:history="1">
        <w:r w:rsidRPr="000D2707">
          <w:rPr>
            <w:rStyle w:val="Hyperlink1"/>
          </w:rPr>
          <w:t>https://echonet.jp/product_en/echonet_lite_specification/</w:t>
        </w:r>
      </w:hyperlink>
    </w:p>
  </w:footnote>
  <w:footnote w:id="79">
    <w:p w14:paraId="4DD4B46F" w14:textId="77777777" w:rsidR="007C7289" w:rsidRDefault="007C7289" w:rsidP="00A37634">
      <w:pPr>
        <w:pStyle w:val="FootnoteText"/>
      </w:pPr>
      <w:r>
        <w:rPr>
          <w:rStyle w:val="FootnoteReference"/>
        </w:rPr>
        <w:footnoteRef/>
      </w:r>
      <w:r>
        <w:t xml:space="preserve"> </w:t>
      </w:r>
      <w:r w:rsidRPr="000E49D0">
        <w:t>https://www.energystar.gov/sites/default/files/ENERGY%20STAR%20Version%204.0%20Room%20Air%20Conditioners%20Program%20Requirements.pdf</w:t>
      </w:r>
    </w:p>
  </w:footnote>
  <w:footnote w:id="80">
    <w:p w14:paraId="44AC4D3A" w14:textId="77777777" w:rsidR="007C7289" w:rsidRDefault="007C7289" w:rsidP="00A37634">
      <w:pPr>
        <w:pStyle w:val="FootnoteText"/>
      </w:pPr>
      <w:r>
        <w:rPr>
          <w:rStyle w:val="FootnoteReference"/>
        </w:rPr>
        <w:footnoteRef/>
      </w:r>
      <w:r>
        <w:t xml:space="preserve"> </w:t>
      </w:r>
      <w:r w:rsidRPr="00EA68B4">
        <w:t>https://nest.com/energy-partners/</w:t>
      </w:r>
    </w:p>
  </w:footnote>
  <w:footnote w:id="81">
    <w:p w14:paraId="211B71A1" w14:textId="77777777" w:rsidR="007C7289" w:rsidRDefault="007C7289" w:rsidP="00A37634">
      <w:pPr>
        <w:pStyle w:val="FootnoteText"/>
      </w:pPr>
      <w:r>
        <w:rPr>
          <w:rStyle w:val="FootnoteReference"/>
        </w:rPr>
        <w:footnoteRef/>
      </w:r>
      <w:r>
        <w:t xml:space="preserve"> </w:t>
      </w:r>
      <w:hyperlink r:id="rId23" w:history="1">
        <w:r w:rsidRPr="00A2476B">
          <w:rPr>
            <w:rStyle w:val="Hyperlink1"/>
          </w:rPr>
          <w:t>https://www.energystar.gov/products/spec/connected_thermostats_specification_v1_0_pd</w:t>
        </w:r>
      </w:hyperlink>
    </w:p>
  </w:footnote>
  <w:footnote w:id="82">
    <w:p w14:paraId="34E2F2DF" w14:textId="77777777" w:rsidR="007C7289" w:rsidRDefault="007C7289" w:rsidP="00A37634">
      <w:pPr>
        <w:pStyle w:val="FootnoteText"/>
      </w:pPr>
      <w:r>
        <w:rPr>
          <w:rStyle w:val="FootnoteReference"/>
        </w:rPr>
        <w:footnoteRef/>
      </w:r>
      <w:r>
        <w:t xml:space="preserve"> </w:t>
      </w:r>
      <w:r w:rsidRPr="007B24D0">
        <w:t>Winton (2010) A Quantitative Research Study into Ownership and Usage Patterns of Single-Duct Portable Space Conditioners and Fixed Air Conditioners</w:t>
      </w:r>
      <w:r>
        <w:t xml:space="preserve">, </w:t>
      </w:r>
      <w:r w:rsidRPr="007B24D0">
        <w:t>Winton Sustainable Research Strategies, for DCCEE, May 2010</w:t>
      </w:r>
    </w:p>
  </w:footnote>
  <w:footnote w:id="83">
    <w:p w14:paraId="665C4CF5" w14:textId="77777777" w:rsidR="007C7289" w:rsidRDefault="007C7289" w:rsidP="00A37634">
      <w:pPr>
        <w:pStyle w:val="FootnoteText"/>
      </w:pPr>
      <w:r>
        <w:rPr>
          <w:rStyle w:val="FootnoteReference"/>
        </w:rPr>
        <w:footnoteRef/>
      </w:r>
      <w:r>
        <w:t xml:space="preserve"> </w:t>
      </w:r>
      <w:r w:rsidRPr="00861577">
        <w:t>https://www.powercor.com.au/energy-partner/</w:t>
      </w:r>
    </w:p>
  </w:footnote>
  <w:footnote w:id="84">
    <w:p w14:paraId="7E014DE2" w14:textId="77777777" w:rsidR="007C7289" w:rsidRDefault="007C7289" w:rsidP="00A37634">
      <w:pPr>
        <w:pStyle w:val="FootnoteText"/>
      </w:pPr>
      <w:r>
        <w:rPr>
          <w:rStyle w:val="FootnoteReference"/>
        </w:rPr>
        <w:footnoteRef/>
      </w:r>
      <w:r>
        <w:t xml:space="preserve"> </w:t>
      </w:r>
      <w:r w:rsidRPr="00861577">
        <w:t>https://sensibo.com.au/sensibo-features/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D831" w14:textId="77777777" w:rsidR="007C7289" w:rsidRDefault="007C7289" w:rsidP="007C7289">
    <w:pPr>
      <w:pStyle w:val="Header"/>
      <w:spacing w:before="560" w:after="480"/>
    </w:pPr>
    <w:r>
      <w:rPr>
        <w:noProof/>
        <w:lang w:eastAsia="en-AU"/>
      </w:rPr>
      <w:drawing>
        <wp:anchor distT="0" distB="0" distL="114300" distR="114300" simplePos="0" relativeHeight="251664384" behindDoc="0" locked="0" layoutInCell="1" allowOverlap="1" wp14:anchorId="330C45F0" wp14:editId="149BBB0B">
          <wp:simplePos x="0" y="0"/>
          <wp:positionH relativeFrom="column">
            <wp:posOffset>1270</wp:posOffset>
          </wp:positionH>
          <wp:positionV relativeFrom="page">
            <wp:posOffset>2019300</wp:posOffset>
          </wp:positionV>
          <wp:extent cx="1737360" cy="908050"/>
          <wp:effectExtent l="0" t="0" r="0" b="6350"/>
          <wp:wrapNone/>
          <wp:docPr id="196" name="Picture 196" descr="D:\DP Plus\Docs\Giraffe\Environment\NatHERS, E3\sourcedocs\E3 Logo.jpg"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P Plus\Docs\Giraffe\Environment\NatHERS, E3\sourcedocs\E3 Logo.jpg"/>
                  <pic:cNvPicPr>
                    <a:picLocks noChangeAspect="1" noChangeArrowheads="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1737360" cy="908050"/>
                  </a:xfrm>
                  <a:prstGeom prst="rect">
                    <a:avLst/>
                  </a:prstGeom>
                  <a:noFill/>
                  <a:ln>
                    <a:noFill/>
                  </a:ln>
                </pic:spPr>
              </pic:pic>
            </a:graphicData>
          </a:graphic>
        </wp:anchor>
      </w:drawing>
    </w:r>
    <w:r w:rsidRPr="00F9129C">
      <w:rPr>
        <w:noProof/>
        <w:lang w:eastAsia="en-AU"/>
      </w:rPr>
      <w:drawing>
        <wp:anchor distT="0" distB="0" distL="114300" distR="114300" simplePos="0" relativeHeight="251660288" behindDoc="0" locked="0" layoutInCell="1" allowOverlap="1" wp14:anchorId="586EA335" wp14:editId="70AAFC10">
          <wp:simplePos x="0" y="0"/>
          <wp:positionH relativeFrom="column">
            <wp:posOffset>2622550</wp:posOffset>
          </wp:positionH>
          <wp:positionV relativeFrom="paragraph">
            <wp:posOffset>383963</wp:posOffset>
          </wp:positionV>
          <wp:extent cx="1515745" cy="711200"/>
          <wp:effectExtent l="0" t="0" r="8255" b="0"/>
          <wp:wrapNone/>
          <wp:docPr id="194" name="Picture 194" descr="D:\DP Plus\Docs\Giraffe\Environment\NatHERS, E3\sourcedocs\Australian Government-logo.jpg"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P Plus\Docs\Giraffe\Environment\NatHERS, E3\sourcedocs\Australian Government-logo.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151574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29C">
      <w:rPr>
        <w:noProof/>
        <w:lang w:eastAsia="en-AU"/>
      </w:rPr>
      <w:drawing>
        <wp:anchor distT="0" distB="0" distL="114300" distR="114300" simplePos="0" relativeHeight="251659264" behindDoc="0" locked="1" layoutInCell="0" allowOverlap="1" wp14:anchorId="42A75C5F" wp14:editId="205068E9">
          <wp:simplePos x="0" y="0"/>
          <wp:positionH relativeFrom="column">
            <wp:posOffset>4299585</wp:posOffset>
          </wp:positionH>
          <wp:positionV relativeFrom="page">
            <wp:posOffset>1154430</wp:posOffset>
          </wp:positionV>
          <wp:extent cx="2103120" cy="536575"/>
          <wp:effectExtent l="0" t="0" r="0" b="0"/>
          <wp:wrapTopAndBottom/>
          <wp:docPr id="195" name="Picture 195" descr="D:\DP Plus\Docs\Giraffe\Environment\NatHERS, E3\sourcedocs\All-of-govt_NZ_Gov.jpg" title="&quot;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P Plus\Docs\Giraffe\Environment\NatHERS, E3\sourcedocs\All-of-govt_NZ_Gov.jp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2103120"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351">
      <w:rPr>
        <w:noProof/>
        <w:lang w:eastAsia="en-AU"/>
      </w:rPr>
      <mc:AlternateContent>
        <mc:Choice Requires="wps">
          <w:drawing>
            <wp:anchor distT="0" distB="0" distL="114300" distR="114300" simplePos="0" relativeHeight="251661312" behindDoc="1" locked="1" layoutInCell="0" allowOverlap="1" wp14:anchorId="036B72A5" wp14:editId="2C36C369">
              <wp:simplePos x="0" y="0"/>
              <wp:positionH relativeFrom="page">
                <wp:posOffset>-10795</wp:posOffset>
              </wp:positionH>
              <wp:positionV relativeFrom="page">
                <wp:posOffset>2959735</wp:posOffset>
              </wp:positionV>
              <wp:extent cx="7561580" cy="269875"/>
              <wp:effectExtent l="0" t="0" r="20320" b="15875"/>
              <wp:wrapNone/>
              <wp:docPr id="8" name="Rectangle 8" title="&quot;0&quot;"/>
              <wp:cNvGraphicFramePr/>
              <a:graphic xmlns:a="http://schemas.openxmlformats.org/drawingml/2006/main">
                <a:graphicData uri="http://schemas.microsoft.com/office/word/2010/wordprocessingShape">
                  <wps:wsp>
                    <wps:cNvSpPr/>
                    <wps:spPr>
                      <a:xfrm>
                        <a:off x="0" y="0"/>
                        <a:ext cx="7561580" cy="269875"/>
                      </a:xfrm>
                      <a:prstGeom prst="rect">
                        <a:avLst/>
                      </a:prstGeom>
                      <a:solidFill>
                        <a:srgbClr val="B5121B"/>
                      </a:solidFill>
                      <a:ln w="25400" cap="flat" cmpd="sng" algn="ctr">
                        <a:solidFill>
                          <a:srgbClr val="B5121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C6BAE" id="Rectangle 8" o:spid="_x0000_s1026" alt="Title: &quot;0&quot;" style="position:absolute;margin-left:-.85pt;margin-top:233.05pt;width:595.4pt;height:2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" o:allowincell="f" fillcolor="#b5121b" strokecolor="#b5121b" strokeweight="2pt">
              <w10:wrap anchorx="page" anchory="page"/>
              <w10:anchorlock/>
            </v:rect>
          </w:pict>
        </mc:Fallback>
      </mc:AlternateContent>
    </w:r>
    <w:r w:rsidRPr="00620351">
      <w:rPr>
        <w:noProof/>
        <w:lang w:eastAsia="en-AU"/>
      </w:rPr>
      <mc:AlternateContent>
        <mc:Choice Requires="wps">
          <w:drawing>
            <wp:anchor distT="0" distB="0" distL="114300" distR="114300" simplePos="0" relativeHeight="251662336" behindDoc="1" locked="1" layoutInCell="0" allowOverlap="1" wp14:anchorId="1613B96D" wp14:editId="01B1379E">
              <wp:simplePos x="0" y="0"/>
              <wp:positionH relativeFrom="page">
                <wp:posOffset>-9525</wp:posOffset>
              </wp:positionH>
              <wp:positionV relativeFrom="paragraph">
                <wp:posOffset>2891790</wp:posOffset>
              </wp:positionV>
              <wp:extent cx="7562850" cy="1800860"/>
              <wp:effectExtent l="0" t="0" r="19050" b="27940"/>
              <wp:wrapNone/>
              <wp:docPr id="10" name="Rectangle 10" title="&quot;0&quot;"/>
              <wp:cNvGraphicFramePr/>
              <a:graphic xmlns:a="http://schemas.openxmlformats.org/drawingml/2006/main">
                <a:graphicData uri="http://schemas.microsoft.com/office/word/2010/wordprocessingShape">
                  <wps:wsp>
                    <wps:cNvSpPr/>
                    <wps:spPr>
                      <a:xfrm>
                        <a:off x="0" y="0"/>
                        <a:ext cx="7562850" cy="1800860"/>
                      </a:xfrm>
                      <a:prstGeom prst="rect">
                        <a:avLst/>
                      </a:prstGeom>
                      <a:solidFill>
                        <a:srgbClr val="1C1C1C"/>
                      </a:solidFill>
                      <a:ln w="25400" cap="flat" cmpd="sng" algn="ctr">
                        <a:solidFill>
                          <a:srgbClr val="1C1C1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CC6CB" id="Rectangle 10" o:spid="_x0000_s1026" alt="Title: &quot;0&quot;" style="position:absolute;margin-left:-.75pt;margin-top:227.7pt;width:595.5pt;height:14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" o:allowincell="f" fillcolor="#1c1c1c" strokecolor="#1c1c1c" strokeweight="2pt">
              <w10:wrap anchorx="page"/>
              <w10:anchorlock/>
            </v:rect>
          </w:pict>
        </mc:Fallback>
      </mc:AlternateContent>
    </w:r>
    <w:r w:rsidRPr="00620351">
      <w:rPr>
        <w:noProof/>
        <w:lang w:eastAsia="en-AU"/>
      </w:rPr>
      <mc:AlternateContent>
        <mc:Choice Requires="wps">
          <w:drawing>
            <wp:anchor distT="0" distB="0" distL="114300" distR="114300" simplePos="0" relativeHeight="251663360" behindDoc="1" locked="1" layoutInCell="0" allowOverlap="1" wp14:anchorId="3139A29C" wp14:editId="499BA224">
              <wp:simplePos x="0" y="0"/>
              <wp:positionH relativeFrom="page">
                <wp:posOffset>-9525</wp:posOffset>
              </wp:positionH>
              <wp:positionV relativeFrom="page">
                <wp:posOffset>5085715</wp:posOffset>
              </wp:positionV>
              <wp:extent cx="7561580" cy="1092200"/>
              <wp:effectExtent l="0" t="0" r="20320" b="12700"/>
              <wp:wrapNone/>
              <wp:docPr id="11" name="Rectangle 11" title="&quot;0&quot;"/>
              <wp:cNvGraphicFramePr/>
              <a:graphic xmlns:a="http://schemas.openxmlformats.org/drawingml/2006/main">
                <a:graphicData uri="http://schemas.microsoft.com/office/word/2010/wordprocessingShape">
                  <wps:wsp>
                    <wps:cNvSpPr/>
                    <wps:spPr>
                      <a:xfrm>
                        <a:off x="0" y="0"/>
                        <a:ext cx="7561580" cy="1092200"/>
                      </a:xfrm>
                      <a:prstGeom prst="rect">
                        <a:avLst/>
                      </a:prstGeom>
                      <a:solidFill>
                        <a:srgbClr val="B5121B"/>
                      </a:solidFill>
                      <a:ln w="25400" cap="flat" cmpd="sng" algn="ctr">
                        <a:solidFill>
                          <a:srgbClr val="B5121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5FBD3" id="Rectangle 11" o:spid="_x0000_s1026" alt="Title: &quot;0&quot;" style="position:absolute;margin-left:-.75pt;margin-top:400.45pt;width:595.4pt;height:8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" o:allowincell="f" fillcolor="#b5121b" strokecolor="#b5121b" strokeweight="2pt">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9CC68" w14:textId="77777777" w:rsidR="007C7289" w:rsidRPr="00686676" w:rsidRDefault="007C7289" w:rsidP="007C7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7523"/>
    <w:multiLevelType w:val="hybridMultilevel"/>
    <w:tmpl w:val="433232B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0D81459"/>
    <w:multiLevelType w:val="hybridMultilevel"/>
    <w:tmpl w:val="7C7283F4"/>
    <w:lvl w:ilvl="0" w:tplc="FBDCE67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B1F1F"/>
    <w:multiLevelType w:val="hybridMultilevel"/>
    <w:tmpl w:val="26E0A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2CB2"/>
    <w:multiLevelType w:val="hybridMultilevel"/>
    <w:tmpl w:val="E6223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793BA1"/>
    <w:multiLevelType w:val="hybridMultilevel"/>
    <w:tmpl w:val="8166C5C8"/>
    <w:lvl w:ilvl="0" w:tplc="741CEB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19274B"/>
    <w:multiLevelType w:val="hybridMultilevel"/>
    <w:tmpl w:val="6686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031FB"/>
    <w:multiLevelType w:val="hybridMultilevel"/>
    <w:tmpl w:val="28F0C256"/>
    <w:lvl w:ilvl="0" w:tplc="FCAE41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F7CEE9"/>
    <w:multiLevelType w:val="hybridMultilevel"/>
    <w:tmpl w:val="D7A940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D200E0"/>
    <w:multiLevelType w:val="hybridMultilevel"/>
    <w:tmpl w:val="BF4A0C76"/>
    <w:lvl w:ilvl="0" w:tplc="CEFAC55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121D3E"/>
    <w:multiLevelType w:val="hybridMultilevel"/>
    <w:tmpl w:val="62525F68"/>
    <w:lvl w:ilvl="0" w:tplc="EF66A0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ED406E"/>
    <w:multiLevelType w:val="multilevel"/>
    <w:tmpl w:val="789ED5B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A442776"/>
    <w:multiLevelType w:val="hybridMultilevel"/>
    <w:tmpl w:val="2CEEF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6D4471"/>
    <w:multiLevelType w:val="hybridMultilevel"/>
    <w:tmpl w:val="D668D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4E11D3"/>
    <w:multiLevelType w:val="hybridMultilevel"/>
    <w:tmpl w:val="116EE5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F02483"/>
    <w:multiLevelType w:val="hybridMultilevel"/>
    <w:tmpl w:val="A9300CC6"/>
    <w:lvl w:ilvl="0" w:tplc="1B6C7E4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143214"/>
    <w:multiLevelType w:val="hybridMultilevel"/>
    <w:tmpl w:val="C750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113F9"/>
    <w:multiLevelType w:val="hybridMultilevel"/>
    <w:tmpl w:val="BC0244BC"/>
    <w:lvl w:ilvl="0" w:tplc="AC70CE8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65513A"/>
    <w:multiLevelType w:val="hybridMultilevel"/>
    <w:tmpl w:val="AF281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CA1D6D"/>
    <w:multiLevelType w:val="hybridMultilevel"/>
    <w:tmpl w:val="4124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E21D51"/>
    <w:multiLevelType w:val="hybridMultilevel"/>
    <w:tmpl w:val="DFF0B526"/>
    <w:lvl w:ilvl="0" w:tplc="CE72976A">
      <w:start w:val="1"/>
      <w:numFmt w:val="bullet"/>
      <w:pStyle w:val="Bullets-Major"/>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496D92"/>
    <w:multiLevelType w:val="hybridMultilevel"/>
    <w:tmpl w:val="75D843FE"/>
    <w:lvl w:ilvl="0" w:tplc="C4FA2536">
      <w:numFmt w:val="bullet"/>
      <w:lvlText w:val="•"/>
      <w:lvlJc w:val="left"/>
      <w:pPr>
        <w:ind w:left="720" w:hanging="720"/>
      </w:pPr>
      <w:rPr>
        <w:rFonts w:ascii="Georgia" w:eastAsia="Cambria" w:hAnsi="Georgia"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A80A20"/>
    <w:multiLevelType w:val="hybridMultilevel"/>
    <w:tmpl w:val="1E9EE3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842CF6"/>
    <w:multiLevelType w:val="hybridMultilevel"/>
    <w:tmpl w:val="135ADD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631049A"/>
    <w:multiLevelType w:val="hybridMultilevel"/>
    <w:tmpl w:val="773EE7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7B35C83"/>
    <w:multiLevelType w:val="hybridMultilevel"/>
    <w:tmpl w:val="92B6D3E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AE73CE0"/>
    <w:multiLevelType w:val="hybridMultilevel"/>
    <w:tmpl w:val="5668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8C754A"/>
    <w:multiLevelType w:val="hybridMultilevel"/>
    <w:tmpl w:val="38E86ABA"/>
    <w:lvl w:ilvl="0" w:tplc="A51ED8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0B58CE"/>
    <w:multiLevelType w:val="hybridMultilevel"/>
    <w:tmpl w:val="64C08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D926E8"/>
    <w:multiLevelType w:val="hybridMultilevel"/>
    <w:tmpl w:val="832CD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760605"/>
    <w:multiLevelType w:val="hybridMultilevel"/>
    <w:tmpl w:val="204A1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9F4A36"/>
    <w:multiLevelType w:val="hybridMultilevel"/>
    <w:tmpl w:val="8D44EDC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DBB08F7"/>
    <w:multiLevelType w:val="hybridMultilevel"/>
    <w:tmpl w:val="25582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EC572A5"/>
    <w:multiLevelType w:val="hybridMultilevel"/>
    <w:tmpl w:val="CDA83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4C0815"/>
    <w:multiLevelType w:val="hybridMultilevel"/>
    <w:tmpl w:val="9E861D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164752E"/>
    <w:multiLevelType w:val="hybridMultilevel"/>
    <w:tmpl w:val="8BDC1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7D52A9"/>
    <w:multiLevelType w:val="hybridMultilevel"/>
    <w:tmpl w:val="ABBCD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7F770C"/>
    <w:multiLevelType w:val="hybridMultilevel"/>
    <w:tmpl w:val="51861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D1694C"/>
    <w:multiLevelType w:val="hybridMultilevel"/>
    <w:tmpl w:val="AB381AA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5F478C"/>
    <w:multiLevelType w:val="hybridMultilevel"/>
    <w:tmpl w:val="EAC062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F775D3"/>
    <w:multiLevelType w:val="hybridMultilevel"/>
    <w:tmpl w:val="CE8694FA"/>
    <w:lvl w:ilvl="0" w:tplc="FCAE41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C533F"/>
    <w:multiLevelType w:val="hybridMultilevel"/>
    <w:tmpl w:val="FC0E30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FFA09AD"/>
    <w:multiLevelType w:val="hybridMultilevel"/>
    <w:tmpl w:val="74623600"/>
    <w:lvl w:ilvl="0" w:tplc="8A543E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7A12CB"/>
    <w:multiLevelType w:val="hybridMultilevel"/>
    <w:tmpl w:val="5EA2D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E629DB"/>
    <w:multiLevelType w:val="hybridMultilevel"/>
    <w:tmpl w:val="DB607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347C8E"/>
    <w:multiLevelType w:val="hybridMultilevel"/>
    <w:tmpl w:val="336AB690"/>
    <w:lvl w:ilvl="0" w:tplc="6442CC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ACD52E9"/>
    <w:multiLevelType w:val="hybridMultilevel"/>
    <w:tmpl w:val="0DB4F5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DCF48D9"/>
    <w:multiLevelType w:val="hybridMultilevel"/>
    <w:tmpl w:val="FFA4FF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EF1E37"/>
    <w:multiLevelType w:val="hybridMultilevel"/>
    <w:tmpl w:val="56580776"/>
    <w:lvl w:ilvl="0" w:tplc="BB229522">
      <w:start w:val="1"/>
      <w:numFmt w:val="decimal"/>
      <w:lvlText w:val="%1."/>
      <w:lvlJc w:val="left"/>
      <w:pPr>
        <w:tabs>
          <w:tab w:val="num" w:pos="720"/>
        </w:tabs>
        <w:ind w:left="720" w:hanging="360"/>
      </w:pPr>
      <w:rPr>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1"/>
  </w:num>
  <w:num w:numId="3">
    <w:abstractNumId w:val="33"/>
  </w:num>
  <w:num w:numId="4">
    <w:abstractNumId w:val="23"/>
  </w:num>
  <w:num w:numId="5">
    <w:abstractNumId w:val="45"/>
  </w:num>
  <w:num w:numId="6">
    <w:abstractNumId w:val="47"/>
  </w:num>
  <w:num w:numId="7">
    <w:abstractNumId w:val="10"/>
  </w:num>
  <w:num w:numId="8">
    <w:abstractNumId w:val="0"/>
  </w:num>
  <w:num w:numId="9">
    <w:abstractNumId w:val="22"/>
  </w:num>
  <w:num w:numId="10">
    <w:abstractNumId w:val="32"/>
  </w:num>
  <w:num w:numId="11">
    <w:abstractNumId w:val="5"/>
  </w:num>
  <w:num w:numId="12">
    <w:abstractNumId w:val="16"/>
  </w:num>
  <w:num w:numId="13">
    <w:abstractNumId w:val="8"/>
  </w:num>
  <w:num w:numId="14">
    <w:abstractNumId w:val="6"/>
  </w:num>
  <w:num w:numId="15">
    <w:abstractNumId w:val="43"/>
  </w:num>
  <w:num w:numId="16">
    <w:abstractNumId w:val="44"/>
  </w:num>
  <w:num w:numId="17">
    <w:abstractNumId w:val="9"/>
  </w:num>
  <w:num w:numId="18">
    <w:abstractNumId w:val="27"/>
  </w:num>
  <w:num w:numId="19">
    <w:abstractNumId w:val="12"/>
  </w:num>
  <w:num w:numId="20">
    <w:abstractNumId w:val="20"/>
  </w:num>
  <w:num w:numId="21">
    <w:abstractNumId w:val="1"/>
  </w:num>
  <w:num w:numId="22">
    <w:abstractNumId w:val="2"/>
  </w:num>
  <w:num w:numId="23">
    <w:abstractNumId w:val="39"/>
  </w:num>
  <w:num w:numId="24">
    <w:abstractNumId w:val="15"/>
  </w:num>
  <w:num w:numId="25">
    <w:abstractNumId w:val="41"/>
  </w:num>
  <w:num w:numId="26">
    <w:abstractNumId w:val="36"/>
  </w:num>
  <w:num w:numId="27">
    <w:abstractNumId w:val="13"/>
  </w:num>
  <w:num w:numId="28">
    <w:abstractNumId w:val="21"/>
  </w:num>
  <w:num w:numId="29">
    <w:abstractNumId w:val="46"/>
  </w:num>
  <w:num w:numId="30">
    <w:abstractNumId w:val="34"/>
  </w:num>
  <w:num w:numId="31">
    <w:abstractNumId w:val="37"/>
  </w:num>
  <w:num w:numId="32">
    <w:abstractNumId w:val="35"/>
  </w:num>
  <w:num w:numId="33">
    <w:abstractNumId w:val="29"/>
  </w:num>
  <w:num w:numId="34">
    <w:abstractNumId w:val="40"/>
  </w:num>
  <w:num w:numId="35">
    <w:abstractNumId w:val="17"/>
  </w:num>
  <w:num w:numId="36">
    <w:abstractNumId w:val="14"/>
  </w:num>
  <w:num w:numId="37">
    <w:abstractNumId w:val="7"/>
  </w:num>
  <w:num w:numId="38">
    <w:abstractNumId w:val="18"/>
  </w:num>
  <w:num w:numId="39">
    <w:abstractNumId w:val="25"/>
  </w:num>
  <w:num w:numId="40">
    <w:abstractNumId w:val="28"/>
  </w:num>
  <w:num w:numId="41">
    <w:abstractNumId w:val="26"/>
  </w:num>
  <w:num w:numId="42">
    <w:abstractNumId w:val="3"/>
  </w:num>
  <w:num w:numId="43">
    <w:abstractNumId w:val="42"/>
  </w:num>
  <w:num w:numId="44">
    <w:abstractNumId w:val="30"/>
  </w:num>
  <w:num w:numId="45">
    <w:abstractNumId w:val="24"/>
  </w:num>
  <w:num w:numId="46">
    <w:abstractNumId w:val="38"/>
  </w:num>
  <w:num w:numId="47">
    <w:abstractNumId w:val="4"/>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34"/>
    <w:rsid w:val="00001143"/>
    <w:rsid w:val="000516A3"/>
    <w:rsid w:val="00061B8F"/>
    <w:rsid w:val="00063CCE"/>
    <w:rsid w:val="000B2AF8"/>
    <w:rsid w:val="000E245E"/>
    <w:rsid w:val="00181136"/>
    <w:rsid w:val="002B4D17"/>
    <w:rsid w:val="002F0C41"/>
    <w:rsid w:val="003221FC"/>
    <w:rsid w:val="00332F06"/>
    <w:rsid w:val="003B5729"/>
    <w:rsid w:val="004F1FB3"/>
    <w:rsid w:val="004F7A4B"/>
    <w:rsid w:val="00593F8A"/>
    <w:rsid w:val="005A7FA8"/>
    <w:rsid w:val="005B663B"/>
    <w:rsid w:val="005C1D4F"/>
    <w:rsid w:val="005E2B5E"/>
    <w:rsid w:val="005F05D5"/>
    <w:rsid w:val="0061405B"/>
    <w:rsid w:val="00656086"/>
    <w:rsid w:val="007C7289"/>
    <w:rsid w:val="00871FEA"/>
    <w:rsid w:val="00936DD5"/>
    <w:rsid w:val="0093762B"/>
    <w:rsid w:val="009A41E4"/>
    <w:rsid w:val="009F592D"/>
    <w:rsid w:val="00A37634"/>
    <w:rsid w:val="00BB0627"/>
    <w:rsid w:val="00C8152C"/>
    <w:rsid w:val="00D24A37"/>
    <w:rsid w:val="00D8211A"/>
    <w:rsid w:val="00E401CD"/>
    <w:rsid w:val="00E81D19"/>
    <w:rsid w:val="00F50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E4A8"/>
  <w15:chartTrackingRefBased/>
  <w15:docId w15:val="{1FA1630A-2ACE-4928-876F-027E21D3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A37634"/>
    <w:pPr>
      <w:keepNext/>
      <w:keepLines/>
      <w:spacing w:before="240" w:after="0"/>
      <w:outlineLvl w:val="0"/>
    </w:pPr>
    <w:rPr>
      <w:rFonts w:ascii="Calibri" w:eastAsia="Times New Roman" w:hAnsi="Calibri" w:cs="Times New Roman"/>
      <w:b/>
      <w:bCs/>
      <w:color w:val="ED1B24"/>
      <w:sz w:val="32"/>
      <w:szCs w:val="28"/>
      <w:lang w:val="en-AU"/>
    </w:rPr>
  </w:style>
  <w:style w:type="paragraph" w:styleId="Heading2">
    <w:name w:val="heading 2"/>
    <w:basedOn w:val="Normal"/>
    <w:next w:val="Normal"/>
    <w:link w:val="Heading2Char"/>
    <w:uiPriority w:val="9"/>
    <w:semiHidden/>
    <w:unhideWhenUsed/>
    <w:qFormat/>
    <w:rsid w:val="00A37634"/>
    <w:pPr>
      <w:keepNext/>
      <w:keepLines/>
      <w:spacing w:before="40" w:after="0"/>
      <w:outlineLvl w:val="1"/>
    </w:pPr>
    <w:rPr>
      <w:rFonts w:ascii="Calibri" w:eastAsia="Times New Roman" w:hAnsi="Calibri" w:cs="Times New Roman"/>
      <w:bCs/>
      <w:color w:val="ED1B24"/>
      <w:sz w:val="28"/>
      <w:szCs w:val="26"/>
      <w:lang w:val="en-AU"/>
    </w:rPr>
  </w:style>
  <w:style w:type="paragraph" w:styleId="Heading3">
    <w:name w:val="heading 3"/>
    <w:basedOn w:val="Normal"/>
    <w:next w:val="Normal"/>
    <w:link w:val="Heading3Char"/>
    <w:uiPriority w:val="9"/>
    <w:semiHidden/>
    <w:unhideWhenUsed/>
    <w:qFormat/>
    <w:rsid w:val="00A37634"/>
    <w:pPr>
      <w:keepNext/>
      <w:keepLines/>
      <w:spacing w:before="40" w:after="0"/>
      <w:outlineLvl w:val="2"/>
    </w:pPr>
    <w:rPr>
      <w:rFonts w:ascii="Calibri" w:eastAsia="Times New Roman" w:hAnsi="Calibri" w:cs="Times New Roman"/>
      <w:b/>
      <w:bCs/>
      <w:color w:val="000000"/>
      <w:sz w:val="24"/>
      <w:lang w:val="en-AU"/>
    </w:rPr>
  </w:style>
  <w:style w:type="paragraph" w:styleId="Heading4">
    <w:name w:val="heading 4"/>
    <w:basedOn w:val="Normal"/>
    <w:next w:val="Normal"/>
    <w:link w:val="Heading4Char"/>
    <w:uiPriority w:val="9"/>
    <w:semiHidden/>
    <w:unhideWhenUsed/>
    <w:qFormat/>
    <w:rsid w:val="00A37634"/>
    <w:pPr>
      <w:keepNext/>
      <w:keepLines/>
      <w:spacing w:before="40" w:after="0"/>
      <w:outlineLvl w:val="3"/>
    </w:pPr>
    <w:rPr>
      <w:rFonts w:ascii="Calibri" w:eastAsia="Times New Roman" w:hAnsi="Calibri" w:cs="Times New Roman"/>
      <w:bCs/>
      <w:iCs/>
      <w:color w:val="000000"/>
      <w:lang w:val="en-AU"/>
    </w:rPr>
  </w:style>
  <w:style w:type="paragraph" w:styleId="Heading5">
    <w:name w:val="heading 5"/>
    <w:basedOn w:val="Normal"/>
    <w:next w:val="Normal"/>
    <w:link w:val="Heading5Char"/>
    <w:uiPriority w:val="9"/>
    <w:semiHidden/>
    <w:unhideWhenUsed/>
    <w:qFormat/>
    <w:rsid w:val="00A37634"/>
    <w:pPr>
      <w:keepNext/>
      <w:keepLines/>
      <w:spacing w:before="40" w:after="0"/>
      <w:outlineLvl w:val="4"/>
    </w:pPr>
    <w:rPr>
      <w:rFonts w:ascii="Cambria" w:eastAsia="Times New Roman" w:hAnsi="Cambria" w:cs="Times New Roman"/>
      <w:color w:val="365F9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A37634"/>
    <w:pPr>
      <w:keepNext/>
      <w:keepLines/>
      <w:spacing w:before="200" w:after="120" w:line="240" w:lineRule="auto"/>
      <w:outlineLvl w:val="0"/>
    </w:pPr>
    <w:rPr>
      <w:rFonts w:ascii="Calibri" w:eastAsia="Times New Roman" w:hAnsi="Calibri" w:cs="Times New Roman"/>
      <w:b/>
      <w:bCs/>
      <w:color w:val="ED1B24"/>
      <w:sz w:val="32"/>
      <w:szCs w:val="28"/>
      <w:lang w:val="en-AU"/>
    </w:rPr>
  </w:style>
  <w:style w:type="paragraph" w:customStyle="1" w:styleId="Heading21">
    <w:name w:val="Heading 21"/>
    <w:basedOn w:val="Normal"/>
    <w:next w:val="Normal"/>
    <w:uiPriority w:val="9"/>
    <w:qFormat/>
    <w:rsid w:val="00A37634"/>
    <w:pPr>
      <w:keepNext/>
      <w:keepLines/>
      <w:spacing w:before="200" w:after="120" w:line="240" w:lineRule="auto"/>
      <w:outlineLvl w:val="1"/>
    </w:pPr>
    <w:rPr>
      <w:rFonts w:ascii="Calibri" w:eastAsia="Times New Roman" w:hAnsi="Calibri" w:cs="Times New Roman"/>
      <w:bCs/>
      <w:color w:val="ED1B24"/>
      <w:sz w:val="28"/>
      <w:szCs w:val="26"/>
      <w:lang w:val="en-AU"/>
    </w:rPr>
  </w:style>
  <w:style w:type="paragraph" w:customStyle="1" w:styleId="Heading31">
    <w:name w:val="Heading 31"/>
    <w:basedOn w:val="Normal"/>
    <w:next w:val="Normal"/>
    <w:uiPriority w:val="9"/>
    <w:qFormat/>
    <w:rsid w:val="00A37634"/>
    <w:pPr>
      <w:keepNext/>
      <w:keepLines/>
      <w:spacing w:before="200" w:after="120" w:line="240" w:lineRule="auto"/>
      <w:outlineLvl w:val="2"/>
    </w:pPr>
    <w:rPr>
      <w:rFonts w:ascii="Calibri" w:eastAsia="Times New Roman" w:hAnsi="Calibri" w:cs="Times New Roman"/>
      <w:b/>
      <w:bCs/>
      <w:color w:val="000000"/>
      <w:sz w:val="24"/>
      <w:szCs w:val="20"/>
      <w:lang w:val="en-AU"/>
    </w:rPr>
  </w:style>
  <w:style w:type="paragraph" w:customStyle="1" w:styleId="Heading41">
    <w:name w:val="Heading 41"/>
    <w:basedOn w:val="Normal"/>
    <w:next w:val="Normal"/>
    <w:uiPriority w:val="9"/>
    <w:qFormat/>
    <w:rsid w:val="00A37634"/>
    <w:pPr>
      <w:keepNext/>
      <w:keepLines/>
      <w:spacing w:before="200" w:after="120" w:line="240" w:lineRule="auto"/>
      <w:outlineLvl w:val="3"/>
    </w:pPr>
    <w:rPr>
      <w:rFonts w:ascii="Calibri" w:eastAsia="Times New Roman" w:hAnsi="Calibri" w:cs="Times New Roman"/>
      <w:bCs/>
      <w:iCs/>
      <w:color w:val="000000"/>
      <w:szCs w:val="20"/>
      <w:lang w:val="en-AU"/>
    </w:rPr>
  </w:style>
  <w:style w:type="paragraph" w:customStyle="1" w:styleId="Heading51">
    <w:name w:val="Heading 51"/>
    <w:basedOn w:val="Normal"/>
    <w:next w:val="Normal"/>
    <w:uiPriority w:val="9"/>
    <w:semiHidden/>
    <w:unhideWhenUsed/>
    <w:qFormat/>
    <w:rsid w:val="00A37634"/>
    <w:pPr>
      <w:keepNext/>
      <w:keepLines/>
      <w:spacing w:before="40" w:after="0" w:line="276" w:lineRule="auto"/>
      <w:outlineLvl w:val="4"/>
    </w:pPr>
    <w:rPr>
      <w:rFonts w:ascii="Cambria" w:eastAsia="Times New Roman" w:hAnsi="Cambria" w:cs="Times New Roman"/>
      <w:color w:val="365F91"/>
      <w:szCs w:val="20"/>
      <w:lang w:val="en-AU"/>
    </w:rPr>
  </w:style>
  <w:style w:type="numbering" w:customStyle="1" w:styleId="NoList1">
    <w:name w:val="No List1"/>
    <w:next w:val="NoList"/>
    <w:uiPriority w:val="99"/>
    <w:semiHidden/>
    <w:unhideWhenUsed/>
    <w:rsid w:val="00A37634"/>
  </w:style>
  <w:style w:type="paragraph" w:styleId="Header">
    <w:name w:val="header"/>
    <w:basedOn w:val="Normal"/>
    <w:link w:val="HeaderChar"/>
    <w:uiPriority w:val="99"/>
    <w:unhideWhenUsed/>
    <w:rsid w:val="00A37634"/>
    <w:pPr>
      <w:spacing w:after="0" w:line="240" w:lineRule="auto"/>
    </w:pPr>
    <w:rPr>
      <w:rFonts w:ascii="Calibri" w:hAnsi="Calibri" w:cs="Times New Roman"/>
      <w:szCs w:val="20"/>
      <w:lang w:val="en-AU"/>
    </w:rPr>
  </w:style>
  <w:style w:type="character" w:customStyle="1" w:styleId="HeaderChar">
    <w:name w:val="Header Char"/>
    <w:basedOn w:val="DefaultParagraphFont"/>
    <w:link w:val="Header"/>
    <w:uiPriority w:val="99"/>
    <w:rsid w:val="00A37634"/>
    <w:rPr>
      <w:rFonts w:ascii="Calibri" w:hAnsi="Calibri" w:cs="Times New Roman"/>
      <w:szCs w:val="20"/>
    </w:rPr>
  </w:style>
  <w:style w:type="paragraph" w:styleId="Footer">
    <w:name w:val="footer"/>
    <w:basedOn w:val="Normal"/>
    <w:link w:val="FooterChar"/>
    <w:uiPriority w:val="99"/>
    <w:unhideWhenUsed/>
    <w:rsid w:val="00A37634"/>
    <w:pPr>
      <w:pBdr>
        <w:top w:val="single" w:sz="4" w:space="3" w:color="ED1B24"/>
      </w:pBdr>
      <w:tabs>
        <w:tab w:val="right" w:pos="9630"/>
      </w:tabs>
      <w:spacing w:after="0" w:line="240" w:lineRule="auto"/>
    </w:pPr>
    <w:rPr>
      <w:rFonts w:ascii="Calibri" w:hAnsi="Calibri" w:cs="Times New Roman"/>
      <w:sz w:val="19"/>
      <w:szCs w:val="20"/>
      <w:lang w:val="en-AU"/>
    </w:rPr>
  </w:style>
  <w:style w:type="character" w:customStyle="1" w:styleId="FooterChar">
    <w:name w:val="Footer Char"/>
    <w:basedOn w:val="DefaultParagraphFont"/>
    <w:link w:val="Footer"/>
    <w:uiPriority w:val="99"/>
    <w:rsid w:val="00A37634"/>
    <w:rPr>
      <w:rFonts w:ascii="Calibri" w:hAnsi="Calibri" w:cs="Times New Roman"/>
      <w:sz w:val="19"/>
      <w:szCs w:val="20"/>
    </w:rPr>
  </w:style>
  <w:style w:type="table" w:styleId="TableGrid">
    <w:name w:val="Table Grid"/>
    <w:basedOn w:val="TableNormal"/>
    <w:uiPriority w:val="39"/>
    <w:rsid w:val="00A3763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37634"/>
    <w:pPr>
      <w:keepNext/>
      <w:spacing w:before="20" w:after="20" w:line="240" w:lineRule="auto"/>
    </w:pPr>
    <w:rPr>
      <w:rFonts w:ascii="Calibri" w:hAnsi="Calibri" w:cs="Times New Roman"/>
      <w:szCs w:val="20"/>
      <w:lang w:val="en-AU"/>
    </w:rPr>
  </w:style>
  <w:style w:type="paragraph" w:styleId="Date">
    <w:name w:val="Date"/>
    <w:basedOn w:val="Normal"/>
    <w:next w:val="Normal"/>
    <w:link w:val="DateChar"/>
    <w:uiPriority w:val="99"/>
    <w:qFormat/>
    <w:rsid w:val="00A37634"/>
    <w:pPr>
      <w:spacing w:after="360" w:line="276" w:lineRule="auto"/>
    </w:pPr>
    <w:rPr>
      <w:rFonts w:ascii="Calibri" w:hAnsi="Calibri" w:cs="Times New Roman"/>
      <w:szCs w:val="20"/>
      <w:lang w:val="en-AU"/>
    </w:rPr>
  </w:style>
  <w:style w:type="character" w:customStyle="1" w:styleId="DateChar">
    <w:name w:val="Date Char"/>
    <w:basedOn w:val="DefaultParagraphFont"/>
    <w:link w:val="Date"/>
    <w:uiPriority w:val="99"/>
    <w:rsid w:val="00A37634"/>
    <w:rPr>
      <w:rFonts w:ascii="Calibri" w:hAnsi="Calibri" w:cs="Times New Roman"/>
      <w:szCs w:val="20"/>
    </w:rPr>
  </w:style>
  <w:style w:type="character" w:customStyle="1" w:styleId="Heading1Char">
    <w:name w:val="Heading 1 Char"/>
    <w:basedOn w:val="DefaultParagraphFont"/>
    <w:link w:val="Heading1"/>
    <w:uiPriority w:val="9"/>
    <w:rsid w:val="00A37634"/>
    <w:rPr>
      <w:rFonts w:ascii="Calibri" w:eastAsia="Times New Roman" w:hAnsi="Calibri" w:cs="Times New Roman"/>
      <w:b/>
      <w:bCs/>
      <w:color w:val="ED1B24"/>
      <w:sz w:val="32"/>
      <w:szCs w:val="28"/>
    </w:rPr>
  </w:style>
  <w:style w:type="character" w:customStyle="1" w:styleId="Heading2Char">
    <w:name w:val="Heading 2 Char"/>
    <w:basedOn w:val="DefaultParagraphFont"/>
    <w:link w:val="Heading2"/>
    <w:uiPriority w:val="9"/>
    <w:rsid w:val="00A37634"/>
    <w:rPr>
      <w:rFonts w:ascii="Calibri" w:eastAsia="Times New Roman" w:hAnsi="Calibri" w:cs="Times New Roman"/>
      <w:bCs/>
      <w:color w:val="ED1B24"/>
      <w:sz w:val="28"/>
      <w:szCs w:val="26"/>
    </w:rPr>
  </w:style>
  <w:style w:type="character" w:customStyle="1" w:styleId="Heading3Char">
    <w:name w:val="Heading 3 Char"/>
    <w:basedOn w:val="DefaultParagraphFont"/>
    <w:link w:val="Heading3"/>
    <w:uiPriority w:val="9"/>
    <w:rsid w:val="00A37634"/>
    <w:rPr>
      <w:rFonts w:ascii="Calibri" w:eastAsia="Times New Roman" w:hAnsi="Calibri" w:cs="Times New Roman"/>
      <w:b/>
      <w:bCs/>
      <w:color w:val="000000"/>
      <w:sz w:val="24"/>
    </w:rPr>
  </w:style>
  <w:style w:type="character" w:customStyle="1" w:styleId="Heading4Char">
    <w:name w:val="Heading 4 Char"/>
    <w:basedOn w:val="DefaultParagraphFont"/>
    <w:link w:val="Heading4"/>
    <w:uiPriority w:val="9"/>
    <w:rsid w:val="00A37634"/>
    <w:rPr>
      <w:rFonts w:ascii="Calibri" w:eastAsia="Times New Roman" w:hAnsi="Calibri" w:cs="Times New Roman"/>
      <w:bCs/>
      <w:iCs/>
      <w:color w:val="000000"/>
      <w:sz w:val="22"/>
    </w:rPr>
  </w:style>
  <w:style w:type="character" w:styleId="PageNumber">
    <w:name w:val="page number"/>
    <w:basedOn w:val="DefaultParagraphFont"/>
    <w:uiPriority w:val="99"/>
    <w:semiHidden/>
    <w:unhideWhenUsed/>
    <w:rsid w:val="00A37634"/>
    <w:rPr>
      <w:sz w:val="18"/>
    </w:rPr>
  </w:style>
  <w:style w:type="paragraph" w:customStyle="1" w:styleId="TableHeading">
    <w:name w:val="TableHeading"/>
    <w:basedOn w:val="TableText"/>
    <w:qFormat/>
    <w:rsid w:val="00A37634"/>
    <w:pPr>
      <w:spacing w:before="60" w:after="60"/>
    </w:pPr>
    <w:rPr>
      <w:color w:val="FFFFFF"/>
    </w:rPr>
  </w:style>
  <w:style w:type="paragraph" w:customStyle="1" w:styleId="ReportTitle">
    <w:name w:val="ReportTitle"/>
    <w:basedOn w:val="Normal"/>
    <w:rsid w:val="00A37634"/>
    <w:pPr>
      <w:spacing w:before="2960" w:after="4000" w:line="240" w:lineRule="auto"/>
    </w:pPr>
    <w:rPr>
      <w:rFonts w:ascii="Calibri" w:hAnsi="Calibri" w:cs="Times New Roman"/>
      <w:b/>
      <w:color w:val="FFFFFF"/>
      <w:sz w:val="60"/>
      <w:szCs w:val="20"/>
      <w:lang w:val="en-AU"/>
    </w:rPr>
  </w:style>
  <w:style w:type="paragraph" w:customStyle="1" w:styleId="CopyrightInfo">
    <w:name w:val="CopyrightInfo"/>
    <w:basedOn w:val="Normal"/>
    <w:rsid w:val="00A37634"/>
    <w:pPr>
      <w:spacing w:after="120" w:line="276" w:lineRule="auto"/>
    </w:pPr>
    <w:rPr>
      <w:rFonts w:ascii="Calibri" w:hAnsi="Calibri" w:cs="Times New Roman"/>
      <w:sz w:val="16"/>
      <w:szCs w:val="20"/>
      <w:lang w:val="en-AU"/>
    </w:rPr>
  </w:style>
  <w:style w:type="paragraph" w:customStyle="1" w:styleId="ChapterTitle">
    <w:name w:val="ChapterTitle"/>
    <w:qFormat/>
    <w:rsid w:val="00A37634"/>
    <w:pPr>
      <w:pBdr>
        <w:bottom w:val="single" w:sz="12" w:space="1" w:color="ED1B24"/>
      </w:pBdr>
      <w:spacing w:after="720" w:line="240" w:lineRule="auto"/>
      <w:outlineLvl w:val="0"/>
    </w:pPr>
    <w:rPr>
      <w:rFonts w:ascii="Calibri" w:eastAsia="Times New Roman" w:hAnsi="Calibri" w:cs="Times New Roman"/>
      <w:b/>
      <w:bCs/>
      <w:color w:val="ED1B24"/>
      <w:sz w:val="50"/>
      <w:szCs w:val="28"/>
    </w:rPr>
  </w:style>
  <w:style w:type="paragraph" w:styleId="FootnoteText">
    <w:name w:val="footnote text"/>
    <w:basedOn w:val="Normal"/>
    <w:link w:val="FootnoteTextChar"/>
    <w:uiPriority w:val="99"/>
    <w:unhideWhenUsed/>
    <w:rsid w:val="00A37634"/>
    <w:pPr>
      <w:spacing w:after="0" w:line="240" w:lineRule="auto"/>
    </w:pPr>
    <w:rPr>
      <w:rFonts w:ascii="Calibri" w:hAnsi="Calibri" w:cs="Times New Roman"/>
      <w:sz w:val="20"/>
      <w:szCs w:val="20"/>
      <w:lang w:val="en-AU"/>
    </w:rPr>
  </w:style>
  <w:style w:type="character" w:customStyle="1" w:styleId="FootnoteTextChar">
    <w:name w:val="Footnote Text Char"/>
    <w:basedOn w:val="DefaultParagraphFont"/>
    <w:link w:val="FootnoteText"/>
    <w:uiPriority w:val="99"/>
    <w:rsid w:val="00A37634"/>
    <w:rPr>
      <w:rFonts w:ascii="Calibri" w:hAnsi="Calibri" w:cs="Times New Roman"/>
      <w:sz w:val="20"/>
      <w:szCs w:val="20"/>
    </w:rPr>
  </w:style>
  <w:style w:type="character" w:styleId="FootnoteReference">
    <w:name w:val="footnote reference"/>
    <w:basedOn w:val="DefaultParagraphFont"/>
    <w:unhideWhenUsed/>
    <w:rsid w:val="00A37634"/>
    <w:rPr>
      <w:vertAlign w:val="superscript"/>
    </w:rPr>
  </w:style>
  <w:style w:type="paragraph" w:customStyle="1" w:styleId="ContentsTitle">
    <w:name w:val="ContentsTitle"/>
    <w:basedOn w:val="ChapterTitle"/>
    <w:rsid w:val="00A37634"/>
    <w:pPr>
      <w:outlineLvl w:val="9"/>
    </w:pPr>
  </w:style>
  <w:style w:type="paragraph" w:customStyle="1" w:styleId="TOCHeading1">
    <w:name w:val="TOC Heading1"/>
    <w:basedOn w:val="Heading1"/>
    <w:next w:val="Normal"/>
    <w:uiPriority w:val="39"/>
    <w:unhideWhenUsed/>
    <w:qFormat/>
    <w:rsid w:val="00A37634"/>
  </w:style>
  <w:style w:type="paragraph" w:customStyle="1" w:styleId="TOC21">
    <w:name w:val="TOC 21"/>
    <w:basedOn w:val="Normal"/>
    <w:next w:val="Normal"/>
    <w:autoRedefine/>
    <w:uiPriority w:val="39"/>
    <w:unhideWhenUsed/>
    <w:qFormat/>
    <w:rsid w:val="00A37634"/>
    <w:pPr>
      <w:spacing w:after="100" w:line="276" w:lineRule="auto"/>
      <w:ind w:left="220"/>
    </w:pPr>
    <w:rPr>
      <w:rFonts w:eastAsia="Times New Roman"/>
      <w:lang w:val="en-US" w:eastAsia="ja-JP"/>
    </w:rPr>
  </w:style>
  <w:style w:type="paragraph" w:customStyle="1" w:styleId="TOC11">
    <w:name w:val="TOC 11"/>
    <w:basedOn w:val="Normal"/>
    <w:next w:val="Normal"/>
    <w:autoRedefine/>
    <w:uiPriority w:val="39"/>
    <w:unhideWhenUsed/>
    <w:qFormat/>
    <w:rsid w:val="00A37634"/>
    <w:pPr>
      <w:spacing w:after="100" w:line="276" w:lineRule="auto"/>
    </w:pPr>
    <w:rPr>
      <w:rFonts w:eastAsia="Times New Roman"/>
      <w:b/>
      <w:lang w:val="en-US" w:eastAsia="ja-JP"/>
    </w:rPr>
  </w:style>
  <w:style w:type="paragraph" w:customStyle="1" w:styleId="TOC31">
    <w:name w:val="TOC 31"/>
    <w:basedOn w:val="Normal"/>
    <w:next w:val="Normal"/>
    <w:autoRedefine/>
    <w:uiPriority w:val="39"/>
    <w:unhideWhenUsed/>
    <w:qFormat/>
    <w:rsid w:val="00A37634"/>
    <w:pPr>
      <w:spacing w:after="100" w:line="276" w:lineRule="auto"/>
      <w:ind w:left="440"/>
    </w:pPr>
    <w:rPr>
      <w:rFonts w:eastAsia="Times New Roman"/>
      <w:lang w:val="en-US" w:eastAsia="ja-JP"/>
    </w:rPr>
  </w:style>
  <w:style w:type="table" w:customStyle="1" w:styleId="E3">
    <w:name w:val="E3"/>
    <w:basedOn w:val="TableNormal"/>
    <w:uiPriority w:val="99"/>
    <w:rsid w:val="00A37634"/>
    <w:pPr>
      <w:spacing w:after="0" w:line="240" w:lineRule="auto"/>
    </w:pPr>
    <w:rPr>
      <w:rFonts w:ascii="Calibri" w:hAnsi="Calibri" w:cs="Times New Roman"/>
      <w:szCs w:val="20"/>
    </w:rPr>
    <w:tblPr>
      <w:tblBorders>
        <w:bottom w:val="single" w:sz="4" w:space="0" w:color="000000"/>
        <w:insideH w:val="single" w:sz="4" w:space="0" w:color="000000"/>
      </w:tblBorders>
    </w:tblPr>
    <w:tblStylePr w:type="firstRow">
      <w:rPr>
        <w:rFonts w:ascii="Calibri" w:hAnsi="Calibri"/>
        <w:color w:val="FFFFFF"/>
        <w:sz w:val="22"/>
      </w:rPr>
      <w:tblPr/>
      <w:tcPr>
        <w:shd w:val="clear" w:color="auto" w:fill="ED1B24"/>
      </w:tcPr>
    </w:tblStylePr>
  </w:style>
  <w:style w:type="paragraph" w:customStyle="1" w:styleId="TableName">
    <w:name w:val="TableName"/>
    <w:basedOn w:val="TableText"/>
    <w:qFormat/>
    <w:rsid w:val="00A37634"/>
    <w:pPr>
      <w:keepLines/>
      <w:tabs>
        <w:tab w:val="left" w:pos="1080"/>
      </w:tabs>
      <w:spacing w:before="180" w:after="120"/>
      <w:ind w:left="1080" w:hanging="1080"/>
    </w:pPr>
    <w:rPr>
      <w:b/>
    </w:rPr>
  </w:style>
  <w:style w:type="paragraph" w:customStyle="1" w:styleId="Bullets-Major">
    <w:name w:val="Bullets - Major"/>
    <w:basedOn w:val="NoSpacing"/>
    <w:qFormat/>
    <w:rsid w:val="00A37634"/>
    <w:pPr>
      <w:numPr>
        <w:numId w:val="1"/>
      </w:numPr>
      <w:spacing w:after="60"/>
    </w:pPr>
    <w:rPr>
      <w:szCs w:val="22"/>
    </w:rPr>
  </w:style>
  <w:style w:type="paragraph" w:styleId="NoSpacing">
    <w:name w:val="No Spacing"/>
    <w:uiPriority w:val="1"/>
    <w:rsid w:val="00A37634"/>
    <w:pPr>
      <w:spacing w:after="0" w:line="240" w:lineRule="auto"/>
    </w:pPr>
    <w:rPr>
      <w:rFonts w:ascii="Calibri" w:hAnsi="Calibri" w:cs="Times New Roman"/>
      <w:szCs w:val="20"/>
    </w:rPr>
  </w:style>
  <w:style w:type="paragraph" w:styleId="ListParagraph">
    <w:name w:val="List Paragraph"/>
    <w:basedOn w:val="Normal"/>
    <w:uiPriority w:val="34"/>
    <w:qFormat/>
    <w:rsid w:val="00A37634"/>
    <w:pPr>
      <w:spacing w:after="120" w:line="276" w:lineRule="auto"/>
      <w:ind w:left="720"/>
      <w:contextualSpacing/>
    </w:pPr>
    <w:rPr>
      <w:rFonts w:ascii="Calibri" w:hAnsi="Calibri" w:cs="Times New Roman"/>
      <w:szCs w:val="20"/>
      <w:lang w:val="en-AU"/>
    </w:rPr>
  </w:style>
  <w:style w:type="paragraph" w:styleId="BalloonText">
    <w:name w:val="Balloon Text"/>
    <w:basedOn w:val="Normal"/>
    <w:link w:val="BalloonTextChar"/>
    <w:semiHidden/>
    <w:unhideWhenUsed/>
    <w:rsid w:val="00A37634"/>
    <w:pPr>
      <w:spacing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semiHidden/>
    <w:rsid w:val="00A37634"/>
    <w:rPr>
      <w:rFonts w:ascii="Segoe UI" w:hAnsi="Segoe UI" w:cs="Segoe UI"/>
      <w:sz w:val="18"/>
      <w:szCs w:val="18"/>
    </w:rPr>
  </w:style>
  <w:style w:type="character" w:styleId="CommentReference">
    <w:name w:val="annotation reference"/>
    <w:basedOn w:val="DefaultParagraphFont"/>
    <w:semiHidden/>
    <w:unhideWhenUsed/>
    <w:rsid w:val="00A37634"/>
    <w:rPr>
      <w:sz w:val="16"/>
      <w:szCs w:val="16"/>
    </w:rPr>
  </w:style>
  <w:style w:type="paragraph" w:styleId="CommentText">
    <w:name w:val="annotation text"/>
    <w:basedOn w:val="Normal"/>
    <w:link w:val="CommentTextChar"/>
    <w:uiPriority w:val="99"/>
    <w:unhideWhenUsed/>
    <w:rsid w:val="00A37634"/>
    <w:pPr>
      <w:spacing w:after="120" w:line="240" w:lineRule="auto"/>
    </w:pPr>
    <w:rPr>
      <w:rFonts w:ascii="Calibri" w:hAnsi="Calibri" w:cs="Times New Roman"/>
      <w:sz w:val="20"/>
      <w:szCs w:val="20"/>
      <w:lang w:val="en-AU"/>
    </w:rPr>
  </w:style>
  <w:style w:type="character" w:customStyle="1" w:styleId="CommentTextChar">
    <w:name w:val="Comment Text Char"/>
    <w:basedOn w:val="DefaultParagraphFont"/>
    <w:link w:val="CommentText"/>
    <w:uiPriority w:val="99"/>
    <w:rsid w:val="00A3763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7634"/>
    <w:rPr>
      <w:b/>
      <w:bCs/>
    </w:rPr>
  </w:style>
  <w:style w:type="character" w:customStyle="1" w:styleId="CommentSubjectChar">
    <w:name w:val="Comment Subject Char"/>
    <w:basedOn w:val="CommentTextChar"/>
    <w:link w:val="CommentSubject"/>
    <w:uiPriority w:val="99"/>
    <w:semiHidden/>
    <w:rsid w:val="00A37634"/>
    <w:rPr>
      <w:rFonts w:ascii="Calibri" w:hAnsi="Calibri" w:cs="Times New Roman"/>
      <w:b/>
      <w:bCs/>
      <w:sz w:val="20"/>
      <w:szCs w:val="20"/>
    </w:rPr>
  </w:style>
  <w:style w:type="table" w:customStyle="1" w:styleId="TableGridLight1">
    <w:name w:val="Table Grid Light1"/>
    <w:basedOn w:val="TableNormal"/>
    <w:uiPriority w:val="40"/>
    <w:rsid w:val="00A37634"/>
    <w:pPr>
      <w:spacing w:after="0" w:line="240" w:lineRule="auto"/>
    </w:pPr>
    <w:rPr>
      <w:lang w:val="en-NZ"/>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1">
    <w:name w:val="Caption1"/>
    <w:basedOn w:val="Normal"/>
    <w:next w:val="Normal"/>
    <w:unhideWhenUsed/>
    <w:qFormat/>
    <w:rsid w:val="00A37634"/>
    <w:pPr>
      <w:spacing w:after="200" w:line="240" w:lineRule="auto"/>
    </w:pPr>
    <w:rPr>
      <w:rFonts w:ascii="Calibri" w:hAnsi="Calibri" w:cs="Times New Roman"/>
      <w:i/>
      <w:iCs/>
      <w:color w:val="1F497D"/>
      <w:sz w:val="18"/>
      <w:szCs w:val="18"/>
      <w:lang w:val="en-AU"/>
    </w:rPr>
  </w:style>
  <w:style w:type="character" w:customStyle="1" w:styleId="Hyperlink1">
    <w:name w:val="Hyperlink1"/>
    <w:basedOn w:val="DefaultParagraphFont"/>
    <w:uiPriority w:val="99"/>
    <w:unhideWhenUsed/>
    <w:rsid w:val="00A37634"/>
    <w:rPr>
      <w:color w:val="0000FF"/>
      <w:u w:val="single"/>
    </w:rPr>
  </w:style>
  <w:style w:type="character" w:customStyle="1" w:styleId="UnresolvedMention1">
    <w:name w:val="Unresolved Mention1"/>
    <w:basedOn w:val="DefaultParagraphFont"/>
    <w:uiPriority w:val="99"/>
    <w:semiHidden/>
    <w:unhideWhenUsed/>
    <w:rsid w:val="00A37634"/>
    <w:rPr>
      <w:color w:val="605E5C"/>
      <w:shd w:val="clear" w:color="auto" w:fill="E1DFDD"/>
    </w:rPr>
  </w:style>
  <w:style w:type="paragraph" w:customStyle="1" w:styleId="E3Heading2">
    <w:name w:val="E3 Heading 2"/>
    <w:basedOn w:val="Heading3"/>
    <w:next w:val="Normal"/>
    <w:qFormat/>
    <w:rsid w:val="00A37634"/>
  </w:style>
  <w:style w:type="character" w:customStyle="1" w:styleId="Heading5Char">
    <w:name w:val="Heading 5 Char"/>
    <w:basedOn w:val="DefaultParagraphFont"/>
    <w:link w:val="Heading5"/>
    <w:uiPriority w:val="9"/>
    <w:semiHidden/>
    <w:rsid w:val="00A37634"/>
    <w:rPr>
      <w:rFonts w:ascii="Cambria" w:eastAsia="Times New Roman" w:hAnsi="Cambria" w:cs="Times New Roman"/>
      <w:color w:val="365F91"/>
      <w:sz w:val="22"/>
    </w:rPr>
  </w:style>
  <w:style w:type="paragraph" w:customStyle="1" w:styleId="E3FootnoteText">
    <w:name w:val="E3 Footnote Text"/>
    <w:basedOn w:val="FootnoteText"/>
    <w:qFormat/>
    <w:rsid w:val="00A37634"/>
    <w:pPr>
      <w:spacing w:line="278" w:lineRule="auto"/>
    </w:pPr>
    <w:rPr>
      <w:rFonts w:ascii="Georgia" w:eastAsia="Cambria" w:hAnsi="Georgia"/>
      <w:sz w:val="16"/>
      <w:szCs w:val="24"/>
    </w:rPr>
  </w:style>
  <w:style w:type="paragraph" w:customStyle="1" w:styleId="E3Heading3">
    <w:name w:val="E3 Heading 3"/>
    <w:basedOn w:val="Heading4"/>
    <w:next w:val="Normal"/>
    <w:link w:val="E3Heading3Char"/>
    <w:rsid w:val="00A37634"/>
  </w:style>
  <w:style w:type="paragraph" w:customStyle="1" w:styleId="E3TableHeading">
    <w:name w:val="E3 Table Heading"/>
    <w:basedOn w:val="E3FootnoteText"/>
    <w:qFormat/>
    <w:locked/>
    <w:rsid w:val="00A37634"/>
    <w:pPr>
      <w:spacing w:before="60" w:after="60" w:line="240" w:lineRule="auto"/>
    </w:pPr>
    <w:rPr>
      <w:rFonts w:ascii="Helvetica" w:eastAsia="Times New Roman" w:hAnsi="Helvetica" w:cs="Helvetica"/>
      <w:b/>
      <w:sz w:val="15"/>
      <w:szCs w:val="14"/>
    </w:rPr>
  </w:style>
  <w:style w:type="paragraph" w:customStyle="1" w:styleId="E3TableSubHeading">
    <w:name w:val="E3 Table Sub Heading"/>
    <w:qFormat/>
    <w:locked/>
    <w:rsid w:val="00A37634"/>
    <w:pPr>
      <w:spacing w:before="60" w:after="60" w:line="240" w:lineRule="auto"/>
    </w:pPr>
    <w:rPr>
      <w:rFonts w:ascii="Georgia" w:eastAsia="Times New Roman" w:hAnsi="Georgia" w:cs="Times New Roman"/>
      <w:b/>
      <w:sz w:val="14"/>
      <w:szCs w:val="14"/>
    </w:rPr>
  </w:style>
  <w:style w:type="paragraph" w:customStyle="1" w:styleId="E3Tabletext">
    <w:name w:val="E3 Table text"/>
    <w:autoRedefine/>
    <w:qFormat/>
    <w:locked/>
    <w:rsid w:val="00A37634"/>
    <w:pPr>
      <w:tabs>
        <w:tab w:val="left" w:pos="3293"/>
      </w:tabs>
      <w:spacing w:before="60" w:after="60" w:line="240" w:lineRule="auto"/>
      <w:ind w:left="35"/>
    </w:pPr>
    <w:rPr>
      <w:rFonts w:ascii="Georgia" w:eastAsia="Times New Roman" w:hAnsi="Georgia" w:cs="Times New Roman"/>
      <w:sz w:val="14"/>
      <w:szCs w:val="14"/>
    </w:rPr>
  </w:style>
  <w:style w:type="character" w:customStyle="1" w:styleId="E3Heading3Char">
    <w:name w:val="E3 Heading 3 Char"/>
    <w:basedOn w:val="Heading4Char"/>
    <w:link w:val="E3Heading3"/>
    <w:rsid w:val="00A37634"/>
    <w:rPr>
      <w:rFonts w:ascii="Calibri" w:eastAsia="Times New Roman" w:hAnsi="Calibri" w:cs="Times New Roman"/>
      <w:bCs/>
      <w:iCs/>
      <w:color w:val="000000"/>
      <w:sz w:val="22"/>
    </w:rPr>
  </w:style>
  <w:style w:type="paragraph" w:customStyle="1" w:styleId="E3Heading4">
    <w:name w:val="E3 Heading 4"/>
    <w:basedOn w:val="Heading5"/>
    <w:qFormat/>
    <w:rsid w:val="00A37634"/>
  </w:style>
  <w:style w:type="character" w:customStyle="1" w:styleId="FollowedHyperlink1">
    <w:name w:val="FollowedHyperlink1"/>
    <w:basedOn w:val="DefaultParagraphFont"/>
    <w:uiPriority w:val="99"/>
    <w:semiHidden/>
    <w:unhideWhenUsed/>
    <w:rsid w:val="00A37634"/>
    <w:rPr>
      <w:color w:val="800080"/>
      <w:u w:val="single"/>
    </w:rPr>
  </w:style>
  <w:style w:type="paragraph" w:customStyle="1" w:styleId="DRCaption">
    <w:name w:val="DR Caption"/>
    <w:basedOn w:val="Normal"/>
    <w:link w:val="DRCaptionChar"/>
    <w:qFormat/>
    <w:rsid w:val="00A37634"/>
    <w:pPr>
      <w:spacing w:before="20" w:after="40" w:line="240" w:lineRule="auto"/>
      <w:jc w:val="center"/>
    </w:pPr>
    <w:rPr>
      <w:rFonts w:ascii="Georgia" w:eastAsia="Cambria" w:hAnsi="Georgia" w:cs="Times New Roman"/>
      <w:b/>
      <w:bCs/>
      <w:sz w:val="20"/>
      <w:szCs w:val="16"/>
      <w:lang w:val="en-AU"/>
    </w:rPr>
  </w:style>
  <w:style w:type="paragraph" w:styleId="TableofFigures">
    <w:name w:val="table of figures"/>
    <w:basedOn w:val="Normal"/>
    <w:next w:val="Normal"/>
    <w:uiPriority w:val="99"/>
    <w:unhideWhenUsed/>
    <w:rsid w:val="00A37634"/>
    <w:pPr>
      <w:spacing w:after="0" w:line="276" w:lineRule="auto"/>
    </w:pPr>
    <w:rPr>
      <w:rFonts w:ascii="Calibri" w:hAnsi="Calibri" w:cs="Times New Roman"/>
      <w:szCs w:val="20"/>
      <w:lang w:val="en-AU"/>
    </w:rPr>
  </w:style>
  <w:style w:type="character" w:customStyle="1" w:styleId="DRCaptionChar">
    <w:name w:val="DR Caption Char"/>
    <w:basedOn w:val="DefaultParagraphFont"/>
    <w:link w:val="DRCaption"/>
    <w:rsid w:val="00A37634"/>
    <w:rPr>
      <w:rFonts w:ascii="Georgia" w:eastAsia="Cambria" w:hAnsi="Georgia" w:cs="Times New Roman"/>
      <w:b/>
      <w:bCs/>
      <w:sz w:val="20"/>
      <w:szCs w:val="16"/>
    </w:rPr>
  </w:style>
  <w:style w:type="character" w:customStyle="1" w:styleId="citeapp">
    <w:name w:val="cite_app"/>
    <w:rsid w:val="00A37634"/>
    <w:rPr>
      <w:rFonts w:ascii="Cambria" w:hAnsi="Cambria"/>
      <w:bdr w:val="none" w:sz="0" w:space="0" w:color="auto"/>
      <w:shd w:val="clear" w:color="auto" w:fill="CCFF33"/>
    </w:rPr>
  </w:style>
  <w:style w:type="character" w:customStyle="1" w:styleId="stddocNumber">
    <w:name w:val="std_docNumber"/>
    <w:rsid w:val="00A37634"/>
    <w:rPr>
      <w:rFonts w:ascii="Cambria" w:hAnsi="Cambria"/>
      <w:bdr w:val="none" w:sz="0" w:space="0" w:color="auto"/>
      <w:shd w:val="clear" w:color="auto" w:fill="F2DBDB"/>
    </w:rPr>
  </w:style>
  <w:style w:type="character" w:customStyle="1" w:styleId="stddocPartNumber">
    <w:name w:val="std_docPartNumber"/>
    <w:rsid w:val="00A37634"/>
    <w:rPr>
      <w:rFonts w:ascii="Cambria" w:hAnsi="Cambria"/>
      <w:bdr w:val="none" w:sz="0" w:space="0" w:color="auto"/>
      <w:shd w:val="clear" w:color="auto" w:fill="EAF1DD"/>
    </w:rPr>
  </w:style>
  <w:style w:type="character" w:customStyle="1" w:styleId="stdpublisher">
    <w:name w:val="std_publisher"/>
    <w:rsid w:val="00A37634"/>
    <w:rPr>
      <w:rFonts w:ascii="Cambria" w:hAnsi="Cambria"/>
      <w:bdr w:val="none" w:sz="0" w:space="0" w:color="auto"/>
      <w:shd w:val="clear" w:color="auto" w:fill="C6D9F1"/>
    </w:rPr>
  </w:style>
  <w:style w:type="paragraph" w:customStyle="1" w:styleId="ForewordText">
    <w:name w:val="Foreword Text"/>
    <w:basedOn w:val="Normal"/>
    <w:rsid w:val="00A37634"/>
    <w:pPr>
      <w:spacing w:after="120" w:line="240" w:lineRule="atLeast"/>
      <w:jc w:val="both"/>
    </w:pPr>
    <w:rPr>
      <w:rFonts w:ascii="Cambria" w:eastAsia="Calibri" w:hAnsi="Cambria" w:cs="Times New Roman"/>
      <w:lang w:val="en-AU"/>
    </w:rPr>
  </w:style>
  <w:style w:type="paragraph" w:customStyle="1" w:styleId="Default">
    <w:name w:val="Default"/>
    <w:rsid w:val="00A37634"/>
    <w:pPr>
      <w:autoSpaceDE w:val="0"/>
      <w:autoSpaceDN w:val="0"/>
      <w:adjustRightInd w:val="0"/>
      <w:spacing w:after="0" w:line="240" w:lineRule="auto"/>
    </w:pPr>
    <w:rPr>
      <w:rFonts w:ascii="Gotham Light" w:hAnsi="Gotham Light" w:cs="Gotham Light"/>
      <w:color w:val="000000"/>
      <w:sz w:val="24"/>
      <w:szCs w:val="24"/>
    </w:rPr>
  </w:style>
  <w:style w:type="paragraph" w:customStyle="1" w:styleId="tabletitle">
    <w:name w:val="table title"/>
    <w:basedOn w:val="Normal"/>
    <w:rsid w:val="00A37634"/>
    <w:pPr>
      <w:keepLines/>
      <w:spacing w:after="200" w:line="240" w:lineRule="auto"/>
    </w:pPr>
    <w:rPr>
      <w:rFonts w:ascii="Arial" w:eastAsia="Times New Roman" w:hAnsi="Arial" w:cs="Times New Roman"/>
      <w:b/>
      <w:sz w:val="20"/>
      <w:szCs w:val="20"/>
      <w:lang w:val="en-US" w:eastAsia="en-GB"/>
    </w:rPr>
  </w:style>
  <w:style w:type="paragraph" w:customStyle="1" w:styleId="TABLE-title">
    <w:name w:val="TABLE-title"/>
    <w:basedOn w:val="Normal"/>
    <w:next w:val="Normal"/>
    <w:qFormat/>
    <w:rsid w:val="00A37634"/>
    <w:pPr>
      <w:keepNext/>
      <w:snapToGrid w:val="0"/>
      <w:spacing w:before="100" w:after="200" w:line="240" w:lineRule="auto"/>
      <w:jc w:val="center"/>
    </w:pPr>
    <w:rPr>
      <w:rFonts w:ascii="Arial" w:eastAsia="Times New Roman" w:hAnsi="Arial" w:cs="Arial"/>
      <w:b/>
      <w:bCs/>
      <w:spacing w:val="8"/>
      <w:sz w:val="20"/>
      <w:szCs w:val="20"/>
      <w:lang w:eastAsia="zh-CN"/>
    </w:rPr>
  </w:style>
  <w:style w:type="paragraph" w:styleId="Revision">
    <w:name w:val="Revision"/>
    <w:hidden/>
    <w:uiPriority w:val="99"/>
    <w:semiHidden/>
    <w:rsid w:val="00A37634"/>
    <w:pPr>
      <w:spacing w:after="0" w:line="240" w:lineRule="auto"/>
    </w:pPr>
    <w:rPr>
      <w:rFonts w:ascii="Calibri" w:hAnsi="Calibri" w:cs="Times New Roman"/>
      <w:szCs w:val="20"/>
    </w:rPr>
  </w:style>
  <w:style w:type="character" w:customStyle="1" w:styleId="Heading1Char1">
    <w:name w:val="Heading 1 Char1"/>
    <w:basedOn w:val="DefaultParagraphFont"/>
    <w:uiPriority w:val="9"/>
    <w:rsid w:val="00A37634"/>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basedOn w:val="DefaultParagraphFont"/>
    <w:uiPriority w:val="9"/>
    <w:semiHidden/>
    <w:rsid w:val="00A37634"/>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basedOn w:val="DefaultParagraphFont"/>
    <w:uiPriority w:val="9"/>
    <w:semiHidden/>
    <w:rsid w:val="00A37634"/>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basedOn w:val="DefaultParagraphFont"/>
    <w:uiPriority w:val="9"/>
    <w:semiHidden/>
    <w:rsid w:val="00A37634"/>
    <w:rPr>
      <w:rFonts w:asciiTheme="majorHAnsi" w:eastAsiaTheme="majorEastAsia" w:hAnsiTheme="majorHAnsi" w:cstheme="majorBidi"/>
      <w:i/>
      <w:iCs/>
      <w:color w:val="2F5496" w:themeColor="accent1" w:themeShade="BF"/>
      <w:lang w:val="en-GB"/>
    </w:rPr>
  </w:style>
  <w:style w:type="character" w:styleId="Hyperlink">
    <w:name w:val="Hyperlink"/>
    <w:basedOn w:val="DefaultParagraphFont"/>
    <w:uiPriority w:val="99"/>
    <w:unhideWhenUsed/>
    <w:rsid w:val="00A37634"/>
    <w:rPr>
      <w:color w:val="0563C1" w:themeColor="hyperlink"/>
      <w:u w:val="single"/>
    </w:rPr>
  </w:style>
  <w:style w:type="character" w:customStyle="1" w:styleId="Heading5Char1">
    <w:name w:val="Heading 5 Char1"/>
    <w:basedOn w:val="DefaultParagraphFont"/>
    <w:uiPriority w:val="9"/>
    <w:semiHidden/>
    <w:rsid w:val="00A37634"/>
    <w:rPr>
      <w:rFonts w:asciiTheme="majorHAnsi" w:eastAsiaTheme="majorEastAsia" w:hAnsiTheme="majorHAnsi" w:cstheme="majorBidi"/>
      <w:color w:val="2F5496" w:themeColor="accent1" w:themeShade="BF"/>
      <w:lang w:val="en-GB"/>
    </w:rPr>
  </w:style>
  <w:style w:type="character" w:styleId="FollowedHyperlink">
    <w:name w:val="FollowedHyperlink"/>
    <w:basedOn w:val="DefaultParagraphFont"/>
    <w:uiPriority w:val="99"/>
    <w:semiHidden/>
    <w:unhideWhenUsed/>
    <w:rsid w:val="00A37634"/>
    <w:rPr>
      <w:color w:val="954F72" w:themeColor="followedHyperlink"/>
      <w:u w:val="single"/>
    </w:rPr>
  </w:style>
  <w:style w:type="paragraph" w:styleId="TOC1">
    <w:name w:val="toc 1"/>
    <w:basedOn w:val="Normal"/>
    <w:next w:val="Normal"/>
    <w:autoRedefine/>
    <w:uiPriority w:val="39"/>
    <w:unhideWhenUsed/>
    <w:rsid w:val="00332F06"/>
    <w:pPr>
      <w:spacing w:after="100"/>
    </w:pPr>
  </w:style>
  <w:style w:type="paragraph" w:styleId="TOC2">
    <w:name w:val="toc 2"/>
    <w:basedOn w:val="Normal"/>
    <w:next w:val="Normal"/>
    <w:autoRedefine/>
    <w:uiPriority w:val="39"/>
    <w:unhideWhenUsed/>
    <w:rsid w:val="00332F0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7.emf"/><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martappliances2019@sa.gov.au" TargetMode="External"/><Relationship Id="rId23" Type="http://schemas.openxmlformats.org/officeDocument/2006/relationships/image" Target="media/image12.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sa.gov.au/LZ/B/CURRENT/NATIONAL%20ELECTRICITY%20(SOUTH%20AUSTRALIA)%20(RETAILER%20RELIABILITY%20OBLIGATION)%20AMENDMENT%20BILL%202019.aspx" TargetMode="External"/><Relationship Id="rId13" Type="http://schemas.openxmlformats.org/officeDocument/2006/relationships/hyperlink" Target="https://www.aph.gov.au/Parliamentary_Business/Committees/Senate/Electric_Vehicles" TargetMode="External"/><Relationship Id="rId18" Type="http://schemas.openxmlformats.org/officeDocument/2006/relationships/hyperlink" Target="https://echonet.jp/product_en/echonet_lite_specification/" TargetMode="External"/><Relationship Id="rId3" Type="http://schemas.openxmlformats.org/officeDocument/2006/relationships/hyperlink" Target="https://sapc.standards.org.au/sapc/public/listOpenCommentingPublication.action" TargetMode="External"/><Relationship Id="rId21" Type="http://schemas.openxmlformats.org/officeDocument/2006/relationships/hyperlink" Target="https://www.aemo.com.au/Electricity/National-Electricity-Market-NEM/Emergency-Management/RERT-panel-expressions-of-interest" TargetMode="External"/><Relationship Id="rId7" Type="http://schemas.openxmlformats.org/officeDocument/2006/relationships/hyperlink" Target="https://e3p.jrc.ec.europa.eu/publications/proceedings-9th-international-conference-energy-efficiency-domestic-appliances-and-0" TargetMode="External"/><Relationship Id="rId12" Type="http://schemas.openxmlformats.org/officeDocument/2006/relationships/hyperlink" Target="http://www.energyrating.gov.au/document/policy-framework-hot-water-systems-australia-new-zealand" TargetMode="External"/><Relationship Id="rId17" Type="http://schemas.openxmlformats.org/officeDocument/2006/relationships/hyperlink" Target="https://www.agl.com.au/solar-renewables/projects/peak-energy-rewards-managed-for-you" TargetMode="External"/><Relationship Id="rId2" Type="http://schemas.openxmlformats.org/officeDocument/2006/relationships/hyperlink" Target="http://www.energyrating.gov.au/document/consultation-regulation-impact-statement-mandating-smart-appliance-interfaces-air" TargetMode="External"/><Relationship Id="rId16" Type="http://schemas.openxmlformats.org/officeDocument/2006/relationships/hyperlink" Target="https://arena.gov.au/news/aemo-arena-demand-response/" TargetMode="External"/><Relationship Id="rId20" Type="http://schemas.openxmlformats.org/officeDocument/2006/relationships/hyperlink" Target="https://www.aemc.gov.au/rule-changes/wholesale-demand-response-mechanism" TargetMode="External"/><Relationship Id="rId1" Type="http://schemas.openxmlformats.org/officeDocument/2006/relationships/hyperlink" Target="https://www.aemc.gov.au/rule-changes/wholesale-demand-response-mechanism" TargetMode="External"/><Relationship Id="rId6" Type="http://schemas.openxmlformats.org/officeDocument/2006/relationships/hyperlink" Target="http://www.energyrating.gov.au/products-themes/other/swimming-pool-pumps" TargetMode="External"/><Relationship Id="rId11" Type="http://schemas.openxmlformats.org/officeDocument/2006/relationships/hyperlink" Target="https://www.abc.net.au/news/2019-01-26/victorian-blackouts-what-caused-them-and-is-this-the-new-normal/10751412" TargetMode="External"/><Relationship Id="rId5" Type="http://schemas.openxmlformats.org/officeDocument/2006/relationships/hyperlink" Target="http://www.bom.gov.au/climate/current/statements/scs68.pdf" TargetMode="External"/><Relationship Id="rId15" Type="http://schemas.openxmlformats.org/officeDocument/2006/relationships/hyperlink" Target="https://webstore.iec.ch/publication/33644" TargetMode="External"/><Relationship Id="rId23" Type="http://schemas.openxmlformats.org/officeDocument/2006/relationships/hyperlink" Target="https://www.energystar.gov/products/spec/connected_thermostats_specification_v1_0_pd" TargetMode="External"/><Relationship Id="rId10" Type="http://schemas.openxmlformats.org/officeDocument/2006/relationships/hyperlink" Target="http://www.smh.com.au/news/environment/we-love-a-sunburnt-country-our-aircons-too/2009/02/02/1233423135557.html" TargetMode="External"/><Relationship Id="rId19" Type="http://schemas.openxmlformats.org/officeDocument/2006/relationships/hyperlink" Target="https://sapc.standards.org.au/sapc/public/listOpenCommentingPublication.action" TargetMode="External"/><Relationship Id="rId4" Type="http://schemas.openxmlformats.org/officeDocument/2006/relationships/hyperlink" Target="http://forecasting.aemo.com.au/" TargetMode="External"/><Relationship Id="rId9" Type="http://schemas.openxmlformats.org/officeDocument/2006/relationships/hyperlink" Target="http://www.smh.com.au/articles/2004/10/24/1098556297439.html" TargetMode="External"/><Relationship Id="rId14" Type="http://schemas.openxmlformats.org/officeDocument/2006/relationships/hyperlink" Target="https://www.sae.org/standards/content/j1772_201710/" TargetMode="External"/><Relationship Id="rId22" Type="http://schemas.openxmlformats.org/officeDocument/2006/relationships/hyperlink" Target="https://echonet.jp/product_en/echonet_lite_specific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44CACA1706754DB622D2AAEDE325E7" ma:contentTypeVersion="7" ma:contentTypeDescription="Create a new document." ma:contentTypeScope="" ma:versionID="d0bb310b2bac4183ee71c2f82b6702d9">
  <xsd:schema xmlns:xsd="http://www.w3.org/2001/XMLSchema" xmlns:xs="http://www.w3.org/2001/XMLSchema" xmlns:p="http://schemas.microsoft.com/office/2006/metadata/properties" xmlns:ns3="c41a35eb-90fb-4d69-bdc3-7450dc540d05" xmlns:ns4="75d5780c-1447-4e22-b605-d83ca17c6410" targetNamespace="http://schemas.microsoft.com/office/2006/metadata/properties" ma:root="true" ma:fieldsID="a9904e9433c011d7c9103f399df217d7" ns3:_="" ns4:_="">
    <xsd:import namespace="c41a35eb-90fb-4d69-bdc3-7450dc540d05"/>
    <xsd:import namespace="75d5780c-1447-4e22-b605-d83ca17c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a35eb-90fb-4d69-bdc3-7450dc540d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5780c-1447-4e22-b605-d83ca17c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6BE30-5991-49C3-8070-05B3C989AB00}">
  <ds:schemaRefs>
    <ds:schemaRef ds:uri="http://schemas.microsoft.com/sharepoint/v3/contenttype/forms"/>
  </ds:schemaRefs>
</ds:datastoreItem>
</file>

<file path=customXml/itemProps2.xml><?xml version="1.0" encoding="utf-8"?>
<ds:datastoreItem xmlns:ds="http://schemas.openxmlformats.org/officeDocument/2006/customXml" ds:itemID="{FDB4B139-96D2-411A-8C41-76501C4EB243}">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c41a35eb-90fb-4d69-bdc3-7450dc540d05"/>
    <ds:schemaRef ds:uri="http://purl.org/dc/terms/"/>
    <ds:schemaRef ds:uri="http://purl.org/dc/elements/1.1/"/>
    <ds:schemaRef ds:uri="http://schemas.openxmlformats.org/package/2006/metadata/core-properties"/>
    <ds:schemaRef ds:uri="75d5780c-1447-4e22-b605-d83ca17c6410"/>
    <ds:schemaRef ds:uri="http://purl.org/dc/dcmitype/"/>
  </ds:schemaRefs>
</ds:datastoreItem>
</file>

<file path=customXml/itemProps3.xml><?xml version="1.0" encoding="utf-8"?>
<ds:datastoreItem xmlns:ds="http://schemas.openxmlformats.org/officeDocument/2006/customXml" ds:itemID="{C62EBDBF-DE26-4F42-8ACF-F016B0975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a35eb-90fb-4d69-bdc3-7450dc540d05"/>
    <ds:schemaRef ds:uri="75d5780c-1447-4e22-b605-d83ca17c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271F5-17BF-470C-8744-452EC5D4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8B653BB4.dotm</Template>
  <TotalTime>97</TotalTime>
  <Pages>62</Pages>
  <Words>21887</Words>
  <Characters>124760</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Simmonds, James (DEM)</dc:creator>
  <cp:keywords/>
  <dc:description/>
  <cp:lastModifiedBy>Tom Hulse</cp:lastModifiedBy>
  <cp:revision>19</cp:revision>
  <cp:lastPrinted>2019-08-12T03:50:00Z</cp:lastPrinted>
  <dcterms:created xsi:type="dcterms:W3CDTF">2019-08-12T02:20:00Z</dcterms:created>
  <dcterms:modified xsi:type="dcterms:W3CDTF">2019-08-13T02:19:00Z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0x0101004744CACA1706754DB622D2AAEDE325E7</vt:lpwstr>
  </property>
</Properties>
</file>