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A6" w:rsidRPr="00C06BA6" w:rsidRDefault="00845304" w:rsidP="00C06BA6">
      <w:pPr>
        <w:rPr>
          <w:lang w:val="en-US"/>
        </w:rPr>
      </w:pPr>
      <w:proofErr w:type="gramStart"/>
      <w:r>
        <w:rPr>
          <w:lang w:val="en-US"/>
        </w:rPr>
        <w:t>f</w:t>
      </w:r>
      <w:proofErr w:type="gramEnd"/>
    </w:p>
    <w:p w:rsidR="003E2D79" w:rsidRPr="001444B0" w:rsidRDefault="003E2D79" w:rsidP="00D469C0">
      <w:pPr>
        <w:pStyle w:val="NormalWeb"/>
      </w:pPr>
    </w:p>
    <w:p w:rsidR="001444B0" w:rsidRDefault="001444B0" w:rsidP="00D469C0">
      <w:pPr>
        <w:pStyle w:val="NormalWeb"/>
      </w:pPr>
    </w:p>
    <w:p w:rsidR="00C06BA6" w:rsidRDefault="000D5A7D" w:rsidP="000D5A7D">
      <w:pPr>
        <w:tabs>
          <w:tab w:val="left" w:pos="6330"/>
        </w:tabs>
        <w:spacing w:line="240" w:lineRule="auto"/>
      </w:pPr>
      <w:r>
        <w:tab/>
      </w:r>
    </w:p>
    <w:p w:rsidR="00C06BA6" w:rsidRDefault="00C06BA6">
      <w:pPr>
        <w:spacing w:line="240" w:lineRule="auto"/>
      </w:pPr>
    </w:p>
    <w:p w:rsidR="00C06BA6" w:rsidRDefault="00C06BA6">
      <w:pPr>
        <w:spacing w:line="240" w:lineRule="auto"/>
      </w:pPr>
    </w:p>
    <w:p w:rsidR="00C06BA6" w:rsidRDefault="00C06BA6">
      <w:pPr>
        <w:spacing w:line="240" w:lineRule="auto"/>
      </w:pPr>
    </w:p>
    <w:p w:rsidR="00C06BA6" w:rsidRDefault="00C06BA6">
      <w:pPr>
        <w:spacing w:line="240" w:lineRule="auto"/>
      </w:pPr>
    </w:p>
    <w:p w:rsidR="00C06BA6" w:rsidRDefault="00C06BA6">
      <w:pPr>
        <w:spacing w:line="240" w:lineRule="auto"/>
      </w:pPr>
    </w:p>
    <w:p w:rsidR="00C06BA6" w:rsidRDefault="00C06BA6">
      <w:pPr>
        <w:spacing w:line="240" w:lineRule="auto"/>
        <w:rPr>
          <w:b/>
          <w:sz w:val="48"/>
          <w:szCs w:val="48"/>
        </w:rPr>
      </w:pPr>
    </w:p>
    <w:p w:rsidR="00C06BA6" w:rsidRDefault="00C06BA6">
      <w:pPr>
        <w:spacing w:line="240" w:lineRule="auto"/>
        <w:rPr>
          <w:b/>
          <w:sz w:val="48"/>
          <w:szCs w:val="48"/>
        </w:rPr>
      </w:pPr>
    </w:p>
    <w:p w:rsidR="00C06BA6" w:rsidRDefault="00C06BA6">
      <w:pPr>
        <w:spacing w:line="240" w:lineRule="auto"/>
        <w:rPr>
          <w:b/>
          <w:sz w:val="48"/>
          <w:szCs w:val="48"/>
        </w:rPr>
      </w:pPr>
    </w:p>
    <w:p w:rsidR="00C06BA6" w:rsidRDefault="00C06BA6" w:rsidP="00C06BA6">
      <w:pPr>
        <w:spacing w:before="120" w:after="120" w:line="240" w:lineRule="auto"/>
        <w:jc w:val="center"/>
        <w:rPr>
          <w:b/>
          <w:sz w:val="48"/>
          <w:szCs w:val="48"/>
        </w:rPr>
      </w:pPr>
      <w:r w:rsidRPr="00C06BA6">
        <w:rPr>
          <w:b/>
          <w:sz w:val="48"/>
          <w:szCs w:val="48"/>
        </w:rPr>
        <w:t xml:space="preserve">GEMS Fees Review </w:t>
      </w:r>
      <w:r>
        <w:rPr>
          <w:b/>
          <w:sz w:val="48"/>
          <w:szCs w:val="48"/>
        </w:rPr>
        <w:t>2016-17</w:t>
      </w:r>
    </w:p>
    <w:p w:rsidR="00C06BA6" w:rsidRPr="00C06BA6" w:rsidRDefault="00C06BA6" w:rsidP="00C06BA6">
      <w:pPr>
        <w:spacing w:before="120" w:after="120" w:line="240" w:lineRule="auto"/>
        <w:jc w:val="center"/>
        <w:rPr>
          <w:b/>
          <w:sz w:val="48"/>
          <w:szCs w:val="48"/>
        </w:rPr>
      </w:pPr>
      <w:r w:rsidRPr="00C06BA6">
        <w:rPr>
          <w:b/>
          <w:sz w:val="48"/>
          <w:szCs w:val="48"/>
        </w:rPr>
        <w:t>Consultation</w:t>
      </w:r>
    </w:p>
    <w:p w:rsidR="00C06BA6" w:rsidRDefault="00C06BA6">
      <w:pPr>
        <w:spacing w:line="240" w:lineRule="auto"/>
      </w:pPr>
    </w:p>
    <w:p w:rsidR="00C06BA6" w:rsidRPr="00C06BA6" w:rsidRDefault="00C06BA6" w:rsidP="00C06BA6">
      <w:pPr>
        <w:spacing w:line="240" w:lineRule="auto"/>
        <w:jc w:val="center"/>
        <w:rPr>
          <w:b/>
          <w:sz w:val="44"/>
          <w:szCs w:val="44"/>
        </w:rPr>
      </w:pPr>
    </w:p>
    <w:p w:rsidR="00C06BA6" w:rsidRDefault="00C06BA6">
      <w:pPr>
        <w:spacing w:line="240" w:lineRule="auto"/>
      </w:pPr>
    </w:p>
    <w:p w:rsidR="00C06BA6" w:rsidRDefault="00C06BA6">
      <w:pPr>
        <w:spacing w:line="240" w:lineRule="auto"/>
        <w:rPr>
          <w:rFonts w:ascii="Times New Roman" w:hAnsi="Times New Roman"/>
          <w:color w:val="auto"/>
          <w:lang w:eastAsia="en-AU"/>
        </w:rPr>
      </w:pPr>
      <w:r>
        <w:br w:type="page"/>
      </w:r>
    </w:p>
    <w:p w:rsidR="004F58DC" w:rsidRPr="0064389C" w:rsidRDefault="00490B3D" w:rsidP="00D469C0">
      <w:pPr>
        <w:pStyle w:val="NormalWeb"/>
        <w:rPr>
          <w:rFonts w:ascii="Arial" w:hAnsi="Arial" w:cs="Arial"/>
          <w:b/>
          <w:color w:val="7F7F7F" w:themeColor="text1" w:themeTint="80"/>
          <w:sz w:val="40"/>
          <w:szCs w:val="40"/>
        </w:rPr>
        <w:sectPr w:rsidR="004F58DC" w:rsidRPr="0064389C" w:rsidSect="00C06BA6">
          <w:headerReference w:type="even" r:id="rId8"/>
          <w:headerReference w:type="default" r:id="rId9"/>
          <w:footerReference w:type="even" r:id="rId10"/>
          <w:footerReference w:type="default" r:id="rId11"/>
          <w:headerReference w:type="first" r:id="rId12"/>
          <w:footerReference w:type="first" r:id="rId13"/>
          <w:pgSz w:w="11906" w:h="16838"/>
          <w:pgMar w:top="993" w:right="1466" w:bottom="567" w:left="1440" w:header="708" w:footer="708" w:gutter="0"/>
          <w:cols w:space="708"/>
          <w:titlePg/>
          <w:docGrid w:linePitch="360"/>
        </w:sectPr>
      </w:pPr>
      <w:hyperlink r:id="rId14" w:history="1"/>
    </w:p>
    <w:p w:rsidR="00081325" w:rsidRDefault="00924A08" w:rsidP="00C06BA6">
      <w:pPr>
        <w:rPr>
          <w:noProof/>
        </w:rPr>
      </w:pPr>
      <w:bookmarkStart w:id="0" w:name="_Toc320269464"/>
      <w:bookmarkStart w:id="1" w:name="_Toc326312052"/>
      <w:r w:rsidRPr="00C06BA6">
        <w:rPr>
          <w:b/>
          <w:sz w:val="36"/>
          <w:szCs w:val="36"/>
        </w:rPr>
        <w:t>Table of Contents</w:t>
      </w:r>
      <w:bookmarkEnd w:id="0"/>
      <w:bookmarkEnd w:id="1"/>
      <w:r w:rsidR="00D74399">
        <w:rPr>
          <w:b/>
          <w:sz w:val="36"/>
          <w:szCs w:val="36"/>
        </w:rPr>
        <w:fldChar w:fldCharType="begin"/>
      </w:r>
      <w:r w:rsidR="00B8625F" w:rsidRPr="00C06BA6">
        <w:rPr>
          <w:b/>
          <w:sz w:val="36"/>
          <w:szCs w:val="36"/>
        </w:rPr>
        <w:instrText xml:space="preserve"> TOC  \* MERGEFORMAT </w:instrText>
      </w:r>
      <w:r w:rsidR="00D74399">
        <w:rPr>
          <w:b/>
          <w:sz w:val="36"/>
          <w:szCs w:val="36"/>
        </w:rPr>
        <w:fldChar w:fldCharType="separate"/>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1.0 Executive Summary</w:t>
      </w:r>
      <w:r>
        <w:rPr>
          <w:noProof/>
        </w:rPr>
        <w:tab/>
      </w:r>
      <w:r>
        <w:rPr>
          <w:noProof/>
        </w:rPr>
        <w:fldChar w:fldCharType="begin"/>
      </w:r>
      <w:r>
        <w:rPr>
          <w:noProof/>
        </w:rPr>
        <w:instrText xml:space="preserve"> PAGEREF _Toc471476031 \h </w:instrText>
      </w:r>
      <w:r>
        <w:rPr>
          <w:noProof/>
        </w:rPr>
      </w:r>
      <w:r>
        <w:rPr>
          <w:noProof/>
        </w:rPr>
        <w:fldChar w:fldCharType="separate"/>
      </w:r>
      <w:r w:rsidR="00490B3D">
        <w:rPr>
          <w:noProof/>
        </w:rPr>
        <w:t>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1.1 Cost recovery rate</w:t>
      </w:r>
      <w:r>
        <w:rPr>
          <w:noProof/>
        </w:rPr>
        <w:tab/>
      </w:r>
      <w:r>
        <w:rPr>
          <w:noProof/>
        </w:rPr>
        <w:fldChar w:fldCharType="begin"/>
      </w:r>
      <w:r>
        <w:rPr>
          <w:noProof/>
        </w:rPr>
        <w:instrText xml:space="preserve"> PAGEREF _Toc471476032 \h </w:instrText>
      </w:r>
      <w:r>
        <w:rPr>
          <w:noProof/>
        </w:rPr>
      </w:r>
      <w:r>
        <w:rPr>
          <w:noProof/>
        </w:rPr>
        <w:fldChar w:fldCharType="separate"/>
      </w:r>
      <w:r w:rsidR="00490B3D">
        <w:rPr>
          <w:noProof/>
        </w:rPr>
        <w:t>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1.2 Allocation of products to fee bands</w:t>
      </w:r>
      <w:r>
        <w:rPr>
          <w:noProof/>
        </w:rPr>
        <w:tab/>
      </w:r>
      <w:r>
        <w:rPr>
          <w:noProof/>
        </w:rPr>
        <w:fldChar w:fldCharType="begin"/>
      </w:r>
      <w:r>
        <w:rPr>
          <w:noProof/>
        </w:rPr>
        <w:instrText xml:space="preserve"> PAGEREF _Toc471476033 \h </w:instrText>
      </w:r>
      <w:r>
        <w:rPr>
          <w:noProof/>
        </w:rPr>
      </w:r>
      <w:r>
        <w:rPr>
          <w:noProof/>
        </w:rPr>
        <w:fldChar w:fldCharType="separate"/>
      </w:r>
      <w:r w:rsidR="00490B3D">
        <w:rPr>
          <w:noProof/>
        </w:rPr>
        <w:t>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1.3 The fee model</w:t>
      </w:r>
      <w:r>
        <w:rPr>
          <w:noProof/>
        </w:rPr>
        <w:tab/>
      </w:r>
      <w:r>
        <w:rPr>
          <w:noProof/>
        </w:rPr>
        <w:fldChar w:fldCharType="begin"/>
      </w:r>
      <w:r>
        <w:rPr>
          <w:noProof/>
        </w:rPr>
        <w:instrText xml:space="preserve"> PAGEREF _Toc471476034 \h </w:instrText>
      </w:r>
      <w:r>
        <w:rPr>
          <w:noProof/>
        </w:rPr>
      </w:r>
      <w:r>
        <w:rPr>
          <w:noProof/>
        </w:rPr>
        <w:fldChar w:fldCharType="separate"/>
      </w:r>
      <w:r w:rsidR="00490B3D">
        <w:rPr>
          <w:noProof/>
        </w:rPr>
        <w:t>5</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1.4 Greater transparency</w:t>
      </w:r>
      <w:r>
        <w:rPr>
          <w:noProof/>
        </w:rPr>
        <w:tab/>
      </w:r>
      <w:r>
        <w:rPr>
          <w:noProof/>
        </w:rPr>
        <w:fldChar w:fldCharType="begin"/>
      </w:r>
      <w:r>
        <w:rPr>
          <w:noProof/>
        </w:rPr>
        <w:instrText xml:space="preserve"> PAGEREF _Toc471476035 \h </w:instrText>
      </w:r>
      <w:r>
        <w:rPr>
          <w:noProof/>
        </w:rPr>
      </w:r>
      <w:r>
        <w:rPr>
          <w:noProof/>
        </w:rPr>
        <w:fldChar w:fldCharType="separate"/>
      </w:r>
      <w:r w:rsidR="00490B3D">
        <w:rPr>
          <w:noProof/>
        </w:rPr>
        <w:t>5</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1.5 Other issues</w:t>
      </w:r>
      <w:r>
        <w:rPr>
          <w:noProof/>
        </w:rPr>
        <w:tab/>
      </w:r>
      <w:r>
        <w:rPr>
          <w:noProof/>
        </w:rPr>
        <w:fldChar w:fldCharType="begin"/>
      </w:r>
      <w:r>
        <w:rPr>
          <w:noProof/>
        </w:rPr>
        <w:instrText xml:space="preserve"> PAGEREF _Toc471476036 \h </w:instrText>
      </w:r>
      <w:r>
        <w:rPr>
          <w:noProof/>
        </w:rPr>
      </w:r>
      <w:r>
        <w:rPr>
          <w:noProof/>
        </w:rPr>
        <w:fldChar w:fldCharType="separate"/>
      </w:r>
      <w:r w:rsidR="00490B3D">
        <w:rPr>
          <w:noProof/>
        </w:rPr>
        <w:t>5</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1.6 Possible recommendations and areas for stakeholder comment</w:t>
      </w:r>
      <w:r>
        <w:rPr>
          <w:noProof/>
        </w:rPr>
        <w:tab/>
      </w:r>
      <w:r>
        <w:rPr>
          <w:noProof/>
        </w:rPr>
        <w:fldChar w:fldCharType="begin"/>
      </w:r>
      <w:r>
        <w:rPr>
          <w:noProof/>
        </w:rPr>
        <w:instrText xml:space="preserve"> PAGEREF _Toc471476037 \h </w:instrText>
      </w:r>
      <w:r>
        <w:rPr>
          <w:noProof/>
        </w:rPr>
      </w:r>
      <w:r>
        <w:rPr>
          <w:noProof/>
        </w:rPr>
        <w:fldChar w:fldCharType="separate"/>
      </w:r>
      <w:r w:rsidR="00490B3D">
        <w:rPr>
          <w:noProof/>
        </w:rPr>
        <w:t>5</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2.0 Introduction</w:t>
      </w:r>
      <w:r>
        <w:rPr>
          <w:noProof/>
        </w:rPr>
        <w:tab/>
      </w:r>
      <w:r>
        <w:rPr>
          <w:noProof/>
        </w:rPr>
        <w:fldChar w:fldCharType="begin"/>
      </w:r>
      <w:r>
        <w:rPr>
          <w:noProof/>
        </w:rPr>
        <w:instrText xml:space="preserve"> PAGEREF _Toc471476038 \h </w:instrText>
      </w:r>
      <w:r>
        <w:rPr>
          <w:noProof/>
        </w:rPr>
      </w:r>
      <w:r>
        <w:rPr>
          <w:noProof/>
        </w:rPr>
        <w:fldChar w:fldCharType="separate"/>
      </w:r>
      <w:r w:rsidR="00490B3D">
        <w:rPr>
          <w:noProof/>
        </w:rPr>
        <w:t>6</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2.1 Purpose of the review</w:t>
      </w:r>
      <w:r>
        <w:rPr>
          <w:noProof/>
        </w:rPr>
        <w:tab/>
      </w:r>
      <w:r>
        <w:rPr>
          <w:noProof/>
        </w:rPr>
        <w:fldChar w:fldCharType="begin"/>
      </w:r>
      <w:r>
        <w:rPr>
          <w:noProof/>
        </w:rPr>
        <w:instrText xml:space="preserve"> PAGEREF _Toc471476039 \h </w:instrText>
      </w:r>
      <w:r>
        <w:rPr>
          <w:noProof/>
        </w:rPr>
      </w:r>
      <w:r>
        <w:rPr>
          <w:noProof/>
        </w:rPr>
        <w:fldChar w:fldCharType="separate"/>
      </w:r>
      <w:r w:rsidR="00490B3D">
        <w:rPr>
          <w:noProof/>
        </w:rPr>
        <w:t>6</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2.2 Description of the regulatory charging activity</w:t>
      </w:r>
      <w:r>
        <w:rPr>
          <w:noProof/>
        </w:rPr>
        <w:tab/>
      </w:r>
      <w:r>
        <w:rPr>
          <w:noProof/>
        </w:rPr>
        <w:fldChar w:fldCharType="begin"/>
      </w:r>
      <w:r>
        <w:rPr>
          <w:noProof/>
        </w:rPr>
        <w:instrText xml:space="preserve"> PAGEREF _Toc471476040 \h </w:instrText>
      </w:r>
      <w:r>
        <w:rPr>
          <w:noProof/>
        </w:rPr>
      </w:r>
      <w:r>
        <w:rPr>
          <w:noProof/>
        </w:rPr>
        <w:fldChar w:fldCharType="separate"/>
      </w:r>
      <w:r w:rsidR="00490B3D">
        <w:rPr>
          <w:noProof/>
        </w:rPr>
        <w:t>6</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2.2.1 Background</w:t>
      </w:r>
      <w:r>
        <w:rPr>
          <w:noProof/>
        </w:rPr>
        <w:tab/>
      </w:r>
      <w:r>
        <w:rPr>
          <w:noProof/>
        </w:rPr>
        <w:fldChar w:fldCharType="begin"/>
      </w:r>
      <w:r>
        <w:rPr>
          <w:noProof/>
        </w:rPr>
        <w:instrText xml:space="preserve"> PAGEREF _Toc471476041 \h </w:instrText>
      </w:r>
      <w:r>
        <w:rPr>
          <w:noProof/>
        </w:rPr>
      </w:r>
      <w:r>
        <w:rPr>
          <w:noProof/>
        </w:rPr>
        <w:fldChar w:fldCharType="separate"/>
      </w:r>
      <w:r w:rsidR="00490B3D">
        <w:rPr>
          <w:noProof/>
        </w:rPr>
        <w:t>6</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2.2.2 Activities that are cost recovered</w:t>
      </w:r>
      <w:r>
        <w:rPr>
          <w:noProof/>
        </w:rPr>
        <w:tab/>
      </w:r>
      <w:r>
        <w:rPr>
          <w:noProof/>
        </w:rPr>
        <w:fldChar w:fldCharType="begin"/>
      </w:r>
      <w:r>
        <w:rPr>
          <w:noProof/>
        </w:rPr>
        <w:instrText xml:space="preserve"> PAGEREF _Toc471476042 \h </w:instrText>
      </w:r>
      <w:r>
        <w:rPr>
          <w:noProof/>
        </w:rPr>
      </w:r>
      <w:r>
        <w:rPr>
          <w:noProof/>
        </w:rPr>
        <w:fldChar w:fldCharType="separate"/>
      </w:r>
      <w:r w:rsidR="00490B3D">
        <w:rPr>
          <w:noProof/>
        </w:rPr>
        <w:t>7</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2.2.3 Appropriateness of cost recovery and who pays</w:t>
      </w:r>
      <w:r>
        <w:rPr>
          <w:noProof/>
        </w:rPr>
        <w:tab/>
      </w:r>
      <w:r>
        <w:rPr>
          <w:noProof/>
        </w:rPr>
        <w:fldChar w:fldCharType="begin"/>
      </w:r>
      <w:r>
        <w:rPr>
          <w:noProof/>
        </w:rPr>
        <w:instrText xml:space="preserve"> PAGEREF _Toc471476043 \h </w:instrText>
      </w:r>
      <w:r>
        <w:rPr>
          <w:noProof/>
        </w:rPr>
      </w:r>
      <w:r>
        <w:rPr>
          <w:noProof/>
        </w:rPr>
        <w:fldChar w:fldCharType="separate"/>
      </w:r>
      <w:r w:rsidR="00490B3D">
        <w:rPr>
          <w:noProof/>
        </w:rPr>
        <w:t>8</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3.0 Authority to Cost Recover</w:t>
      </w:r>
      <w:r>
        <w:rPr>
          <w:noProof/>
        </w:rPr>
        <w:tab/>
      </w:r>
      <w:r>
        <w:rPr>
          <w:noProof/>
        </w:rPr>
        <w:fldChar w:fldCharType="begin"/>
      </w:r>
      <w:r>
        <w:rPr>
          <w:noProof/>
        </w:rPr>
        <w:instrText xml:space="preserve"> PAGEREF _Toc471476044 \h </w:instrText>
      </w:r>
      <w:r>
        <w:rPr>
          <w:noProof/>
        </w:rPr>
      </w:r>
      <w:r>
        <w:rPr>
          <w:noProof/>
        </w:rPr>
        <w:fldChar w:fldCharType="separate"/>
      </w:r>
      <w:r w:rsidR="00490B3D">
        <w:rPr>
          <w:noProof/>
        </w:rPr>
        <w:t>9</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3.1 Government policy approval to cost recover the regulatory activity</w:t>
      </w:r>
      <w:r>
        <w:rPr>
          <w:noProof/>
        </w:rPr>
        <w:tab/>
      </w:r>
      <w:r>
        <w:rPr>
          <w:noProof/>
        </w:rPr>
        <w:fldChar w:fldCharType="begin"/>
      </w:r>
      <w:r>
        <w:rPr>
          <w:noProof/>
        </w:rPr>
        <w:instrText xml:space="preserve"> PAGEREF _Toc471476045 \h </w:instrText>
      </w:r>
      <w:r>
        <w:rPr>
          <w:noProof/>
        </w:rPr>
      </w:r>
      <w:r>
        <w:rPr>
          <w:noProof/>
        </w:rPr>
        <w:fldChar w:fldCharType="separate"/>
      </w:r>
      <w:r w:rsidR="00490B3D">
        <w:rPr>
          <w:noProof/>
        </w:rPr>
        <w:t>9</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3.2 Statutory authority to charge</w:t>
      </w:r>
      <w:r>
        <w:rPr>
          <w:noProof/>
        </w:rPr>
        <w:tab/>
      </w:r>
      <w:r>
        <w:rPr>
          <w:noProof/>
        </w:rPr>
        <w:fldChar w:fldCharType="begin"/>
      </w:r>
      <w:r>
        <w:rPr>
          <w:noProof/>
        </w:rPr>
        <w:instrText xml:space="preserve"> PAGEREF _Toc471476046 \h </w:instrText>
      </w:r>
      <w:r>
        <w:rPr>
          <w:noProof/>
        </w:rPr>
      </w:r>
      <w:r>
        <w:rPr>
          <w:noProof/>
        </w:rPr>
        <w:fldChar w:fldCharType="separate"/>
      </w:r>
      <w:r w:rsidR="00490B3D">
        <w:rPr>
          <w:noProof/>
        </w:rPr>
        <w:t>9</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4.0 Cost Recovery Model</w:t>
      </w:r>
      <w:r>
        <w:rPr>
          <w:noProof/>
        </w:rPr>
        <w:tab/>
      </w:r>
      <w:r>
        <w:rPr>
          <w:noProof/>
        </w:rPr>
        <w:fldChar w:fldCharType="begin"/>
      </w:r>
      <w:r>
        <w:rPr>
          <w:noProof/>
        </w:rPr>
        <w:instrText xml:space="preserve"> PAGEREF _Toc471476047 \h </w:instrText>
      </w:r>
      <w:r>
        <w:rPr>
          <w:noProof/>
        </w:rPr>
      </w:r>
      <w:r>
        <w:rPr>
          <w:noProof/>
        </w:rPr>
        <w:fldChar w:fldCharType="separate"/>
      </w:r>
      <w:r w:rsidR="00490B3D">
        <w:rPr>
          <w:noProof/>
        </w:rPr>
        <w:t>10</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4.1 Outputs and business processes of the regulatory charging activity</w:t>
      </w:r>
      <w:r>
        <w:rPr>
          <w:noProof/>
        </w:rPr>
        <w:tab/>
      </w:r>
      <w:r>
        <w:rPr>
          <w:noProof/>
        </w:rPr>
        <w:fldChar w:fldCharType="begin"/>
      </w:r>
      <w:r>
        <w:rPr>
          <w:noProof/>
        </w:rPr>
        <w:instrText xml:space="preserve"> PAGEREF _Toc471476048 \h </w:instrText>
      </w:r>
      <w:r>
        <w:rPr>
          <w:noProof/>
        </w:rPr>
      </w:r>
      <w:r>
        <w:rPr>
          <w:noProof/>
        </w:rPr>
        <w:fldChar w:fldCharType="separate"/>
      </w:r>
      <w:r w:rsidR="00490B3D">
        <w:rPr>
          <w:noProof/>
        </w:rPr>
        <w:t>10</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4.1.1 Registration</w:t>
      </w:r>
      <w:r>
        <w:rPr>
          <w:noProof/>
        </w:rPr>
        <w:tab/>
      </w:r>
      <w:r>
        <w:rPr>
          <w:noProof/>
        </w:rPr>
        <w:fldChar w:fldCharType="begin"/>
      </w:r>
      <w:r>
        <w:rPr>
          <w:noProof/>
        </w:rPr>
        <w:instrText xml:space="preserve"> PAGEREF _Toc471476049 \h </w:instrText>
      </w:r>
      <w:r>
        <w:rPr>
          <w:noProof/>
        </w:rPr>
      </w:r>
      <w:r>
        <w:rPr>
          <w:noProof/>
        </w:rPr>
        <w:fldChar w:fldCharType="separate"/>
      </w:r>
      <w:r w:rsidR="00490B3D">
        <w:rPr>
          <w:noProof/>
        </w:rPr>
        <w:t>10</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4.1.2 Compliance</w:t>
      </w:r>
      <w:r>
        <w:rPr>
          <w:noProof/>
        </w:rPr>
        <w:tab/>
      </w:r>
      <w:r>
        <w:rPr>
          <w:noProof/>
        </w:rPr>
        <w:fldChar w:fldCharType="begin"/>
      </w:r>
      <w:r>
        <w:rPr>
          <w:noProof/>
        </w:rPr>
        <w:instrText xml:space="preserve"> PAGEREF _Toc471476050 \h </w:instrText>
      </w:r>
      <w:r>
        <w:rPr>
          <w:noProof/>
        </w:rPr>
      </w:r>
      <w:r>
        <w:rPr>
          <w:noProof/>
        </w:rPr>
        <w:fldChar w:fldCharType="separate"/>
      </w:r>
      <w:r w:rsidR="00490B3D">
        <w:rPr>
          <w:noProof/>
        </w:rPr>
        <w:t>10</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4.2 Costs of the regulatory charging activity</w:t>
      </w:r>
      <w:r>
        <w:rPr>
          <w:noProof/>
        </w:rPr>
        <w:tab/>
      </w:r>
      <w:r>
        <w:rPr>
          <w:noProof/>
        </w:rPr>
        <w:fldChar w:fldCharType="begin"/>
      </w:r>
      <w:r>
        <w:rPr>
          <w:noProof/>
        </w:rPr>
        <w:instrText xml:space="preserve"> PAGEREF _Toc471476051 \h </w:instrText>
      </w:r>
      <w:r>
        <w:rPr>
          <w:noProof/>
        </w:rPr>
      </w:r>
      <w:r>
        <w:rPr>
          <w:noProof/>
        </w:rPr>
        <w:fldChar w:fldCharType="separate"/>
      </w:r>
      <w:r w:rsidR="00490B3D">
        <w:rPr>
          <w:noProof/>
        </w:rPr>
        <w:t>11</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4.2.1 Registration</w:t>
      </w:r>
      <w:r>
        <w:rPr>
          <w:noProof/>
        </w:rPr>
        <w:tab/>
      </w:r>
      <w:r>
        <w:rPr>
          <w:noProof/>
        </w:rPr>
        <w:fldChar w:fldCharType="begin"/>
      </w:r>
      <w:r>
        <w:rPr>
          <w:noProof/>
        </w:rPr>
        <w:instrText xml:space="preserve"> PAGEREF _Toc471476052 \h </w:instrText>
      </w:r>
      <w:r>
        <w:rPr>
          <w:noProof/>
        </w:rPr>
      </w:r>
      <w:r>
        <w:rPr>
          <w:noProof/>
        </w:rPr>
        <w:fldChar w:fldCharType="separate"/>
      </w:r>
      <w:r w:rsidR="00490B3D">
        <w:rPr>
          <w:noProof/>
        </w:rPr>
        <w:t>11</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4.2.2 Compliance</w:t>
      </w:r>
      <w:r>
        <w:rPr>
          <w:noProof/>
        </w:rPr>
        <w:tab/>
      </w:r>
      <w:r>
        <w:rPr>
          <w:noProof/>
        </w:rPr>
        <w:fldChar w:fldCharType="begin"/>
      </w:r>
      <w:r>
        <w:rPr>
          <w:noProof/>
        </w:rPr>
        <w:instrText xml:space="preserve"> PAGEREF _Toc471476053 \h </w:instrText>
      </w:r>
      <w:r>
        <w:rPr>
          <w:noProof/>
        </w:rPr>
      </w:r>
      <w:r>
        <w:rPr>
          <w:noProof/>
        </w:rPr>
        <w:fldChar w:fldCharType="separate"/>
      </w:r>
      <w:r w:rsidR="00490B3D">
        <w:rPr>
          <w:noProof/>
        </w:rPr>
        <w:t>12</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4.3 Revenue</w:t>
      </w:r>
      <w:r>
        <w:rPr>
          <w:noProof/>
        </w:rPr>
        <w:tab/>
      </w:r>
      <w:r>
        <w:rPr>
          <w:noProof/>
        </w:rPr>
        <w:fldChar w:fldCharType="begin"/>
      </w:r>
      <w:r>
        <w:rPr>
          <w:noProof/>
        </w:rPr>
        <w:instrText xml:space="preserve"> PAGEREF _Toc471476054 \h </w:instrText>
      </w:r>
      <w:r>
        <w:rPr>
          <w:noProof/>
        </w:rPr>
      </w:r>
      <w:r>
        <w:rPr>
          <w:noProof/>
        </w:rPr>
        <w:fldChar w:fldCharType="separate"/>
      </w:r>
      <w:r w:rsidR="00490B3D">
        <w:rPr>
          <w:noProof/>
        </w:rPr>
        <w:t>13</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4.4 Cost of activities</w:t>
      </w:r>
      <w:r>
        <w:rPr>
          <w:noProof/>
        </w:rPr>
        <w:tab/>
      </w:r>
      <w:r>
        <w:rPr>
          <w:noProof/>
        </w:rPr>
        <w:fldChar w:fldCharType="begin"/>
      </w:r>
      <w:r>
        <w:rPr>
          <w:noProof/>
        </w:rPr>
        <w:instrText xml:space="preserve"> PAGEREF _Toc471476055 \h </w:instrText>
      </w:r>
      <w:r>
        <w:rPr>
          <w:noProof/>
        </w:rPr>
      </w:r>
      <w:r>
        <w:rPr>
          <w:noProof/>
        </w:rPr>
        <w:fldChar w:fldCharType="separate"/>
      </w:r>
      <w:r w:rsidR="00490B3D">
        <w:rPr>
          <w:noProof/>
        </w:rPr>
        <w:t>14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4.5 Model used to set the registration fees</w:t>
      </w:r>
      <w:r>
        <w:rPr>
          <w:noProof/>
        </w:rPr>
        <w:tab/>
      </w:r>
      <w:r>
        <w:rPr>
          <w:noProof/>
        </w:rPr>
        <w:fldChar w:fldCharType="begin"/>
      </w:r>
      <w:r>
        <w:rPr>
          <w:noProof/>
        </w:rPr>
        <w:instrText xml:space="preserve"> PAGEREF _Toc471476056 \h </w:instrText>
      </w:r>
      <w:r>
        <w:rPr>
          <w:noProof/>
        </w:rPr>
      </w:r>
      <w:r>
        <w:rPr>
          <w:noProof/>
        </w:rPr>
        <w:fldChar w:fldCharType="separate"/>
      </w:r>
      <w:r w:rsidR="00490B3D">
        <w:rPr>
          <w:noProof/>
        </w:rPr>
        <w:t>14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4.6 Historical and projected cost recovery rates</w:t>
      </w:r>
      <w:r>
        <w:rPr>
          <w:noProof/>
        </w:rPr>
        <w:tab/>
      </w:r>
      <w:r>
        <w:rPr>
          <w:noProof/>
        </w:rPr>
        <w:fldChar w:fldCharType="begin"/>
      </w:r>
      <w:r>
        <w:rPr>
          <w:noProof/>
        </w:rPr>
        <w:instrText xml:space="preserve"> PAGEREF _Toc471476057 \h </w:instrText>
      </w:r>
      <w:r>
        <w:rPr>
          <w:noProof/>
        </w:rPr>
      </w:r>
      <w:r>
        <w:rPr>
          <w:noProof/>
        </w:rPr>
        <w:fldChar w:fldCharType="separate"/>
      </w:r>
      <w:r w:rsidR="00490B3D">
        <w:rPr>
          <w:noProof/>
        </w:rPr>
        <w:t>16</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4.7 Projections with new products regulated</w:t>
      </w:r>
      <w:r>
        <w:rPr>
          <w:noProof/>
        </w:rPr>
        <w:tab/>
      </w:r>
      <w:r>
        <w:rPr>
          <w:noProof/>
        </w:rPr>
        <w:fldChar w:fldCharType="begin"/>
      </w:r>
      <w:r>
        <w:rPr>
          <w:noProof/>
        </w:rPr>
        <w:instrText xml:space="preserve"> PAGEREF _Toc471476058 \h </w:instrText>
      </w:r>
      <w:r>
        <w:rPr>
          <w:noProof/>
        </w:rPr>
      </w:r>
      <w:r>
        <w:rPr>
          <w:noProof/>
        </w:rPr>
        <w:fldChar w:fldCharType="separate"/>
      </w:r>
      <w:r w:rsidR="00490B3D">
        <w:rPr>
          <w:noProof/>
        </w:rPr>
        <w:t>17</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5.0 Options for a new model</w:t>
      </w:r>
      <w:r>
        <w:rPr>
          <w:noProof/>
        </w:rPr>
        <w:tab/>
      </w:r>
      <w:r>
        <w:rPr>
          <w:noProof/>
        </w:rPr>
        <w:fldChar w:fldCharType="begin"/>
      </w:r>
      <w:r>
        <w:rPr>
          <w:noProof/>
        </w:rPr>
        <w:instrText xml:space="preserve"> PAGEREF _Toc471476059 \h </w:instrText>
      </w:r>
      <w:r>
        <w:rPr>
          <w:noProof/>
        </w:rPr>
      </w:r>
      <w:r>
        <w:rPr>
          <w:noProof/>
        </w:rPr>
        <w:fldChar w:fldCharType="separate"/>
      </w:r>
      <w:r w:rsidR="00490B3D">
        <w:rPr>
          <w:noProof/>
        </w:rPr>
        <w:t>19</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5.1 Principles for the development of a new fee model</w:t>
      </w:r>
      <w:r>
        <w:rPr>
          <w:noProof/>
        </w:rPr>
        <w:tab/>
      </w:r>
      <w:r>
        <w:rPr>
          <w:noProof/>
        </w:rPr>
        <w:fldChar w:fldCharType="begin"/>
      </w:r>
      <w:r>
        <w:rPr>
          <w:noProof/>
        </w:rPr>
        <w:instrText xml:space="preserve"> PAGEREF _Toc471476060 \h </w:instrText>
      </w:r>
      <w:r>
        <w:rPr>
          <w:noProof/>
        </w:rPr>
      </w:r>
      <w:r>
        <w:rPr>
          <w:noProof/>
        </w:rPr>
        <w:fldChar w:fldCharType="separate"/>
      </w:r>
      <w:r w:rsidR="00490B3D">
        <w:rPr>
          <w:noProof/>
        </w:rPr>
        <w:t>19</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5.2 Fee band allocation</w:t>
      </w:r>
      <w:r>
        <w:rPr>
          <w:noProof/>
        </w:rPr>
        <w:tab/>
      </w:r>
      <w:r>
        <w:rPr>
          <w:noProof/>
        </w:rPr>
        <w:fldChar w:fldCharType="begin"/>
      </w:r>
      <w:r>
        <w:rPr>
          <w:noProof/>
        </w:rPr>
        <w:instrText xml:space="preserve"> PAGEREF _Toc471476061 \h </w:instrText>
      </w:r>
      <w:r>
        <w:rPr>
          <w:noProof/>
        </w:rPr>
      </w:r>
      <w:r>
        <w:rPr>
          <w:noProof/>
        </w:rPr>
        <w:fldChar w:fldCharType="separate"/>
      </w:r>
      <w:r w:rsidR="00490B3D">
        <w:rPr>
          <w:noProof/>
        </w:rPr>
        <w:t>19</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5.3 Fee increases to reach full cost recovery</w:t>
      </w:r>
      <w:r>
        <w:rPr>
          <w:noProof/>
        </w:rPr>
        <w:tab/>
      </w:r>
      <w:r>
        <w:rPr>
          <w:noProof/>
        </w:rPr>
        <w:fldChar w:fldCharType="begin"/>
      </w:r>
      <w:r>
        <w:rPr>
          <w:noProof/>
        </w:rPr>
        <w:instrText xml:space="preserve"> PAGEREF _Toc471476062 \h </w:instrText>
      </w:r>
      <w:r>
        <w:rPr>
          <w:noProof/>
        </w:rPr>
      </w:r>
      <w:r>
        <w:rPr>
          <w:noProof/>
        </w:rPr>
        <w:fldChar w:fldCharType="separate"/>
      </w:r>
      <w:r w:rsidR="00490B3D">
        <w:rPr>
          <w:noProof/>
        </w:rPr>
        <w:t>21</w:t>
      </w:r>
      <w:r>
        <w:rPr>
          <w:noProof/>
        </w:rPr>
        <w:fldChar w:fldCharType="end"/>
      </w:r>
    </w:p>
    <w:p w:rsidR="00081325" w:rsidRDefault="00081325">
      <w:pPr>
        <w:pStyle w:val="TOC3"/>
        <w:tabs>
          <w:tab w:val="right" w:leader="dot" w:pos="8296"/>
        </w:tabs>
        <w:rPr>
          <w:rFonts w:asciiTheme="minorHAnsi" w:eastAsiaTheme="minorEastAsia" w:hAnsiTheme="minorHAnsi" w:cstheme="minorBidi"/>
          <w:noProof/>
          <w:color w:val="auto"/>
          <w:sz w:val="22"/>
          <w:szCs w:val="22"/>
          <w:lang w:eastAsia="en-AU"/>
        </w:rPr>
      </w:pPr>
      <w:r>
        <w:rPr>
          <w:noProof/>
        </w:rPr>
        <w:t>Option 1. Increase fees initially and then by 15 per</w:t>
      </w:r>
      <w:r w:rsidR="00EC515B">
        <w:rPr>
          <w:noProof/>
        </w:rPr>
        <w:t xml:space="preserve"> </w:t>
      </w:r>
      <w:r>
        <w:rPr>
          <w:noProof/>
        </w:rPr>
        <w:t>cent per year and reallocate products to new fee bands</w:t>
      </w:r>
      <w:r>
        <w:rPr>
          <w:noProof/>
        </w:rPr>
        <w:tab/>
      </w:r>
      <w:r>
        <w:rPr>
          <w:noProof/>
        </w:rPr>
        <w:fldChar w:fldCharType="begin"/>
      </w:r>
      <w:r>
        <w:rPr>
          <w:noProof/>
        </w:rPr>
        <w:instrText xml:space="preserve"> PAGEREF _Toc471476063 \h </w:instrText>
      </w:r>
      <w:r>
        <w:rPr>
          <w:noProof/>
        </w:rPr>
      </w:r>
      <w:r>
        <w:rPr>
          <w:noProof/>
        </w:rPr>
        <w:fldChar w:fldCharType="separate"/>
      </w:r>
      <w:r w:rsidR="00490B3D">
        <w:rPr>
          <w:noProof/>
        </w:rPr>
        <w:t>22</w:t>
      </w:r>
      <w:r>
        <w:rPr>
          <w:noProof/>
        </w:rPr>
        <w:fldChar w:fldCharType="end"/>
      </w:r>
    </w:p>
    <w:p w:rsidR="00081325" w:rsidRDefault="00081325" w:rsidP="00112161">
      <w:pPr>
        <w:pStyle w:val="TOC3"/>
        <w:tabs>
          <w:tab w:val="right" w:leader="dot" w:pos="8296"/>
        </w:tabs>
        <w:rPr>
          <w:rFonts w:asciiTheme="minorHAnsi" w:eastAsiaTheme="minorEastAsia" w:hAnsiTheme="minorHAnsi" w:cstheme="minorBidi"/>
          <w:noProof/>
          <w:color w:val="auto"/>
          <w:sz w:val="22"/>
          <w:szCs w:val="22"/>
          <w:lang w:eastAsia="en-AU"/>
        </w:rPr>
      </w:pPr>
      <w:r>
        <w:rPr>
          <w:noProof/>
        </w:rPr>
        <w:t>Option 2. Increase fees initially and then an annual increase increasing over time, with products reallocated to new fee bands</w:t>
      </w:r>
      <w:r>
        <w:rPr>
          <w:noProof/>
        </w:rPr>
        <w:tab/>
      </w:r>
      <w:r>
        <w:rPr>
          <w:noProof/>
        </w:rPr>
        <w:fldChar w:fldCharType="begin"/>
      </w:r>
      <w:r>
        <w:rPr>
          <w:noProof/>
        </w:rPr>
        <w:instrText xml:space="preserve"> PAGEREF _Toc471476064 \h </w:instrText>
      </w:r>
      <w:r>
        <w:rPr>
          <w:noProof/>
        </w:rPr>
      </w:r>
      <w:r>
        <w:rPr>
          <w:noProof/>
        </w:rPr>
        <w:fldChar w:fldCharType="separate"/>
      </w:r>
      <w:r w:rsidR="00490B3D">
        <w:rPr>
          <w:noProof/>
        </w:rPr>
        <w:t>22</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6.0 Other Charges and Registration Period</w:t>
      </w:r>
      <w:r>
        <w:rPr>
          <w:noProof/>
        </w:rPr>
        <w:tab/>
      </w:r>
      <w:r>
        <w:rPr>
          <w:noProof/>
        </w:rPr>
        <w:fldChar w:fldCharType="begin"/>
      </w:r>
      <w:r>
        <w:rPr>
          <w:noProof/>
        </w:rPr>
        <w:instrText xml:space="preserve"> PAGEREF _Toc471476066 \h </w:instrText>
      </w:r>
      <w:r>
        <w:rPr>
          <w:noProof/>
        </w:rPr>
      </w:r>
      <w:r>
        <w:rPr>
          <w:noProof/>
        </w:rPr>
        <w:fldChar w:fldCharType="separate"/>
      </w:r>
      <w:r w:rsidR="00490B3D">
        <w:rPr>
          <w:noProof/>
        </w:rPr>
        <w:t>23</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6.1 Charging for other processes</w:t>
      </w:r>
      <w:r>
        <w:rPr>
          <w:noProof/>
        </w:rPr>
        <w:tab/>
      </w:r>
      <w:r>
        <w:rPr>
          <w:noProof/>
        </w:rPr>
        <w:fldChar w:fldCharType="begin"/>
      </w:r>
      <w:r>
        <w:rPr>
          <w:noProof/>
        </w:rPr>
        <w:instrText xml:space="preserve"> PAGEREF _Toc471476067 \h </w:instrText>
      </w:r>
      <w:r>
        <w:rPr>
          <w:noProof/>
        </w:rPr>
      </w:r>
      <w:r>
        <w:rPr>
          <w:noProof/>
        </w:rPr>
        <w:fldChar w:fldCharType="separate"/>
      </w:r>
      <w:r w:rsidR="00490B3D">
        <w:rPr>
          <w:noProof/>
        </w:rPr>
        <w:t>23</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6.2 Providing alternative payment mechanisms</w:t>
      </w:r>
      <w:r>
        <w:rPr>
          <w:noProof/>
        </w:rPr>
        <w:tab/>
      </w:r>
      <w:r>
        <w:rPr>
          <w:noProof/>
        </w:rPr>
        <w:fldChar w:fldCharType="begin"/>
      </w:r>
      <w:r>
        <w:rPr>
          <w:noProof/>
        </w:rPr>
        <w:instrText xml:space="preserve"> PAGEREF _Toc471476068 \h </w:instrText>
      </w:r>
      <w:r>
        <w:rPr>
          <w:noProof/>
        </w:rPr>
      </w:r>
      <w:r>
        <w:rPr>
          <w:noProof/>
        </w:rPr>
        <w:fldChar w:fldCharType="separate"/>
      </w:r>
      <w:r w:rsidR="00490B3D">
        <w:rPr>
          <w:noProof/>
        </w:rPr>
        <w:t>24</w:t>
      </w:r>
      <w:r>
        <w:rPr>
          <w:noProof/>
        </w:rPr>
        <w:fldChar w:fldCharType="end"/>
      </w:r>
    </w:p>
    <w:p w:rsidR="00081325" w:rsidRDefault="00081325">
      <w:pPr>
        <w:pStyle w:val="TOC2"/>
        <w:tabs>
          <w:tab w:val="right" w:leader="dot" w:pos="8296"/>
        </w:tabs>
        <w:rPr>
          <w:rFonts w:asciiTheme="minorHAnsi" w:eastAsiaTheme="minorEastAsia" w:hAnsiTheme="minorHAnsi" w:cstheme="minorBidi"/>
          <w:noProof/>
          <w:color w:val="auto"/>
          <w:sz w:val="22"/>
          <w:szCs w:val="22"/>
          <w:lang w:eastAsia="en-AU"/>
        </w:rPr>
      </w:pPr>
      <w:r>
        <w:rPr>
          <w:noProof/>
        </w:rPr>
        <w:t>6.3 Registration period</w:t>
      </w:r>
      <w:r>
        <w:rPr>
          <w:noProof/>
        </w:rPr>
        <w:tab/>
      </w:r>
      <w:r>
        <w:rPr>
          <w:noProof/>
        </w:rPr>
        <w:fldChar w:fldCharType="begin"/>
      </w:r>
      <w:r>
        <w:rPr>
          <w:noProof/>
        </w:rPr>
        <w:instrText xml:space="preserve"> PAGEREF _Toc471476069 \h </w:instrText>
      </w:r>
      <w:r>
        <w:rPr>
          <w:noProof/>
        </w:rPr>
      </w:r>
      <w:r>
        <w:rPr>
          <w:noProof/>
        </w:rPr>
        <w:fldChar w:fldCharType="separate"/>
      </w:r>
      <w:r w:rsidR="00490B3D">
        <w:rPr>
          <w:noProof/>
        </w:rPr>
        <w:t>25</w:t>
      </w:r>
      <w:r>
        <w:rPr>
          <w:noProof/>
        </w:rPr>
        <w:fldChar w:fldCharType="end"/>
      </w:r>
    </w:p>
    <w:p w:rsidR="00081325" w:rsidRDefault="00081325">
      <w:pPr>
        <w:pStyle w:val="TOC1"/>
        <w:tabs>
          <w:tab w:val="right" w:leader="dot" w:pos="8296"/>
        </w:tabs>
        <w:rPr>
          <w:rFonts w:asciiTheme="minorHAnsi" w:eastAsiaTheme="minorEastAsia" w:hAnsiTheme="minorHAnsi" w:cstheme="minorBidi"/>
          <w:noProof/>
          <w:color w:val="auto"/>
          <w:sz w:val="22"/>
          <w:szCs w:val="22"/>
          <w:lang w:eastAsia="en-AU"/>
        </w:rPr>
      </w:pPr>
      <w:r>
        <w:rPr>
          <w:noProof/>
        </w:rPr>
        <w:t>7.0 Consultation</w:t>
      </w:r>
      <w:r>
        <w:rPr>
          <w:noProof/>
        </w:rPr>
        <w:tab/>
      </w:r>
      <w:r>
        <w:rPr>
          <w:noProof/>
        </w:rPr>
        <w:fldChar w:fldCharType="begin"/>
      </w:r>
      <w:r>
        <w:rPr>
          <w:noProof/>
        </w:rPr>
        <w:instrText xml:space="preserve"> PAGEREF _Toc471476070 \h </w:instrText>
      </w:r>
      <w:r>
        <w:rPr>
          <w:noProof/>
        </w:rPr>
      </w:r>
      <w:r>
        <w:rPr>
          <w:noProof/>
        </w:rPr>
        <w:fldChar w:fldCharType="separate"/>
      </w:r>
      <w:r w:rsidR="00490B3D">
        <w:rPr>
          <w:noProof/>
        </w:rPr>
        <w:t>26</w:t>
      </w:r>
      <w:r>
        <w:rPr>
          <w:noProof/>
        </w:rPr>
        <w:fldChar w:fldCharType="end"/>
      </w:r>
    </w:p>
    <w:p w:rsidR="00DD5459" w:rsidRDefault="00D74399" w:rsidP="00C06BA6">
      <w:pPr>
        <w:pStyle w:val="TOC2"/>
        <w:tabs>
          <w:tab w:val="right" w:leader="dot" w:pos="8296"/>
        </w:tabs>
      </w:pPr>
      <w:r>
        <w:fldChar w:fldCharType="end"/>
      </w:r>
    </w:p>
    <w:p w:rsidR="00DD5459" w:rsidRDefault="00DD5459" w:rsidP="00C06BA6">
      <w:pPr>
        <w:pStyle w:val="Heading1"/>
      </w:pPr>
      <w:r>
        <w:br w:type="page"/>
      </w:r>
      <w:bookmarkStart w:id="2" w:name="_Toc471476031"/>
      <w:r w:rsidR="00907F72">
        <w:lastRenderedPageBreak/>
        <w:t xml:space="preserve">1.0 </w:t>
      </w:r>
      <w:r>
        <w:t>Executive Summary</w:t>
      </w:r>
      <w:bookmarkEnd w:id="2"/>
    </w:p>
    <w:p w:rsidR="00DD5459" w:rsidRDefault="00DD5459" w:rsidP="00D469C0">
      <w:pPr>
        <w:rPr>
          <w:rFonts w:eastAsia="Calibri"/>
          <w:lang w:val="en"/>
        </w:rPr>
      </w:pPr>
      <w:r w:rsidRPr="00A2390D">
        <w:rPr>
          <w:rFonts w:eastAsia="Calibri"/>
          <w:lang w:val="en"/>
        </w:rPr>
        <w:t xml:space="preserve">On 1 October 2012 the </w:t>
      </w:r>
      <w:r w:rsidRPr="00A2390D">
        <w:rPr>
          <w:rFonts w:eastAsia="Calibri"/>
          <w:i/>
          <w:lang w:val="en"/>
        </w:rPr>
        <w:t>Greenhouse and Energy Minimum Standards (GEMS) Act 2012</w:t>
      </w:r>
      <w:r w:rsidRPr="00A2390D">
        <w:rPr>
          <w:rFonts w:eastAsia="Calibri"/>
          <w:lang w:val="en"/>
        </w:rPr>
        <w:t xml:space="preserve"> came into effect, creating a national framework for appliance energy efficiency in Australia. The GEMS Act is the underpinning legislation for </w:t>
      </w:r>
      <w:r w:rsidRPr="00A2390D">
        <w:rPr>
          <w:rFonts w:eastAsia="Calibri"/>
        </w:rPr>
        <w:t xml:space="preserve">the </w:t>
      </w:r>
      <w:r w:rsidRPr="00A2390D">
        <w:rPr>
          <w:rFonts w:eastAsia="Calibri"/>
          <w:lang w:val="en"/>
        </w:rPr>
        <w:t>Equipment Energy Efficiency program. The GEMS Regulator, based in the Commonwealth Department of the Environment and Energy,</w:t>
      </w:r>
      <w:r w:rsidR="00FC4C52">
        <w:rPr>
          <w:rFonts w:eastAsia="Calibri"/>
          <w:lang w:val="en"/>
        </w:rPr>
        <w:t xml:space="preserve"> </w:t>
      </w:r>
      <w:r w:rsidRPr="00A2390D">
        <w:rPr>
          <w:rFonts w:eastAsia="Calibri"/>
          <w:lang w:val="en"/>
        </w:rPr>
        <w:t>replaced previous state regulators and is responsible for administering the legislation in Australia.</w:t>
      </w:r>
    </w:p>
    <w:p w:rsidR="00D469C0" w:rsidRDefault="00D469C0" w:rsidP="00D469C0">
      <w:pPr>
        <w:rPr>
          <w:rFonts w:eastAsia="Calibri"/>
        </w:rPr>
      </w:pPr>
    </w:p>
    <w:p w:rsidR="00DD5459" w:rsidRDefault="00DD5459" w:rsidP="00D469C0">
      <w:pPr>
        <w:rPr>
          <w:rFonts w:eastAsia="Calibri"/>
        </w:rPr>
      </w:pPr>
      <w:r w:rsidRPr="00D7274A">
        <w:rPr>
          <w:rFonts w:eastAsia="Calibri"/>
        </w:rPr>
        <w:t>Under the GEMS Act, a product that uses energy or affects the amount of energy used by another product</w:t>
      </w:r>
      <w:r w:rsidR="00FC4C52">
        <w:rPr>
          <w:rFonts w:eastAsia="Calibri"/>
        </w:rPr>
        <w:t>,</w:t>
      </w:r>
      <w:r w:rsidRPr="00D7274A">
        <w:rPr>
          <w:rFonts w:eastAsia="Calibri"/>
        </w:rPr>
        <w:t xml:space="preserve"> and is in a product class covered by a GEMS determination, is known as a GEMS product. GEMS products can only be supplied or offered for supply, </w:t>
      </w:r>
      <w:r>
        <w:rPr>
          <w:rFonts w:eastAsia="Calibri"/>
        </w:rPr>
        <w:t>or used for commercial purposes</w:t>
      </w:r>
      <w:r w:rsidR="00FC4C52">
        <w:rPr>
          <w:rFonts w:eastAsia="Calibri"/>
        </w:rPr>
        <w:t>,</w:t>
      </w:r>
      <w:r>
        <w:rPr>
          <w:rFonts w:eastAsia="Calibri"/>
        </w:rPr>
        <w:t xml:space="preserve"> if they are registered with the GEMS Regulator. </w:t>
      </w:r>
    </w:p>
    <w:p w:rsidR="00D469C0" w:rsidRDefault="00D469C0" w:rsidP="00D469C0">
      <w:pPr>
        <w:rPr>
          <w:rFonts w:eastAsia="Calibri"/>
        </w:rPr>
      </w:pPr>
    </w:p>
    <w:p w:rsidR="00DD5459" w:rsidRPr="005F08CC" w:rsidRDefault="00DD5459" w:rsidP="00D469C0">
      <w:pPr>
        <w:rPr>
          <w:rFonts w:eastAsia="Calibri"/>
        </w:rPr>
      </w:pPr>
      <w:r w:rsidRPr="00D7274A">
        <w:rPr>
          <w:rFonts w:eastAsia="Calibri"/>
        </w:rPr>
        <w:t>When a model of a GEMS product is registered, registrants are charged a registration fee to recover the costs of providing the registration and compliance monitorin</w:t>
      </w:r>
      <w:r>
        <w:rPr>
          <w:rFonts w:eastAsia="Calibri"/>
        </w:rPr>
        <w:t xml:space="preserve">g services under the GEMS Act. </w:t>
      </w:r>
      <w:r w:rsidRPr="00D7274A">
        <w:rPr>
          <w:color w:val="000000"/>
        </w:rPr>
        <w:t xml:space="preserve">The </w:t>
      </w:r>
      <w:r w:rsidRPr="00D7274A">
        <w:rPr>
          <w:i/>
          <w:color w:val="000000"/>
        </w:rPr>
        <w:t xml:space="preserve">Greenhouse and Energy Minimum Standards (Registration Fees) Act 2012 </w:t>
      </w:r>
      <w:r w:rsidRPr="00D7274A">
        <w:rPr>
          <w:color w:val="000000"/>
        </w:rPr>
        <w:t>sets out what matters can be considered by the GEMS Regulator when setting registration fees</w:t>
      </w:r>
      <w:r>
        <w:rPr>
          <w:color w:val="000000"/>
        </w:rPr>
        <w:t xml:space="preserve">. </w:t>
      </w:r>
      <w:r w:rsidRPr="00A2390D">
        <w:rPr>
          <w:rFonts w:eastAsia="Calibri"/>
        </w:rPr>
        <w:t>The Australian Government’s policy approval for GEMS</w:t>
      </w:r>
      <w:r>
        <w:rPr>
          <w:rFonts w:eastAsia="Calibri"/>
        </w:rPr>
        <w:t xml:space="preserve"> </w:t>
      </w:r>
      <w:r w:rsidRPr="00A2390D">
        <w:rPr>
          <w:rFonts w:eastAsia="Calibri"/>
        </w:rPr>
        <w:t>included an expectation that registration fees would be reviewed every three years to facilitate a move towards full cost recovery over time. Th</w:t>
      </w:r>
      <w:r>
        <w:rPr>
          <w:rFonts w:eastAsia="Calibri"/>
        </w:rPr>
        <w:t>e</w:t>
      </w:r>
      <w:r w:rsidRPr="00A2390D">
        <w:rPr>
          <w:rFonts w:eastAsia="Calibri"/>
        </w:rPr>
        <w:t xml:space="preserve"> GEMS Fee Review (</w:t>
      </w:r>
      <w:r w:rsidR="00D96CBE">
        <w:rPr>
          <w:rFonts w:eastAsia="Calibri"/>
        </w:rPr>
        <w:t xml:space="preserve">the </w:t>
      </w:r>
      <w:r w:rsidR="00197FDD">
        <w:rPr>
          <w:rFonts w:eastAsia="Calibri"/>
        </w:rPr>
        <w:t>r</w:t>
      </w:r>
      <w:r w:rsidRPr="00A2390D">
        <w:rPr>
          <w:rFonts w:eastAsia="Calibri"/>
        </w:rPr>
        <w:t xml:space="preserve">eview) fulfils those expectations. </w:t>
      </w:r>
      <w:r w:rsidRPr="005F08CC">
        <w:rPr>
          <w:rFonts w:eastAsia="Calibri"/>
        </w:rPr>
        <w:t xml:space="preserve">The purpose of the </w:t>
      </w:r>
      <w:r>
        <w:rPr>
          <w:rFonts w:eastAsia="Calibri"/>
        </w:rPr>
        <w:t>r</w:t>
      </w:r>
      <w:r w:rsidRPr="005F08CC">
        <w:rPr>
          <w:rFonts w:eastAsia="Calibri"/>
        </w:rPr>
        <w:t>eview is to:</w:t>
      </w:r>
    </w:p>
    <w:p w:rsidR="00DD5459" w:rsidRDefault="00DD5459" w:rsidP="0063460C">
      <w:pPr>
        <w:pStyle w:val="ListNumber"/>
        <w:numPr>
          <w:ilvl w:val="0"/>
          <w:numId w:val="5"/>
        </w:numPr>
        <w:spacing w:before="100" w:beforeAutospacing="1" w:after="100" w:afterAutospacing="1"/>
        <w:ind w:left="714" w:hanging="357"/>
      </w:pPr>
      <w:r>
        <w:t xml:space="preserve">compare the actual fee revenue and costs in delivering the scheme to date </w:t>
      </w:r>
    </w:p>
    <w:p w:rsidR="00DD5459" w:rsidRDefault="00DD5459" w:rsidP="0063460C">
      <w:pPr>
        <w:pStyle w:val="ListNumber"/>
        <w:numPr>
          <w:ilvl w:val="0"/>
          <w:numId w:val="5"/>
        </w:numPr>
        <w:spacing w:before="100" w:beforeAutospacing="1" w:after="100" w:afterAutospacing="1"/>
        <w:ind w:left="714" w:hanging="357"/>
      </w:pPr>
      <w:r>
        <w:t>test the model used to establish the registration fees and fee bands and consider whether it is still appropriate and</w:t>
      </w:r>
    </w:p>
    <w:p w:rsidR="005975A8" w:rsidRDefault="00DD5459" w:rsidP="0063460C">
      <w:pPr>
        <w:pStyle w:val="ListNumber"/>
        <w:numPr>
          <w:ilvl w:val="0"/>
          <w:numId w:val="5"/>
        </w:numPr>
        <w:spacing w:before="100" w:beforeAutospacing="1" w:after="100" w:afterAutospacing="1"/>
      </w:pPr>
      <w:proofErr w:type="gramStart"/>
      <w:r>
        <w:t>determine</w:t>
      </w:r>
      <w:proofErr w:type="gramEnd"/>
      <w:r>
        <w:t xml:space="preserve"> the appropriate level of cost recovery going forward.</w:t>
      </w:r>
    </w:p>
    <w:p w:rsidR="00DD5459" w:rsidRDefault="00907F72" w:rsidP="005B71C1">
      <w:pPr>
        <w:pStyle w:val="Heading2"/>
      </w:pPr>
      <w:bookmarkStart w:id="3" w:name="_Toc471476032"/>
      <w:r>
        <w:t xml:space="preserve">1.1 </w:t>
      </w:r>
      <w:r w:rsidR="00DD5459">
        <w:t>Cost recovery rate</w:t>
      </w:r>
      <w:bookmarkEnd w:id="3"/>
    </w:p>
    <w:p w:rsidR="00E92AAA" w:rsidRPr="005F08CC" w:rsidRDefault="00E92AAA" w:rsidP="00D469C0">
      <w:pPr>
        <w:rPr>
          <w:rFonts w:eastAsia="Calibri"/>
          <w:lang w:val="en"/>
        </w:rPr>
      </w:pPr>
      <w:r w:rsidRPr="005F08CC">
        <w:rPr>
          <w:rFonts w:eastAsiaTheme="minorEastAsia"/>
          <w:lang w:eastAsia="en-AU"/>
        </w:rPr>
        <w:t xml:space="preserve">In 2015-16, the rate of cost recovery </w:t>
      </w:r>
      <w:r w:rsidRPr="00122F16">
        <w:rPr>
          <w:rFonts w:eastAsiaTheme="minorEastAsia"/>
          <w:lang w:eastAsia="en-AU"/>
        </w:rPr>
        <w:t>was 63 per cent.</w:t>
      </w:r>
      <w:r>
        <w:rPr>
          <w:rFonts w:eastAsiaTheme="minorEastAsia"/>
          <w:lang w:eastAsia="en-AU"/>
        </w:rPr>
        <w:t xml:space="preserve"> Fee revenue was $2,347</w:t>
      </w:r>
      <w:r w:rsidRPr="005F08CC">
        <w:rPr>
          <w:rFonts w:eastAsiaTheme="minorEastAsia"/>
          <w:lang w:eastAsia="en-AU"/>
        </w:rPr>
        <w:t>,</w:t>
      </w:r>
      <w:r>
        <w:rPr>
          <w:rFonts w:eastAsiaTheme="minorEastAsia"/>
          <w:lang w:eastAsia="en-AU"/>
        </w:rPr>
        <w:t xml:space="preserve">609 and costs were $3,677,164. </w:t>
      </w:r>
      <w:r w:rsidR="005A7A0D" w:rsidRPr="0025014C">
        <w:rPr>
          <w:color w:val="262626" w:themeColor="text1" w:themeTint="D9"/>
        </w:rPr>
        <w:t>The Australian Government’s approval for the program in 2012 was on the basis of full recovery of the costs of the registration service, and phased-in cost recovery of the compliance monitoring and enforcement activities, with an expectation that it would move over time to the full recovery.</w:t>
      </w:r>
      <w:r w:rsidR="005A7A0D" w:rsidRPr="0025014C">
        <w:rPr>
          <w:color w:val="262626" w:themeColor="text1" w:themeTint="D9"/>
          <w:lang w:eastAsia="en-AU"/>
        </w:rPr>
        <w:t xml:space="preserve"> To move to full cost recovery, increases to registration fees will need to be considered</w:t>
      </w:r>
      <w:r w:rsidRPr="0025014C">
        <w:rPr>
          <w:rFonts w:eastAsiaTheme="minorEastAsia"/>
          <w:color w:val="262626" w:themeColor="text1" w:themeTint="D9"/>
          <w:lang w:eastAsia="en-AU"/>
        </w:rPr>
        <w:t xml:space="preserve">. </w:t>
      </w:r>
      <w:r w:rsidRPr="0025014C">
        <w:rPr>
          <w:rFonts w:eastAsia="Calibri"/>
          <w:color w:val="262626" w:themeColor="text1" w:themeTint="D9"/>
        </w:rPr>
        <w:t xml:space="preserve">The </w:t>
      </w:r>
      <w:r>
        <w:rPr>
          <w:rFonts w:eastAsia="Calibri"/>
        </w:rPr>
        <w:t>GEMS registration</w:t>
      </w:r>
      <w:r w:rsidRPr="005F08CC">
        <w:rPr>
          <w:rFonts w:eastAsia="Calibri"/>
        </w:rPr>
        <w:t xml:space="preserve"> fees are in the context of sales of GEMS</w:t>
      </w:r>
      <w:r w:rsidR="00EF0695">
        <w:rPr>
          <w:rFonts w:eastAsia="Calibri"/>
        </w:rPr>
        <w:t>-</w:t>
      </w:r>
      <w:r w:rsidRPr="005F08CC">
        <w:rPr>
          <w:rFonts w:eastAsia="Calibri"/>
        </w:rPr>
        <w:t xml:space="preserve">related products of nearly $8 billion annually. </w:t>
      </w:r>
    </w:p>
    <w:p w:rsidR="00DD5459" w:rsidRDefault="00907F72" w:rsidP="009311B4">
      <w:pPr>
        <w:pStyle w:val="Heading2"/>
        <w:spacing w:before="120"/>
      </w:pPr>
      <w:bookmarkStart w:id="4" w:name="_Toc471476033"/>
      <w:r>
        <w:t xml:space="preserve">1.2 </w:t>
      </w:r>
      <w:r w:rsidR="00E92AAA" w:rsidRPr="00E92AAA">
        <w:t>Allocation of products to fee bands</w:t>
      </w:r>
      <w:bookmarkEnd w:id="4"/>
    </w:p>
    <w:p w:rsidR="00E92AAA" w:rsidRDefault="00E92AAA" w:rsidP="00D469C0">
      <w:r w:rsidRPr="00E92AAA">
        <w:t xml:space="preserve">In the current fee model, the allocation of products to specific fee bands is not equitable with some degree of cross-subsidisation occurring across product types. The review </w:t>
      </w:r>
      <w:r w:rsidR="005A7A0D">
        <w:t xml:space="preserve">is </w:t>
      </w:r>
      <w:r w:rsidRPr="00E92AAA">
        <w:t>consider</w:t>
      </w:r>
      <w:r w:rsidR="0025014C">
        <w:t>ing</w:t>
      </w:r>
      <w:r w:rsidRPr="00E92AAA">
        <w:t xml:space="preserve"> the current fee bands and </w:t>
      </w:r>
      <w:r w:rsidR="005A7A0D" w:rsidRPr="00E92AAA">
        <w:t>reallocat</w:t>
      </w:r>
      <w:r w:rsidR="005A7A0D">
        <w:t xml:space="preserve">ion of </w:t>
      </w:r>
      <w:r w:rsidRPr="00E92AAA">
        <w:t>products according to the overall registration service and compliance monitoring costs including check testing. The proposed new allocation of products int</w:t>
      </w:r>
      <w:r w:rsidR="00FD1923">
        <w:t>o new fee bands is outlined in T</w:t>
      </w:r>
      <w:r w:rsidRPr="00E92AAA">
        <w:t xml:space="preserve">able </w:t>
      </w:r>
      <w:r w:rsidR="00DC66E1">
        <w:t>6</w:t>
      </w:r>
      <w:r w:rsidRPr="00E92AAA">
        <w:t>.</w:t>
      </w:r>
    </w:p>
    <w:p w:rsidR="00E92AAA" w:rsidRDefault="00E92AAA" w:rsidP="00D469C0"/>
    <w:p w:rsidR="00E92AAA" w:rsidRDefault="00907F72" w:rsidP="005B71C1">
      <w:pPr>
        <w:pStyle w:val="Heading2"/>
      </w:pPr>
      <w:bookmarkStart w:id="5" w:name="_Toc471476034"/>
      <w:r>
        <w:lastRenderedPageBreak/>
        <w:t xml:space="preserve">1.3 </w:t>
      </w:r>
      <w:r w:rsidR="00E92AAA" w:rsidRPr="00E92AAA">
        <w:t>The fee model</w:t>
      </w:r>
      <w:bookmarkEnd w:id="5"/>
    </w:p>
    <w:p w:rsidR="00E92AAA" w:rsidRDefault="00E92AAA" w:rsidP="00D469C0">
      <w:r>
        <w:t xml:space="preserve">In testing the current model, the Regulator considered a fee and levy model in which registrants would pay a five year registration fee and an annual compliance levy. While there </w:t>
      </w:r>
      <w:r w:rsidR="009A1192">
        <w:t xml:space="preserve">could be </w:t>
      </w:r>
      <w:r>
        <w:t xml:space="preserve">some benefits, the fee and levy model would be more costly to administer for both government and registrants and would require a legislation change. </w:t>
      </w:r>
    </w:p>
    <w:p w:rsidR="00E92AAA" w:rsidRDefault="00E92AAA" w:rsidP="00D469C0"/>
    <w:p w:rsidR="00E92AAA" w:rsidRDefault="00E92AAA" w:rsidP="00D469C0">
      <w:r>
        <w:t xml:space="preserve">The benefits </w:t>
      </w:r>
      <w:r w:rsidR="00834FEB">
        <w:t>of</w:t>
      </w:r>
      <w:r>
        <w:t xml:space="preserve"> the current model </w:t>
      </w:r>
      <w:r w:rsidR="00834FEB">
        <w:t>include</w:t>
      </w:r>
      <w:r>
        <w:t xml:space="preserve"> having one interaction per product every five years and a process that industry knows and understands. </w:t>
      </w:r>
    </w:p>
    <w:p w:rsidR="00E92AAA" w:rsidRDefault="00E92AAA" w:rsidP="00D469C0"/>
    <w:p w:rsidR="00E92AAA" w:rsidRDefault="0025014C" w:rsidP="00D469C0">
      <w:r>
        <w:t xml:space="preserve">The Regulator has identified two </w:t>
      </w:r>
      <w:r w:rsidR="00172AB6">
        <w:t>options for consideration in order to</w:t>
      </w:r>
      <w:r w:rsidR="00E92AAA">
        <w:t xml:space="preserve"> move to full cost recovery by 2020-2021 using the current fee model with </w:t>
      </w:r>
      <w:r w:rsidR="009A1192">
        <w:t xml:space="preserve">a </w:t>
      </w:r>
      <w:r w:rsidR="00E92AAA">
        <w:t xml:space="preserve">new allocation of products to fee </w:t>
      </w:r>
      <w:r w:rsidR="00FD1923">
        <w:t xml:space="preserve">bands. These </w:t>
      </w:r>
      <w:r w:rsidR="009A1192">
        <w:t xml:space="preserve">options </w:t>
      </w:r>
      <w:r w:rsidR="00FD1923">
        <w:t>are outlined in S</w:t>
      </w:r>
      <w:r w:rsidR="00E92AAA">
        <w:t xml:space="preserve">ection </w:t>
      </w:r>
      <w:r w:rsidR="00DC66E1">
        <w:t>5.0</w:t>
      </w:r>
      <w:r w:rsidR="00E92AAA">
        <w:t>.</w:t>
      </w:r>
    </w:p>
    <w:p w:rsidR="00E92AAA" w:rsidRDefault="00E92AAA" w:rsidP="00D469C0"/>
    <w:p w:rsidR="00E92AAA" w:rsidRDefault="00907F72" w:rsidP="005B71C1">
      <w:pPr>
        <w:pStyle w:val="Heading2"/>
      </w:pPr>
      <w:bookmarkStart w:id="6" w:name="_Toc471476035"/>
      <w:r>
        <w:t xml:space="preserve">1.4 </w:t>
      </w:r>
      <w:r w:rsidR="00E92AAA" w:rsidRPr="00E92AAA">
        <w:t>Greater transparency</w:t>
      </w:r>
      <w:bookmarkEnd w:id="6"/>
    </w:p>
    <w:p w:rsidR="00E92AAA" w:rsidRDefault="00E92AAA" w:rsidP="00D469C0">
      <w:r w:rsidRPr="00E92AAA">
        <w:t xml:space="preserve">The requirement to publish a Cost Recovery Implementation Statement (CRIS) for the GEMS program will ensure close monitoring of the actual rate of cost recovery going forward and improve transparency between the GEMS Regulator and stakeholders.  </w:t>
      </w:r>
    </w:p>
    <w:p w:rsidR="00E92AAA" w:rsidRDefault="00E92AAA" w:rsidP="00D469C0"/>
    <w:p w:rsidR="00E92AAA" w:rsidRDefault="00907F72" w:rsidP="005B71C1">
      <w:pPr>
        <w:pStyle w:val="Heading2"/>
      </w:pPr>
      <w:bookmarkStart w:id="7" w:name="_Toc471476036"/>
      <w:r>
        <w:t xml:space="preserve">1.5 </w:t>
      </w:r>
      <w:r w:rsidR="00E92AAA" w:rsidRPr="00E92AAA">
        <w:t>Other issues</w:t>
      </w:r>
      <w:bookmarkEnd w:id="7"/>
    </w:p>
    <w:p w:rsidR="00E92AAA" w:rsidRDefault="00E92AAA" w:rsidP="00D469C0">
      <w:r w:rsidRPr="00E92AAA">
        <w:t xml:space="preserve">The fee structure aims to be practical and easy to understand, and minimise volatility. </w:t>
      </w:r>
      <w:r w:rsidR="009A1192">
        <w:t xml:space="preserve">The Regulator proposes to retain the five year registration period. </w:t>
      </w:r>
      <w:r w:rsidRPr="00E92AAA">
        <w:t>The five year period for registrations attempts to strike a middle ground, balancing flexibility and the need to minimise volatility. Offering A</w:t>
      </w:r>
      <w:r w:rsidR="00DC66E1">
        <w:t>merican Express (AMEX) as an alternative payment option</w:t>
      </w:r>
      <w:r w:rsidRPr="00E92AAA">
        <w:t xml:space="preserve"> would be feasible without adding significant costs.</w:t>
      </w:r>
    </w:p>
    <w:p w:rsidR="00E92AAA" w:rsidRDefault="00E92AAA" w:rsidP="00D469C0"/>
    <w:p w:rsidR="00E92AAA" w:rsidRDefault="00907F72" w:rsidP="005B71C1">
      <w:pPr>
        <w:pStyle w:val="Heading2"/>
      </w:pPr>
      <w:bookmarkStart w:id="8" w:name="_Toc471476037"/>
      <w:r>
        <w:t xml:space="preserve">1.6 </w:t>
      </w:r>
      <w:r w:rsidR="00BA27D1" w:rsidRPr="00E92AAA">
        <w:t>P</w:t>
      </w:r>
      <w:r w:rsidR="00BA27D1">
        <w:t xml:space="preserve">roposed </w:t>
      </w:r>
      <w:r w:rsidR="00E92AAA">
        <w:t>recommendations and areas for stakeholder comment</w:t>
      </w:r>
      <w:bookmarkEnd w:id="8"/>
    </w:p>
    <w:p w:rsidR="00E92AAA" w:rsidRPr="00907F72" w:rsidRDefault="00BA27D1" w:rsidP="00907F72">
      <w:pPr>
        <w:rPr>
          <w:b/>
        </w:rPr>
      </w:pPr>
      <w:r>
        <w:rPr>
          <w:b/>
        </w:rPr>
        <w:t>Proposed</w:t>
      </w:r>
      <w:r w:rsidRPr="00907F72">
        <w:rPr>
          <w:b/>
        </w:rPr>
        <w:t xml:space="preserve"> </w:t>
      </w:r>
      <w:r w:rsidR="00E92AAA" w:rsidRPr="00907F72">
        <w:rPr>
          <w:b/>
        </w:rPr>
        <w:t>Recommendations:</w:t>
      </w:r>
    </w:p>
    <w:p w:rsidR="00E92AAA" w:rsidRDefault="00E92AAA" w:rsidP="00FD1923">
      <w:pPr>
        <w:pStyle w:val="ListNumber"/>
        <w:numPr>
          <w:ilvl w:val="0"/>
          <w:numId w:val="4"/>
        </w:numPr>
        <w:spacing w:after="100" w:afterAutospacing="1"/>
        <w:ind w:left="714" w:hanging="357"/>
      </w:pPr>
      <w:r>
        <w:t xml:space="preserve">Increase fees to move towards full cost recovery by 2020-2021. </w:t>
      </w:r>
    </w:p>
    <w:p w:rsidR="00E92AAA" w:rsidRDefault="00E92AAA" w:rsidP="0063460C">
      <w:pPr>
        <w:pStyle w:val="ListNumber"/>
        <w:numPr>
          <w:ilvl w:val="0"/>
          <w:numId w:val="4"/>
        </w:numPr>
        <w:spacing w:before="100" w:beforeAutospacing="1" w:after="100" w:afterAutospacing="1"/>
        <w:ind w:left="714" w:hanging="357"/>
      </w:pPr>
      <w:r>
        <w:t xml:space="preserve">GEMS products are allocated in new product bands according to their registration and compliance monitoring costs including proposed check test activity over a seven year compliance cycle.  </w:t>
      </w:r>
    </w:p>
    <w:p w:rsidR="00E92AAA" w:rsidRDefault="00E92AAA" w:rsidP="0063460C">
      <w:pPr>
        <w:pStyle w:val="ListNumber"/>
        <w:numPr>
          <w:ilvl w:val="0"/>
          <w:numId w:val="4"/>
        </w:numPr>
        <w:spacing w:before="100" w:beforeAutospacing="1" w:after="100" w:afterAutospacing="1"/>
        <w:ind w:left="714" w:hanging="357"/>
      </w:pPr>
      <w:r>
        <w:t>The current fee model is maintained.</w:t>
      </w:r>
    </w:p>
    <w:p w:rsidR="00E92AAA" w:rsidRDefault="00E92AAA" w:rsidP="0063460C">
      <w:pPr>
        <w:pStyle w:val="ListNumber"/>
        <w:numPr>
          <w:ilvl w:val="0"/>
          <w:numId w:val="4"/>
        </w:numPr>
        <w:spacing w:before="100" w:beforeAutospacing="1" w:after="100" w:afterAutospacing="1"/>
        <w:ind w:left="714" w:hanging="357"/>
      </w:pPr>
      <w:r>
        <w:t xml:space="preserve">Do not impose an administrative charge on applications for an exemption. </w:t>
      </w:r>
    </w:p>
    <w:p w:rsidR="00E92AAA" w:rsidRDefault="00E92AAA" w:rsidP="0063460C">
      <w:pPr>
        <w:pStyle w:val="ListNumber"/>
        <w:numPr>
          <w:ilvl w:val="0"/>
          <w:numId w:val="4"/>
        </w:numPr>
        <w:spacing w:before="100" w:beforeAutospacing="1" w:after="100" w:afterAutospacing="1"/>
        <w:ind w:left="714" w:hanging="357"/>
      </w:pPr>
      <w:r>
        <w:t xml:space="preserve">Add AMEX as an additional payment option and require those registrants using AMEX to pay the relevant surcharge.  </w:t>
      </w:r>
    </w:p>
    <w:p w:rsidR="00E92AAA" w:rsidRDefault="00E92AAA" w:rsidP="0063460C">
      <w:pPr>
        <w:pStyle w:val="ListNumber"/>
        <w:numPr>
          <w:ilvl w:val="0"/>
          <w:numId w:val="4"/>
        </w:numPr>
        <w:spacing w:before="100" w:beforeAutospacing="1" w:after="100" w:afterAutospacing="1"/>
        <w:ind w:left="714" w:hanging="357"/>
      </w:pPr>
      <w:r>
        <w:t>Retain the standard five year period for all registrations.</w:t>
      </w:r>
    </w:p>
    <w:p w:rsidR="00E92AAA" w:rsidRPr="00907F72" w:rsidRDefault="00E92AAA" w:rsidP="00907F72">
      <w:pPr>
        <w:rPr>
          <w:b/>
        </w:rPr>
      </w:pPr>
      <w:r w:rsidRPr="00907F72">
        <w:rPr>
          <w:b/>
        </w:rPr>
        <w:t>Stakeholders are also invited to also comment on:</w:t>
      </w:r>
    </w:p>
    <w:p w:rsidR="00E92AAA" w:rsidRDefault="00E92AAA" w:rsidP="00FD1923">
      <w:pPr>
        <w:pStyle w:val="ListNumber"/>
        <w:numPr>
          <w:ilvl w:val="0"/>
          <w:numId w:val="5"/>
        </w:numPr>
        <w:spacing w:after="100" w:afterAutospacing="1"/>
        <w:ind w:left="714" w:hanging="357"/>
      </w:pPr>
      <w:r>
        <w:t>the preferred method to reach full cost recovery</w:t>
      </w:r>
    </w:p>
    <w:p w:rsidR="00E92AAA" w:rsidRDefault="00E92AAA" w:rsidP="0063460C">
      <w:pPr>
        <w:pStyle w:val="ListNumber"/>
        <w:numPr>
          <w:ilvl w:val="0"/>
          <w:numId w:val="5"/>
        </w:numPr>
        <w:spacing w:before="100" w:beforeAutospacing="1" w:after="100" w:afterAutospacing="1"/>
        <w:ind w:left="714" w:hanging="357"/>
      </w:pPr>
      <w:r>
        <w:t xml:space="preserve">the level of fee increase; and </w:t>
      </w:r>
    </w:p>
    <w:p w:rsidR="00B9776D" w:rsidRDefault="00DC66E1" w:rsidP="005B71C1">
      <w:pPr>
        <w:pStyle w:val="ListNumber"/>
        <w:numPr>
          <w:ilvl w:val="0"/>
          <w:numId w:val="5"/>
        </w:numPr>
        <w:spacing w:before="100" w:beforeAutospacing="1" w:after="100" w:afterAutospacing="1"/>
        <w:ind w:left="714" w:hanging="357"/>
      </w:pPr>
      <w:proofErr w:type="gramStart"/>
      <w:r>
        <w:t>the</w:t>
      </w:r>
      <w:proofErr w:type="gramEnd"/>
      <w:r>
        <w:t xml:space="preserve"> </w:t>
      </w:r>
      <w:r w:rsidR="00E92AAA">
        <w:t>notice period for a fee increase or changes.</w:t>
      </w:r>
      <w:r w:rsidR="00B9776D">
        <w:br w:type="page"/>
      </w:r>
    </w:p>
    <w:p w:rsidR="00B9776D" w:rsidRDefault="00F6749E" w:rsidP="00C06BA6">
      <w:pPr>
        <w:pStyle w:val="Heading1"/>
      </w:pPr>
      <w:bookmarkStart w:id="9" w:name="_Toc471476038"/>
      <w:r>
        <w:lastRenderedPageBreak/>
        <w:t>2.0</w:t>
      </w:r>
      <w:r w:rsidR="00C401C8">
        <w:t xml:space="preserve"> </w:t>
      </w:r>
      <w:r w:rsidR="00B9776D">
        <w:t>Introduction</w:t>
      </w:r>
      <w:bookmarkEnd w:id="9"/>
    </w:p>
    <w:p w:rsidR="00B9776D" w:rsidRPr="00F6749E" w:rsidRDefault="00F6749E" w:rsidP="005B71C1">
      <w:pPr>
        <w:pStyle w:val="Heading2"/>
      </w:pPr>
      <w:bookmarkStart w:id="10" w:name="_Toc471476039"/>
      <w:r w:rsidRPr="00F6749E">
        <w:t>2</w:t>
      </w:r>
      <w:r w:rsidR="00B9776D" w:rsidRPr="00F6749E">
        <w:t>.1 Purpose of the review</w:t>
      </w:r>
      <w:bookmarkEnd w:id="10"/>
    </w:p>
    <w:p w:rsidR="00B9776D" w:rsidRDefault="00B9776D" w:rsidP="00D469C0">
      <w:bookmarkStart w:id="11" w:name="_GoBack"/>
      <w:r w:rsidRPr="00B9776D">
        <w:t xml:space="preserve">This review provides information on how the Department of the Environment and Energy implements cost recovery for the </w:t>
      </w:r>
      <w:r w:rsidRPr="00DC66E1">
        <w:rPr>
          <w:i/>
        </w:rPr>
        <w:t>Greenhouse and Energy Minimum Standards (GEMS) Act 2012</w:t>
      </w:r>
      <w:r w:rsidRPr="00B9776D">
        <w:t xml:space="preserve"> and consider</w:t>
      </w:r>
      <w:r w:rsidR="00DC66E1">
        <w:t>s</w:t>
      </w:r>
      <w:r w:rsidRPr="00B9776D">
        <w:t xml:space="preserve"> if the current model used to set the registration fees under GEMS remains appropriate. The review will also report on the financial and non-financial performance information for GEMS and contains financial forecasts for 2016-17 and three forward years. Following consultation</w:t>
      </w:r>
      <w:r w:rsidR="00DC66E1">
        <w:t>,</w:t>
      </w:r>
      <w:r w:rsidRPr="00B9776D">
        <w:t xml:space="preserve"> a final review document and CRIS will be developed and released publicly. The Department of the Environment and Energy will maintain a CRIS until the activity or cost recovery for the activity has been discontinued.</w:t>
      </w:r>
    </w:p>
    <w:bookmarkEnd w:id="11"/>
    <w:p w:rsidR="00B9776D" w:rsidRDefault="00B9776D" w:rsidP="00D469C0"/>
    <w:p w:rsidR="00B9776D" w:rsidRDefault="000C42CC" w:rsidP="00D469C0">
      <w:r>
        <w:t xml:space="preserve">Consistent with the Australian Government’s Cost Recovery Guidelines, there </w:t>
      </w:r>
      <w:r w:rsidR="00B9776D">
        <w:t>is no scope within this review to consider:</w:t>
      </w:r>
    </w:p>
    <w:p w:rsidR="00B9776D" w:rsidRDefault="00B9776D" w:rsidP="00F01731">
      <w:pPr>
        <w:pStyle w:val="ListBullet"/>
        <w:numPr>
          <w:ilvl w:val="0"/>
          <w:numId w:val="6"/>
        </w:numPr>
      </w:pPr>
      <w:r>
        <w:t>whether or not the program should operate on a cost recovery basis or</w:t>
      </w:r>
    </w:p>
    <w:p w:rsidR="00B9776D" w:rsidRDefault="00B9776D" w:rsidP="00F01731">
      <w:pPr>
        <w:pStyle w:val="ListBullet"/>
        <w:numPr>
          <w:ilvl w:val="0"/>
          <w:numId w:val="6"/>
        </w:numPr>
      </w:pPr>
      <w:proofErr w:type="gramStart"/>
      <w:r>
        <w:t>reducing</w:t>
      </w:r>
      <w:proofErr w:type="gramEnd"/>
      <w:r>
        <w:t xml:space="preserve"> the level of cost recovery from the current level.   </w:t>
      </w:r>
    </w:p>
    <w:p w:rsidR="00B9776D" w:rsidRDefault="00B9776D" w:rsidP="00D469C0">
      <w:r>
        <w:t>The review also considers the case for longer or shorter registration periods, charging for other processes and alternative payment methods.</w:t>
      </w:r>
    </w:p>
    <w:p w:rsidR="007A1977" w:rsidRDefault="007A1977" w:rsidP="00D469C0"/>
    <w:p w:rsidR="00B9776D" w:rsidRPr="00B9776D" w:rsidRDefault="00B9776D" w:rsidP="00D469C0">
      <w:r>
        <w:t>The review is being undertaken with reference to the Australian Government Charging Framework, introduced from July 2015 to support government entities to design, implement and review government charging. The framework incorporates the Cost Recovery Guidelines, which continue to apply to regulatory charging activities.</w:t>
      </w:r>
    </w:p>
    <w:p w:rsidR="00B9776D" w:rsidRDefault="00B9776D" w:rsidP="00D469C0"/>
    <w:p w:rsidR="00B9776D" w:rsidRDefault="00B9776D" w:rsidP="00D469C0">
      <w:r>
        <w:t>According to the framework, there must be alignment between the expenses of the activity (the costs involved in providing it) and the revenue (the income generated through charges for it). Cost recovery charges should be:</w:t>
      </w:r>
    </w:p>
    <w:p w:rsidR="00B9776D" w:rsidRDefault="00B9776D" w:rsidP="00F01731">
      <w:pPr>
        <w:pStyle w:val="ListBullet"/>
        <w:numPr>
          <w:ilvl w:val="0"/>
          <w:numId w:val="6"/>
        </w:numPr>
      </w:pPr>
      <w:r>
        <w:t>clear and easy to understand</w:t>
      </w:r>
    </w:p>
    <w:p w:rsidR="00B9776D" w:rsidRDefault="00B9776D" w:rsidP="00F01731">
      <w:pPr>
        <w:pStyle w:val="ListBullet"/>
        <w:numPr>
          <w:ilvl w:val="0"/>
          <w:numId w:val="6"/>
        </w:numPr>
      </w:pPr>
      <w:r>
        <w:t>closely linked to the specific activity</w:t>
      </w:r>
    </w:p>
    <w:p w:rsidR="00B9776D" w:rsidRDefault="00B9776D" w:rsidP="00F01731">
      <w:pPr>
        <w:pStyle w:val="ListBullet"/>
        <w:numPr>
          <w:ilvl w:val="0"/>
          <w:numId w:val="6"/>
        </w:numPr>
      </w:pPr>
      <w:r>
        <w:t>set to recover the full efficient costs of the specific activity</w:t>
      </w:r>
    </w:p>
    <w:p w:rsidR="00B9776D" w:rsidRDefault="00B9776D" w:rsidP="00F01731">
      <w:pPr>
        <w:pStyle w:val="ListBullet"/>
        <w:numPr>
          <w:ilvl w:val="0"/>
          <w:numId w:val="6"/>
        </w:numPr>
      </w:pPr>
      <w:r>
        <w:t>efficient to determine, collect and enforce and</w:t>
      </w:r>
    </w:p>
    <w:p w:rsidR="00B9776D" w:rsidRDefault="00B9776D" w:rsidP="00F01731">
      <w:pPr>
        <w:pStyle w:val="ListBullet"/>
        <w:numPr>
          <w:ilvl w:val="0"/>
          <w:numId w:val="6"/>
        </w:numPr>
      </w:pPr>
      <w:proofErr w:type="gramStart"/>
      <w:r>
        <w:t>set</w:t>
      </w:r>
      <w:proofErr w:type="gramEnd"/>
      <w:r>
        <w:t xml:space="preserve"> to avoid volatility, while still being flexible enough to allow for changes based on fluctuations in demand or costs.</w:t>
      </w:r>
    </w:p>
    <w:p w:rsidR="00B9776D" w:rsidRPr="00F6749E" w:rsidRDefault="00F6749E" w:rsidP="005B71C1">
      <w:pPr>
        <w:pStyle w:val="Heading2"/>
      </w:pPr>
      <w:bookmarkStart w:id="12" w:name="_Toc471476040"/>
      <w:r w:rsidRPr="00F6749E">
        <w:t>2</w:t>
      </w:r>
      <w:r w:rsidR="00D12B41" w:rsidRPr="00F6749E">
        <w:t xml:space="preserve">.2 </w:t>
      </w:r>
      <w:r w:rsidR="00B9776D" w:rsidRPr="00F6749E">
        <w:t>Description of the regulatory charging activity</w:t>
      </w:r>
      <w:bookmarkEnd w:id="12"/>
    </w:p>
    <w:p w:rsidR="00B9776D" w:rsidRPr="00F6749E" w:rsidRDefault="00F6749E" w:rsidP="00F6749E">
      <w:pPr>
        <w:pStyle w:val="Heading3"/>
      </w:pPr>
      <w:bookmarkStart w:id="13" w:name="_Toc471476041"/>
      <w:r w:rsidRPr="00F6749E">
        <w:t>2</w:t>
      </w:r>
      <w:r w:rsidR="00B9776D" w:rsidRPr="00F6749E">
        <w:t>.2.1 Background</w:t>
      </w:r>
      <w:bookmarkEnd w:id="13"/>
    </w:p>
    <w:p w:rsidR="00B9776D" w:rsidRDefault="00B9776D" w:rsidP="00D469C0">
      <w:r>
        <w:t xml:space="preserve">The objective of the GEMS Act is to promote the development and adoption of products that use less energy, produce fewer greenhouse gas emissions, or contribute to reducing the amount of energy used, or greenhouse gases produced, by other products. </w:t>
      </w:r>
    </w:p>
    <w:p w:rsidR="00B9776D" w:rsidRDefault="00B9776D" w:rsidP="00D469C0"/>
    <w:p w:rsidR="00B9776D" w:rsidRDefault="00B9776D" w:rsidP="00D469C0">
      <w:r>
        <w:lastRenderedPageBreak/>
        <w:t>Under the GEMS Act, a product that uses energy or affects the amount of energy used by another product, and, is in a product class covered by a GEMS determination, is known as a GEMS product. GEMS products can only be supplied or offered for supply, or used for a commercial purpose, if:</w:t>
      </w:r>
    </w:p>
    <w:p w:rsidR="00B9776D" w:rsidRPr="00B9776D" w:rsidRDefault="00B9776D" w:rsidP="00F01731">
      <w:pPr>
        <w:pStyle w:val="ListBullet"/>
        <w:numPr>
          <w:ilvl w:val="0"/>
          <w:numId w:val="6"/>
        </w:numPr>
      </w:pPr>
      <w:r w:rsidRPr="00B9776D">
        <w:t>the model of the product is registered under the GEMS Act against the relevant determination</w:t>
      </w:r>
    </w:p>
    <w:p w:rsidR="00B9776D" w:rsidRPr="00B9776D" w:rsidRDefault="00B9776D" w:rsidP="00F01731">
      <w:pPr>
        <w:pStyle w:val="ListBullet"/>
        <w:numPr>
          <w:ilvl w:val="0"/>
          <w:numId w:val="6"/>
        </w:numPr>
      </w:pPr>
      <w:r w:rsidRPr="00B9776D">
        <w:t xml:space="preserve">the product complies with the determination and </w:t>
      </w:r>
    </w:p>
    <w:p w:rsidR="00B9776D" w:rsidRPr="00B9776D" w:rsidRDefault="00B9776D" w:rsidP="00F01731">
      <w:pPr>
        <w:pStyle w:val="ListBullet"/>
        <w:numPr>
          <w:ilvl w:val="0"/>
          <w:numId w:val="6"/>
        </w:numPr>
      </w:pPr>
      <w:proofErr w:type="gramStart"/>
      <w:r w:rsidRPr="00B9776D">
        <w:t>the</w:t>
      </w:r>
      <w:proofErr w:type="gramEnd"/>
      <w:r w:rsidRPr="00B9776D">
        <w:t xml:space="preserve"> supply, offer, or use complies with the determination.</w:t>
      </w:r>
    </w:p>
    <w:p w:rsidR="00B9776D" w:rsidRDefault="00F6749E" w:rsidP="00F6749E">
      <w:pPr>
        <w:pStyle w:val="Heading3"/>
      </w:pPr>
      <w:bookmarkStart w:id="14" w:name="_Toc471476042"/>
      <w:r>
        <w:t>2</w:t>
      </w:r>
      <w:r w:rsidR="00B9776D" w:rsidRPr="00B9776D">
        <w:t>.2.2 Activities that are cost recovered</w:t>
      </w:r>
      <w:bookmarkEnd w:id="14"/>
    </w:p>
    <w:p w:rsidR="00851A68" w:rsidRDefault="00851A68" w:rsidP="00D469C0">
      <w:r>
        <w:t xml:space="preserve">When a model of a GEMS product is registered, registrants are charged a registration fee to recover the costs of providing the registration and compliance monitoring services under the GEMS Act. </w:t>
      </w:r>
    </w:p>
    <w:p w:rsidR="00851A68" w:rsidRDefault="00851A68" w:rsidP="00D469C0"/>
    <w:p w:rsidR="00851A68" w:rsidRDefault="00851A68" w:rsidP="00D469C0">
      <w:r>
        <w:t xml:space="preserve">The </w:t>
      </w:r>
      <w:r w:rsidRPr="00FD1923">
        <w:rPr>
          <w:i/>
        </w:rPr>
        <w:t>Greenhouse and Energy Minimum Standards (Registration Fees) Act 2012</w:t>
      </w:r>
      <w:r>
        <w:t xml:space="preserve"> sets out what matters can be considered by the GEMS Regulator when setting registration fees – essentially the activities whose costs can be recovered. These are</w:t>
      </w:r>
      <w:r w:rsidR="003A437A">
        <w:t xml:space="preserve"> the cost of</w:t>
      </w:r>
      <w:r>
        <w:t>:</w:t>
      </w:r>
    </w:p>
    <w:p w:rsidR="00851A68" w:rsidRDefault="00851A68" w:rsidP="00F01731">
      <w:pPr>
        <w:pStyle w:val="ListBullet"/>
        <w:numPr>
          <w:ilvl w:val="0"/>
          <w:numId w:val="9"/>
        </w:numPr>
      </w:pPr>
      <w:r>
        <w:t>processing registration application</w:t>
      </w:r>
      <w:r w:rsidR="00BA27D1">
        <w:t>s</w:t>
      </w:r>
    </w:p>
    <w:p w:rsidR="00851A68" w:rsidRDefault="00851A68" w:rsidP="00F01731">
      <w:pPr>
        <w:pStyle w:val="ListBullet"/>
        <w:numPr>
          <w:ilvl w:val="0"/>
          <w:numId w:val="9"/>
        </w:numPr>
      </w:pPr>
      <w:proofErr w:type="gramStart"/>
      <w:r>
        <w:t>compliance</w:t>
      </w:r>
      <w:proofErr w:type="gramEnd"/>
      <w:r>
        <w:t xml:space="preserve"> monitoring (including testing) in relation to models of GEMS products, for the purposes of the </w:t>
      </w:r>
      <w:r w:rsidRPr="00FD1923">
        <w:rPr>
          <w:i/>
        </w:rPr>
        <w:t>Greenhouse and Energy Minimum Standards Act 2012</w:t>
      </w:r>
      <w:r>
        <w:t>.</w:t>
      </w:r>
    </w:p>
    <w:p w:rsidR="00851A68" w:rsidRDefault="00851A68" w:rsidP="00D469C0">
      <w:r>
        <w:t xml:space="preserve">The </w:t>
      </w:r>
      <w:r w:rsidRPr="00FD1923">
        <w:rPr>
          <w:i/>
        </w:rPr>
        <w:t>GEMS (Registration Fees) Act 2012</w:t>
      </w:r>
      <w:r>
        <w:t xml:space="preserve"> Supplementary Explanatory Memorandum provided additional clarification on what fees could be used for</w:t>
      </w:r>
      <w:r w:rsidR="003A437A">
        <w:t>:</w:t>
      </w:r>
    </w:p>
    <w:p w:rsidR="00851A68" w:rsidRDefault="00851A68" w:rsidP="00D469C0"/>
    <w:p w:rsidR="00851A68" w:rsidRPr="00FD1923" w:rsidRDefault="00FD1923" w:rsidP="00D469C0">
      <w:pPr>
        <w:ind w:left="720"/>
      </w:pPr>
      <w:r>
        <w:t>‘</w:t>
      </w:r>
      <w:r w:rsidR="00851A68" w:rsidRPr="00FD1923">
        <w:t xml:space="preserve">Registration fees may only recover the costs incurred processing applications to register products under the </w:t>
      </w:r>
      <w:r w:rsidR="00851A68" w:rsidRPr="00DC66E1">
        <w:rPr>
          <w:i/>
        </w:rPr>
        <w:t>Greenhouse and Energy Minimum Standards Act 2012</w:t>
      </w:r>
      <w:r w:rsidR="00851A68" w:rsidRPr="00FD1923">
        <w:t>, and costs incurred monitoring compliance with the Act. Costs incurred processing registration applications may include costs such as the staff required to process and approve applications, the costs of establishing and maintaining the registration portal and database for registration applications, the cost of procuring specialist advice to identify whether niche products comply with relevant standards, or the cost of communicating with existing and prospective applicants.</w:t>
      </w:r>
    </w:p>
    <w:p w:rsidR="00851A68" w:rsidRPr="00FD1923" w:rsidRDefault="00851A68" w:rsidP="00D469C0">
      <w:pPr>
        <w:ind w:left="720"/>
      </w:pPr>
    </w:p>
    <w:p w:rsidR="00851A68" w:rsidRPr="00FD1923" w:rsidRDefault="00FD1923" w:rsidP="00D469C0">
      <w:pPr>
        <w:ind w:left="720"/>
      </w:pPr>
      <w:r>
        <w:t>‘</w:t>
      </w:r>
      <w:r w:rsidR="00851A68" w:rsidRPr="00FD1923">
        <w:t>Costs incurred in compliance monitoring may include testing products for compliance with relevant standards, training inspectors and conducting store audits or online monitoring to identify whether products comply with standards, and the cost of communicating with persons who are r</w:t>
      </w:r>
      <w:r>
        <w:t>equired to comply with the Act.’</w:t>
      </w:r>
    </w:p>
    <w:p w:rsidR="00851A68" w:rsidRDefault="00851A68" w:rsidP="00D469C0"/>
    <w:p w:rsidR="00851A68" w:rsidRDefault="00851A68" w:rsidP="00D469C0">
      <w:r w:rsidRPr="00851A68">
        <w:t>No portion of any policy work that is carried out related to GEMS such as labelling design and trademarking, Regulation Impact Statement (RIS) development, retailer training and product consultation with industry</w:t>
      </w:r>
      <w:r w:rsidR="00DC66E1">
        <w:t>,</w:t>
      </w:r>
      <w:r w:rsidRPr="00851A68">
        <w:t xml:space="preserve"> </w:t>
      </w:r>
      <w:r w:rsidR="00DC66E1">
        <w:t>is</w:t>
      </w:r>
      <w:r w:rsidRPr="00851A68">
        <w:t xml:space="preserve"> recovered through registration fees.  </w:t>
      </w:r>
    </w:p>
    <w:p w:rsidR="00851A68" w:rsidRDefault="00851A68" w:rsidP="00D469C0"/>
    <w:p w:rsidR="00851A68" w:rsidRDefault="00F6749E" w:rsidP="00F6749E">
      <w:pPr>
        <w:pStyle w:val="Heading3"/>
      </w:pPr>
      <w:bookmarkStart w:id="15" w:name="_Toc471476043"/>
      <w:r>
        <w:lastRenderedPageBreak/>
        <w:t>2</w:t>
      </w:r>
      <w:r w:rsidR="00851A68" w:rsidRPr="00851A68">
        <w:t>.2.3 Appropriateness of cost recovery and who pays</w:t>
      </w:r>
      <w:bookmarkEnd w:id="15"/>
    </w:p>
    <w:p w:rsidR="00851A68" w:rsidRDefault="00851A68" w:rsidP="00D469C0">
      <w:r>
        <w:t xml:space="preserve">The program is a national program with Commonwealth legislation supported under an intergovernmental agreement (IGA). The implementation of GEMS created a nationally-consistent framework for regulating equipment energy efficiency, replacing and improving on the previously inconsistent state and territory legislation. Prior to the GEMS Act being introduced, equipment energy efficiency was nationally coordinated with regulations implemented via individual state and territory legislation. </w:t>
      </w:r>
    </w:p>
    <w:p w:rsidR="00851A68" w:rsidRDefault="00851A68" w:rsidP="00D469C0"/>
    <w:p w:rsidR="00851A68" w:rsidRDefault="00851A68" w:rsidP="00D469C0">
      <w:r>
        <w:t xml:space="preserve">Individual consumers and industry benefit through lower energy costs by the introduction of minimum energy performance standards and mandatory labelling for specified products. As it is difficult to charge the consumer as the primary beneficiary, the costs </w:t>
      </w:r>
      <w:r w:rsidR="00322245">
        <w:t xml:space="preserve">of complying with the GEMS legislation </w:t>
      </w:r>
      <w:r>
        <w:t>are charged to the suppliers, importers or manufacturers who may then pass them on to consumers.</w:t>
      </w:r>
    </w:p>
    <w:p w:rsidR="00851A68" w:rsidRDefault="00851A68" w:rsidP="00D469C0"/>
    <w:p w:rsidR="00851A68" w:rsidRDefault="00851A68" w:rsidP="00D469C0">
      <w:r>
        <w:t xml:space="preserve">The Australian Government’s approval for the program in 2012 was on the basis of full recovery of the costs of the registration service, and phased-in cost recovery of the compliance monitoring and enforcement activities, with the clear expectation that it would move over time to the full recovery of these costs. There has been no increase to fees since the inception of the program in 2012. It is now timely to provide a way forward for the program to be fully cost-recovered within the forward estimates (2020-2021). </w:t>
      </w:r>
    </w:p>
    <w:p w:rsidR="00851A68" w:rsidRDefault="00851A68" w:rsidP="00D469C0"/>
    <w:p w:rsidR="00943848" w:rsidRDefault="00943848" w:rsidP="00D469C0">
      <w:pPr>
        <w:pBdr>
          <w:top w:val="single" w:sz="4" w:space="1" w:color="auto"/>
          <w:left w:val="single" w:sz="4" w:space="4" w:color="auto"/>
          <w:bottom w:val="single" w:sz="4" w:space="1" w:color="auto"/>
          <w:right w:val="single" w:sz="4" w:space="4" w:color="auto"/>
        </w:pBdr>
        <w:rPr>
          <w:b/>
        </w:rPr>
      </w:pPr>
    </w:p>
    <w:p w:rsidR="00851A68" w:rsidRDefault="00851A68" w:rsidP="00D469C0">
      <w:pPr>
        <w:pBdr>
          <w:top w:val="single" w:sz="4" w:space="1" w:color="auto"/>
          <w:left w:val="single" w:sz="4" w:space="4" w:color="auto"/>
          <w:bottom w:val="single" w:sz="4" w:space="1" w:color="auto"/>
          <w:right w:val="single" w:sz="4" w:space="4" w:color="auto"/>
        </w:pBdr>
      </w:pPr>
      <w:r w:rsidRPr="00D469C0">
        <w:rPr>
          <w:b/>
        </w:rPr>
        <w:t>Recommendation 1</w:t>
      </w:r>
      <w:r w:rsidR="00322245">
        <w:rPr>
          <w:b/>
        </w:rPr>
        <w:t xml:space="preserve">: </w:t>
      </w:r>
      <w:r w:rsidRPr="00851A68">
        <w:t>Increase fees to move towards full cost recovery by 2020-2021.</w:t>
      </w:r>
    </w:p>
    <w:p w:rsidR="00943848" w:rsidRDefault="00943848" w:rsidP="00D469C0">
      <w:pPr>
        <w:pBdr>
          <w:top w:val="single" w:sz="4" w:space="1" w:color="auto"/>
          <w:left w:val="single" w:sz="4" w:space="4" w:color="auto"/>
          <w:bottom w:val="single" w:sz="4" w:space="1" w:color="auto"/>
          <w:right w:val="single" w:sz="4" w:space="4" w:color="auto"/>
        </w:pBdr>
      </w:pPr>
    </w:p>
    <w:p w:rsidR="00C401C8" w:rsidRDefault="00C401C8" w:rsidP="00D469C0"/>
    <w:p w:rsidR="00C401C8" w:rsidRDefault="00C401C8" w:rsidP="00D469C0">
      <w:r>
        <w:br w:type="page"/>
      </w:r>
    </w:p>
    <w:p w:rsidR="00C401C8" w:rsidRDefault="00F6749E" w:rsidP="00C06BA6">
      <w:pPr>
        <w:pStyle w:val="Heading1"/>
      </w:pPr>
      <w:bookmarkStart w:id="16" w:name="_Toc471476044"/>
      <w:r>
        <w:lastRenderedPageBreak/>
        <w:t>3.0</w:t>
      </w:r>
      <w:r w:rsidR="00C401C8" w:rsidRPr="00C401C8">
        <w:t xml:space="preserve"> Authority to Cost Recover</w:t>
      </w:r>
      <w:bookmarkEnd w:id="16"/>
    </w:p>
    <w:p w:rsidR="00C401C8" w:rsidRDefault="00F6749E" w:rsidP="005B71C1">
      <w:pPr>
        <w:pStyle w:val="Heading2"/>
      </w:pPr>
      <w:bookmarkStart w:id="17" w:name="_Toc471476045"/>
      <w:r>
        <w:t>3</w:t>
      </w:r>
      <w:r w:rsidR="00D12B41">
        <w:t xml:space="preserve">.1 </w:t>
      </w:r>
      <w:r w:rsidR="00C401C8" w:rsidRPr="00C401C8">
        <w:t>Government policy approval to cost recover the regulatory activity</w:t>
      </w:r>
      <w:bookmarkEnd w:id="17"/>
    </w:p>
    <w:p w:rsidR="00C401C8" w:rsidRDefault="00C401C8" w:rsidP="00D469C0">
      <w:r>
        <w:t xml:space="preserve">The </w:t>
      </w:r>
      <w:r w:rsidRPr="00A926BF">
        <w:rPr>
          <w:i/>
        </w:rPr>
        <w:t>Greenhouse and Energy Minimum Standards (GEMS) Act 2012</w:t>
      </w:r>
      <w:r>
        <w:t xml:space="preserve"> and the </w:t>
      </w:r>
      <w:r w:rsidRPr="00A926BF">
        <w:rPr>
          <w:i/>
        </w:rPr>
        <w:t>Greenhouse and Energy Minimum Standards (Registration Fees) Act 2012</w:t>
      </w:r>
      <w:r>
        <w:t xml:space="preserve"> commenced on 1 October 2012. </w:t>
      </w:r>
    </w:p>
    <w:p w:rsidR="00C401C8" w:rsidRDefault="00C401C8" w:rsidP="00D469C0"/>
    <w:p w:rsidR="00A926BF" w:rsidRDefault="00C401C8" w:rsidP="00D469C0">
      <w:r>
        <w:t>Policy authority for GEMS was provided for in the 2012-13 Budget</w:t>
      </w:r>
      <w:r w:rsidR="00943848">
        <w:t>,</w:t>
      </w:r>
      <w:r>
        <w:t xml:space="preserve"> under </w:t>
      </w:r>
      <w:r w:rsidR="00322245">
        <w:t>‘</w:t>
      </w:r>
      <w:r>
        <w:t>National Greenhouse and Energy Minimum Standards Program – establishment</w:t>
      </w:r>
      <w:r w:rsidR="00322245">
        <w:t>’</w:t>
      </w:r>
      <w:r w:rsidR="00D469C0">
        <w:t>.</w:t>
      </w:r>
      <w:r>
        <w:t xml:space="preserve"> The</w:t>
      </w:r>
      <w:r w:rsidR="00A926BF">
        <w:t xml:space="preserve"> Budget papers outlined that:</w:t>
      </w:r>
    </w:p>
    <w:p w:rsidR="00C401C8" w:rsidRDefault="00A926BF" w:rsidP="00A926BF">
      <w:pPr>
        <w:ind w:left="720"/>
      </w:pPr>
      <w:r>
        <w:t>‘</w:t>
      </w:r>
      <w:r w:rsidR="00D469C0">
        <w:t>…</w:t>
      </w:r>
      <w:r>
        <w:t xml:space="preserve">the </w:t>
      </w:r>
      <w:r w:rsidR="00C401C8">
        <w:t>costs of product registration will be fully recovered, while recovery of the costs of compliance monitor</w:t>
      </w:r>
      <w:r w:rsidR="00D469C0">
        <w:t>ing will be phased in from 2012-</w:t>
      </w:r>
      <w:r w:rsidR="00C401C8">
        <w:t>13, in accordance with the Australian Government Cost Recovery Guidelines. The fees will</w:t>
      </w:r>
      <w:r>
        <w:t xml:space="preserve"> be reviewed every three years.’</w:t>
      </w:r>
    </w:p>
    <w:p w:rsidR="00C401C8" w:rsidRDefault="00C401C8" w:rsidP="00D469C0"/>
    <w:p w:rsidR="00C401C8" w:rsidRDefault="00F6749E" w:rsidP="005B71C1">
      <w:pPr>
        <w:pStyle w:val="Heading2"/>
      </w:pPr>
      <w:bookmarkStart w:id="18" w:name="_Toc471476046"/>
      <w:r>
        <w:t>3</w:t>
      </w:r>
      <w:r w:rsidR="00D12B41">
        <w:t xml:space="preserve">.2 </w:t>
      </w:r>
      <w:r w:rsidR="00C401C8" w:rsidRPr="00C401C8">
        <w:t>Statutory authority to charge</w:t>
      </w:r>
      <w:bookmarkEnd w:id="18"/>
    </w:p>
    <w:p w:rsidR="00C401C8" w:rsidRDefault="00C401C8" w:rsidP="00D469C0">
      <w:r>
        <w:t xml:space="preserve">The legislation and authority relied on to charge fees and cost recover are: </w:t>
      </w:r>
    </w:p>
    <w:p w:rsidR="00C401C8" w:rsidRPr="00943848" w:rsidRDefault="00197FDD" w:rsidP="00F01731">
      <w:pPr>
        <w:pStyle w:val="ListBullet"/>
      </w:pPr>
      <w:r>
        <w:t xml:space="preserve">the </w:t>
      </w:r>
      <w:r w:rsidR="00C401C8" w:rsidRPr="00197FDD">
        <w:rPr>
          <w:i/>
        </w:rPr>
        <w:t>Greenhouse and Energy Minimum Standards Act 2012 (GEMS Act)</w:t>
      </w:r>
      <w:r w:rsidR="00C401C8" w:rsidRPr="00943848">
        <w:t xml:space="preserve"> </w:t>
      </w:r>
    </w:p>
    <w:p w:rsidR="00C401C8" w:rsidRPr="00943848" w:rsidRDefault="00197FDD" w:rsidP="00F01731">
      <w:pPr>
        <w:pStyle w:val="ListBullet"/>
      </w:pPr>
      <w:r>
        <w:t xml:space="preserve">the </w:t>
      </w:r>
      <w:r w:rsidR="00C401C8" w:rsidRPr="00197FDD">
        <w:rPr>
          <w:i/>
        </w:rPr>
        <w:t>GEMS (Registration Fees) Act 2012</w:t>
      </w:r>
    </w:p>
    <w:p w:rsidR="00C401C8" w:rsidRPr="00943848" w:rsidRDefault="00197FDD" w:rsidP="00F01731">
      <w:pPr>
        <w:pStyle w:val="ListBullet"/>
      </w:pPr>
      <w:r>
        <w:t xml:space="preserve">the </w:t>
      </w:r>
      <w:r w:rsidR="00C401C8" w:rsidRPr="00197FDD">
        <w:rPr>
          <w:i/>
        </w:rPr>
        <w:t>GEMS Regulation 2012 (GEMS Regulations)</w:t>
      </w:r>
    </w:p>
    <w:p w:rsidR="00C401C8" w:rsidRPr="00943848" w:rsidRDefault="00197FDD" w:rsidP="00F01731">
      <w:pPr>
        <w:pStyle w:val="ListBullet"/>
      </w:pPr>
      <w:r>
        <w:t xml:space="preserve">the </w:t>
      </w:r>
      <w:r w:rsidR="00C401C8" w:rsidRPr="00197FDD">
        <w:rPr>
          <w:i/>
        </w:rPr>
        <w:t>GEMS Registration Fees Instrument</w:t>
      </w:r>
      <w:r w:rsidR="00C401C8" w:rsidRPr="00943848">
        <w:t xml:space="preserve"> </w:t>
      </w:r>
    </w:p>
    <w:p w:rsidR="00C401C8" w:rsidRPr="00943848" w:rsidRDefault="00197FDD" w:rsidP="00F01731">
      <w:pPr>
        <w:pStyle w:val="ListBullet"/>
      </w:pPr>
      <w:proofErr w:type="gramStart"/>
      <w:r>
        <w:t>the</w:t>
      </w:r>
      <w:proofErr w:type="gramEnd"/>
      <w:r>
        <w:t xml:space="preserve"> </w:t>
      </w:r>
      <w:r w:rsidR="00C401C8" w:rsidRPr="00197FDD">
        <w:rPr>
          <w:i/>
        </w:rPr>
        <w:t>GEMS Variation of a Model’s Registration – Application Fees 2014</w:t>
      </w:r>
      <w:r w:rsidR="00322245" w:rsidRPr="00943848">
        <w:t>.</w:t>
      </w:r>
    </w:p>
    <w:p w:rsidR="00C401C8" w:rsidRDefault="00C401C8" w:rsidP="00D469C0">
      <w:r>
        <w:t xml:space="preserve">Section 41 of the GEMS Act allows a person to apply to the GEMS </w:t>
      </w:r>
      <w:r w:rsidR="00322245">
        <w:t>R</w:t>
      </w:r>
      <w:r>
        <w:t>egulator to register models of GEMS products. Section 64(1) of the GEMS Act requires that applications be made in the approved form</w:t>
      </w:r>
      <w:r w:rsidR="00A926BF">
        <w:t>, and that applications under s</w:t>
      </w:r>
      <w:r>
        <w:t>41 to register models of GEMS products be accompanied by the relevant fee imposed under the GEMS Registration Fees Act.</w:t>
      </w:r>
    </w:p>
    <w:p w:rsidR="00C401C8" w:rsidRDefault="00C401C8" w:rsidP="00D469C0"/>
    <w:p w:rsidR="00C401C8" w:rsidRDefault="00C401C8" w:rsidP="00D469C0">
      <w:r>
        <w:br w:type="page"/>
      </w:r>
    </w:p>
    <w:p w:rsidR="00C401C8" w:rsidRDefault="00F6749E" w:rsidP="00C06BA6">
      <w:pPr>
        <w:pStyle w:val="Heading1"/>
      </w:pPr>
      <w:bookmarkStart w:id="19" w:name="_Toc471476047"/>
      <w:r>
        <w:t>4</w:t>
      </w:r>
      <w:r w:rsidR="00C401C8">
        <w:t>.</w:t>
      </w:r>
      <w:r>
        <w:t>0</w:t>
      </w:r>
      <w:r w:rsidR="00C401C8">
        <w:t xml:space="preserve"> </w:t>
      </w:r>
      <w:r w:rsidR="00C401C8" w:rsidRPr="00C401C8">
        <w:t>Cost Recovery Model</w:t>
      </w:r>
      <w:bookmarkEnd w:id="19"/>
    </w:p>
    <w:p w:rsidR="00C401C8" w:rsidRDefault="00F6749E" w:rsidP="005B71C1">
      <w:pPr>
        <w:pStyle w:val="Heading2"/>
      </w:pPr>
      <w:bookmarkStart w:id="20" w:name="_Toc471476048"/>
      <w:r>
        <w:t>4</w:t>
      </w:r>
      <w:r w:rsidR="00D12B41">
        <w:t xml:space="preserve">.1 </w:t>
      </w:r>
      <w:r w:rsidR="00C401C8" w:rsidRPr="00C401C8">
        <w:t>Outputs and business processes of the regulatory charging activity</w:t>
      </w:r>
      <w:bookmarkEnd w:id="20"/>
    </w:p>
    <w:p w:rsidR="00EC515B" w:rsidRDefault="00FB1516" w:rsidP="00D469C0">
      <w:r w:rsidRPr="00FB1516">
        <w:t xml:space="preserve">The outputs of the regulatory charging activity are the processing of registration applications and the cost of compliance monitoring including testing. </w:t>
      </w:r>
    </w:p>
    <w:p w:rsidR="00FB1516" w:rsidRDefault="00FB1516" w:rsidP="00D469C0"/>
    <w:p w:rsidR="00FB1516" w:rsidRDefault="00F6749E" w:rsidP="00F6749E">
      <w:pPr>
        <w:pStyle w:val="Heading3"/>
      </w:pPr>
      <w:bookmarkStart w:id="21" w:name="_Toc471476049"/>
      <w:r>
        <w:t xml:space="preserve">4.1.1 </w:t>
      </w:r>
      <w:r w:rsidR="00FB1516" w:rsidRPr="00D469C0">
        <w:t>Registration</w:t>
      </w:r>
      <w:bookmarkEnd w:id="21"/>
      <w:r w:rsidR="00FB1516" w:rsidRPr="00D469C0">
        <w:t xml:space="preserve"> </w:t>
      </w:r>
    </w:p>
    <w:p w:rsidR="00EC515B" w:rsidRPr="00EC515B" w:rsidRDefault="00EC515B" w:rsidP="008B22AD">
      <w:r w:rsidRPr="00FB1516">
        <w:t>The key outputs and business processes for registration</w:t>
      </w:r>
      <w:r w:rsidR="00BA27D1">
        <w:t xml:space="preserve"> </w:t>
      </w:r>
      <w:r>
        <w:t>are listed below:</w:t>
      </w:r>
    </w:p>
    <w:p w:rsidR="00FB1516" w:rsidRDefault="00FB1516" w:rsidP="00F01731">
      <w:pPr>
        <w:pStyle w:val="ListBullet"/>
        <w:ind w:left="709"/>
      </w:pPr>
      <w:r>
        <w:t>manage over 50</w:t>
      </w:r>
      <w:r w:rsidR="00943848">
        <w:t>0</w:t>
      </w:r>
      <w:r>
        <w:t>0 product registrations per year</w:t>
      </w:r>
    </w:p>
    <w:p w:rsidR="00FB1516" w:rsidRDefault="00FB1516" w:rsidP="00F01731">
      <w:pPr>
        <w:pStyle w:val="ListBullet"/>
        <w:ind w:left="709"/>
      </w:pPr>
      <w:r>
        <w:t>receive and respond to over 1000 enquiries per year</w:t>
      </w:r>
    </w:p>
    <w:p w:rsidR="00FB1516" w:rsidRDefault="00FB1516" w:rsidP="00F01731">
      <w:pPr>
        <w:pStyle w:val="ListBullet"/>
        <w:ind w:left="709"/>
      </w:pPr>
      <w:r>
        <w:t xml:space="preserve">process registration variations  </w:t>
      </w:r>
    </w:p>
    <w:p w:rsidR="00FB1516" w:rsidRDefault="00FB1516" w:rsidP="00F01731">
      <w:pPr>
        <w:pStyle w:val="ListBullet"/>
        <w:ind w:left="709"/>
      </w:pPr>
      <w:r>
        <w:t>process registration renewals</w:t>
      </w:r>
    </w:p>
    <w:p w:rsidR="00FB1516" w:rsidRDefault="00FB1516" w:rsidP="00F01731">
      <w:pPr>
        <w:pStyle w:val="ListBullet"/>
        <w:ind w:left="709"/>
      </w:pPr>
      <w:proofErr w:type="gramStart"/>
      <w:r>
        <w:t>process</w:t>
      </w:r>
      <w:proofErr w:type="gramEnd"/>
      <w:r>
        <w:t xml:space="preserve"> applications for exemption.</w:t>
      </w:r>
    </w:p>
    <w:p w:rsidR="00A064C3" w:rsidRDefault="00A064C3" w:rsidP="00D469C0">
      <w:r>
        <w:t>The GEMS Regulator has several operational targets which are published performance measures</w:t>
      </w:r>
      <w:r w:rsidR="003A437A">
        <w:t>:</w:t>
      </w:r>
    </w:p>
    <w:p w:rsidR="00A064C3" w:rsidRDefault="00322245" w:rsidP="00F01731">
      <w:pPr>
        <w:pStyle w:val="ListBullet"/>
        <w:ind w:left="709"/>
      </w:pPr>
      <w:r>
        <w:t>A</w:t>
      </w:r>
      <w:r w:rsidR="00A064C3">
        <w:t>pplications for registration are processed within 28 days (Statement of Service)</w:t>
      </w:r>
      <w:r>
        <w:t>.</w:t>
      </w:r>
    </w:p>
    <w:p w:rsidR="00A064C3" w:rsidRDefault="00322245" w:rsidP="00F01731">
      <w:pPr>
        <w:pStyle w:val="ListBullet"/>
        <w:ind w:left="709"/>
      </w:pPr>
      <w:r>
        <w:t>A</w:t>
      </w:r>
      <w:r w:rsidR="00A064C3">
        <w:t>pplicants are notified if items remain under consideration after 42 days (GEMS Act)</w:t>
      </w:r>
      <w:r>
        <w:t>.</w:t>
      </w:r>
    </w:p>
    <w:p w:rsidR="00A064C3" w:rsidRDefault="00322245" w:rsidP="00F01731">
      <w:pPr>
        <w:pStyle w:val="ListBullet"/>
        <w:ind w:left="709"/>
      </w:pPr>
      <w:r>
        <w:t>R</w:t>
      </w:r>
      <w:r w:rsidR="00A064C3">
        <w:t xml:space="preserve">eceipt of queries </w:t>
      </w:r>
      <w:r>
        <w:t xml:space="preserve">is acknowledged </w:t>
      </w:r>
      <w:r w:rsidR="00A064C3">
        <w:t>on the same day (Statement of Service)</w:t>
      </w:r>
      <w:r>
        <w:t>.</w:t>
      </w:r>
    </w:p>
    <w:p w:rsidR="00A064C3" w:rsidRDefault="00322245" w:rsidP="00F01731">
      <w:pPr>
        <w:pStyle w:val="ListBullet"/>
        <w:ind w:left="709"/>
      </w:pPr>
      <w:r>
        <w:t>R</w:t>
      </w:r>
      <w:r w:rsidR="00A064C3">
        <w:t xml:space="preserve">esponses to queries </w:t>
      </w:r>
      <w:r>
        <w:t xml:space="preserve">are provided </w:t>
      </w:r>
      <w:r w:rsidR="00A064C3">
        <w:t>within 10 days (Statement of Service)</w:t>
      </w:r>
      <w:r>
        <w:t>.</w:t>
      </w:r>
    </w:p>
    <w:p w:rsidR="00170A23" w:rsidRDefault="00322245" w:rsidP="00F01731">
      <w:pPr>
        <w:pStyle w:val="ListBullet"/>
        <w:ind w:left="709"/>
      </w:pPr>
      <w:r>
        <w:t>C</w:t>
      </w:r>
      <w:r w:rsidR="00A064C3">
        <w:t>oncerns with service or performance are responded to in writing within 28 days (Statement of Service).</w:t>
      </w:r>
    </w:p>
    <w:p w:rsidR="00170A23" w:rsidRDefault="00F6749E" w:rsidP="00F6749E">
      <w:pPr>
        <w:pStyle w:val="Heading3"/>
      </w:pPr>
      <w:bookmarkStart w:id="22" w:name="_Toc471476050"/>
      <w:r>
        <w:t xml:space="preserve">4.1.2 </w:t>
      </w:r>
      <w:r w:rsidR="00170A23" w:rsidRPr="00D469C0">
        <w:t>Compliance</w:t>
      </w:r>
      <w:bookmarkEnd w:id="22"/>
      <w:r w:rsidR="00170A23" w:rsidRPr="00D469C0">
        <w:t xml:space="preserve"> </w:t>
      </w:r>
    </w:p>
    <w:p w:rsidR="00EC515B" w:rsidRDefault="00EC515B" w:rsidP="00EC515B">
      <w:r w:rsidRPr="00FB1516">
        <w:t>The key outputs and business processes for registration and compliance are listed below</w:t>
      </w:r>
      <w:r>
        <w:t>:</w:t>
      </w:r>
    </w:p>
    <w:p w:rsidR="00170A23" w:rsidRPr="00E71885" w:rsidRDefault="00170A23" w:rsidP="00F01731">
      <w:pPr>
        <w:pStyle w:val="ListBullet"/>
        <w:numPr>
          <w:ilvl w:val="0"/>
          <w:numId w:val="8"/>
        </w:numPr>
      </w:pPr>
      <w:r w:rsidRPr="00E71885">
        <w:t>engagement and education</w:t>
      </w:r>
    </w:p>
    <w:p w:rsidR="00170A23" w:rsidRPr="00E71885" w:rsidRDefault="00170A23" w:rsidP="00F01731">
      <w:pPr>
        <w:pStyle w:val="ListBullet"/>
        <w:numPr>
          <w:ilvl w:val="0"/>
          <w:numId w:val="8"/>
        </w:numPr>
      </w:pPr>
      <w:r w:rsidRPr="00E71885">
        <w:t>monitoring compliance</w:t>
      </w:r>
    </w:p>
    <w:p w:rsidR="00170A23" w:rsidRPr="00E71885" w:rsidRDefault="00943848" w:rsidP="00F01731">
      <w:pPr>
        <w:pStyle w:val="ListBullet"/>
      </w:pPr>
      <w:r>
        <w:t xml:space="preserve">check testing - </w:t>
      </w:r>
      <w:r w:rsidR="00170A23" w:rsidRPr="00E71885">
        <w:t xml:space="preserve">to verify through laboratory testing, whether models of GEMS products meet relevant GEMS-level requirements and the energy efficiency claims of manufacturers and suppliers </w:t>
      </w:r>
    </w:p>
    <w:p w:rsidR="00170A23" w:rsidRPr="00E71885" w:rsidRDefault="00170A23" w:rsidP="00F01731">
      <w:pPr>
        <w:pStyle w:val="ListBullet"/>
      </w:pPr>
      <w:r w:rsidRPr="00E71885">
        <w:t>market surveillance—to ensure GEMS products meet GEMS registration and labelling requirements</w:t>
      </w:r>
    </w:p>
    <w:p w:rsidR="00170A23" w:rsidRPr="00E71885" w:rsidRDefault="00170A23" w:rsidP="00F01731">
      <w:pPr>
        <w:pStyle w:val="ListBullet"/>
        <w:numPr>
          <w:ilvl w:val="0"/>
          <w:numId w:val="8"/>
        </w:numPr>
      </w:pPr>
      <w:r w:rsidRPr="00E71885">
        <w:t>investigating non-compliance</w:t>
      </w:r>
    </w:p>
    <w:p w:rsidR="00170A23" w:rsidRPr="00E71885" w:rsidRDefault="00170A23" w:rsidP="00F01731">
      <w:pPr>
        <w:pStyle w:val="ListBullet"/>
        <w:numPr>
          <w:ilvl w:val="0"/>
          <w:numId w:val="8"/>
        </w:numPr>
      </w:pPr>
      <w:r w:rsidRPr="00E71885">
        <w:t>responding to non-compliance</w:t>
      </w:r>
    </w:p>
    <w:p w:rsidR="00170A23" w:rsidRPr="00E71885" w:rsidRDefault="00170A23" w:rsidP="00F01731">
      <w:pPr>
        <w:pStyle w:val="ListBullet"/>
        <w:numPr>
          <w:ilvl w:val="0"/>
          <w:numId w:val="8"/>
        </w:numPr>
      </w:pPr>
      <w:proofErr w:type="gramStart"/>
      <w:r w:rsidRPr="00E71885">
        <w:t>reviewing</w:t>
      </w:r>
      <w:proofErr w:type="gramEnd"/>
      <w:r w:rsidRPr="00E71885">
        <w:t xml:space="preserve"> all activities.</w:t>
      </w:r>
    </w:p>
    <w:p w:rsidR="00170A23" w:rsidRDefault="00170A23" w:rsidP="00943848">
      <w:r w:rsidRPr="00E71885">
        <w:t>In 2015-16, over 2,768 models of GEMS products requiring energy rating labels were surveyed, in addition to specialised and targeted surveys of numerous other GEMS products.  There were 104 models of GEMS products check tested in 2015-16 across a range of product types. Compliance activities are expected to increase in forward years.</w:t>
      </w:r>
    </w:p>
    <w:p w:rsidR="00EC515B" w:rsidRDefault="00EC515B" w:rsidP="00943848"/>
    <w:p w:rsidR="00170A23" w:rsidRDefault="00F6749E" w:rsidP="005B71C1">
      <w:pPr>
        <w:pStyle w:val="Heading2"/>
      </w:pPr>
      <w:bookmarkStart w:id="23" w:name="_Toc471476051"/>
      <w:r>
        <w:t>4</w:t>
      </w:r>
      <w:r w:rsidR="00D12B41">
        <w:t xml:space="preserve">.2 </w:t>
      </w:r>
      <w:r w:rsidR="00170A23" w:rsidRPr="00170A23">
        <w:t>Costs of the regulatory charging activity</w:t>
      </w:r>
      <w:bookmarkEnd w:id="23"/>
    </w:p>
    <w:p w:rsidR="00170A23" w:rsidRDefault="00170A23" w:rsidP="00D469C0">
      <w:r w:rsidRPr="00170A23">
        <w:t>The main cost drivers for GEMS arise from the cost</w:t>
      </w:r>
      <w:r w:rsidR="00C02A61">
        <w:t>s</w:t>
      </w:r>
      <w:r w:rsidRPr="00170A23">
        <w:t xml:space="preserve"> related to the delivery of registration services, compliance monitoring and enforcement activities. These include staff and non-staff costs.  </w:t>
      </w:r>
    </w:p>
    <w:p w:rsidR="00170A23" w:rsidRDefault="00170A23" w:rsidP="00D469C0"/>
    <w:p w:rsidR="00170A23" w:rsidRPr="00D469C0" w:rsidRDefault="00170A23" w:rsidP="00D469C0">
      <w:pPr>
        <w:rPr>
          <w:b/>
        </w:rPr>
      </w:pPr>
      <w:r w:rsidRPr="00D469C0">
        <w:rPr>
          <w:b/>
        </w:rPr>
        <w:t>Staff costs</w:t>
      </w:r>
    </w:p>
    <w:p w:rsidR="00170A23" w:rsidRDefault="00170A23" w:rsidP="00D469C0">
      <w:r>
        <w:t xml:space="preserve">Average staffing level costs were derived by conducting an internal assessment of the work across teams. A percentage of each staff member’s direct time allocated to the GEMS registration and compliance related activities as outlined in the </w:t>
      </w:r>
      <w:r w:rsidRPr="00A926BF">
        <w:rPr>
          <w:i/>
        </w:rPr>
        <w:t>GEMS (Registration Fees) Act 2012</w:t>
      </w:r>
      <w:r>
        <w:t xml:space="preserve"> and the Supplementary Explanatory Memorandum was obtained. Skills and attributes were determined to ensure staff at the appropriate level were properly accounted for.</w:t>
      </w:r>
    </w:p>
    <w:p w:rsidR="00170A23" w:rsidRDefault="00170A23" w:rsidP="00D469C0"/>
    <w:p w:rsidR="00170A23" w:rsidRPr="00D469C0" w:rsidRDefault="00F6749E" w:rsidP="00F6749E">
      <w:pPr>
        <w:pStyle w:val="Heading3"/>
      </w:pPr>
      <w:bookmarkStart w:id="24" w:name="_Toc471476052"/>
      <w:r>
        <w:t xml:space="preserve">4.2.1 </w:t>
      </w:r>
      <w:r w:rsidR="00170A23" w:rsidRPr="00D469C0">
        <w:t>Registration</w:t>
      </w:r>
      <w:bookmarkEnd w:id="24"/>
      <w:r w:rsidR="00170A23" w:rsidRPr="00D469C0">
        <w:t xml:space="preserve"> </w:t>
      </w:r>
    </w:p>
    <w:p w:rsidR="00170A23" w:rsidRDefault="00170A23" w:rsidP="00D469C0">
      <w:r>
        <w:t>Handling registration-related enquiries, the main cost drivers are:</w:t>
      </w:r>
    </w:p>
    <w:p w:rsidR="00170A23" w:rsidRDefault="00170A23" w:rsidP="00197FDD">
      <w:pPr>
        <w:pStyle w:val="ListBullet"/>
        <w:numPr>
          <w:ilvl w:val="0"/>
          <w:numId w:val="8"/>
        </w:numPr>
      </w:pPr>
      <w:r>
        <w:t>the number of enquiries</w:t>
      </w:r>
    </w:p>
    <w:p w:rsidR="00F01731" w:rsidRDefault="00170A23" w:rsidP="00F01731">
      <w:pPr>
        <w:pStyle w:val="ListBullet"/>
        <w:numPr>
          <w:ilvl w:val="0"/>
          <w:numId w:val="8"/>
        </w:numPr>
      </w:pPr>
      <w:proofErr w:type="gramStart"/>
      <w:r>
        <w:t>the</w:t>
      </w:r>
      <w:proofErr w:type="gramEnd"/>
      <w:r>
        <w:t xml:space="preserve"> complexity of the enquiries.</w:t>
      </w:r>
    </w:p>
    <w:p w:rsidR="00170A23" w:rsidRDefault="00170A23" w:rsidP="00F01731">
      <w:r>
        <w:t>Assessment for registrations, liaison, decision making and monitoring, the cost drivers include:</w:t>
      </w:r>
    </w:p>
    <w:p w:rsidR="00170A23" w:rsidRDefault="00170A23" w:rsidP="00197FDD">
      <w:pPr>
        <w:pStyle w:val="ListBullet"/>
        <w:numPr>
          <w:ilvl w:val="0"/>
          <w:numId w:val="8"/>
        </w:numPr>
      </w:pPr>
      <w:r>
        <w:t>the number of registration applications, renewals or exemption</w:t>
      </w:r>
    </w:p>
    <w:p w:rsidR="00170A23" w:rsidRDefault="00170A23" w:rsidP="00197FDD">
      <w:pPr>
        <w:pStyle w:val="ListBullet"/>
        <w:numPr>
          <w:ilvl w:val="0"/>
          <w:numId w:val="8"/>
        </w:numPr>
      </w:pPr>
      <w:r>
        <w:t>the complexity of the registration</w:t>
      </w:r>
    </w:p>
    <w:p w:rsidR="00170A23" w:rsidRDefault="00170A23" w:rsidP="00197FDD">
      <w:pPr>
        <w:pStyle w:val="ListBullet"/>
        <w:numPr>
          <w:ilvl w:val="0"/>
          <w:numId w:val="8"/>
        </w:numPr>
      </w:pPr>
      <w:r>
        <w:t>the type of registration</w:t>
      </w:r>
    </w:p>
    <w:p w:rsidR="00170A23" w:rsidRDefault="00170A23" w:rsidP="00197FDD">
      <w:pPr>
        <w:pStyle w:val="ListBullet"/>
        <w:numPr>
          <w:ilvl w:val="0"/>
          <w:numId w:val="8"/>
        </w:numPr>
      </w:pPr>
      <w:r>
        <w:t>the number of individual models that sit within the registration application</w:t>
      </w:r>
    </w:p>
    <w:p w:rsidR="00170A23" w:rsidRDefault="00170A23" w:rsidP="00197FDD">
      <w:pPr>
        <w:pStyle w:val="ListBullet"/>
        <w:numPr>
          <w:ilvl w:val="0"/>
          <w:numId w:val="8"/>
        </w:numPr>
      </w:pPr>
      <w:r>
        <w:t xml:space="preserve">the quality/completeness of the application </w:t>
      </w:r>
    </w:p>
    <w:p w:rsidR="00170A23" w:rsidRDefault="00170A23" w:rsidP="00197FDD">
      <w:pPr>
        <w:pStyle w:val="ListBullet"/>
        <w:numPr>
          <w:ilvl w:val="0"/>
          <w:numId w:val="8"/>
        </w:numPr>
      </w:pPr>
      <w:r>
        <w:t>whether the registration is varied, either at application point or throughout the registration period</w:t>
      </w:r>
    </w:p>
    <w:p w:rsidR="00170A23" w:rsidRDefault="00F01731" w:rsidP="00197FDD">
      <w:pPr>
        <w:pStyle w:val="ListBullet"/>
        <w:numPr>
          <w:ilvl w:val="0"/>
          <w:numId w:val="8"/>
        </w:numPr>
      </w:pPr>
      <w:proofErr w:type="gramStart"/>
      <w:r>
        <w:t>whether</w:t>
      </w:r>
      <w:proofErr w:type="gramEnd"/>
      <w:r w:rsidR="00170A23">
        <w:t xml:space="preserve"> legal advice is required on the interpretation of the GEMS Act and associated Determinations.</w:t>
      </w:r>
    </w:p>
    <w:p w:rsidR="005E4FCD" w:rsidRDefault="005E4FCD" w:rsidP="008B22AD">
      <w:r>
        <w:t xml:space="preserve">The review has identified the average cost to process an individual registration application is approximately $420.  </w:t>
      </w:r>
    </w:p>
    <w:p w:rsidR="005E4FCD" w:rsidRDefault="005E4FCD" w:rsidP="00D469C0"/>
    <w:p w:rsidR="00170A23" w:rsidRDefault="00170A23" w:rsidP="00D469C0">
      <w:r>
        <w:t>Ongoing improvements to internal and external processes such as:</w:t>
      </w:r>
    </w:p>
    <w:p w:rsidR="00170A23" w:rsidRDefault="00170A23" w:rsidP="00197FDD">
      <w:pPr>
        <w:pStyle w:val="ListBullet"/>
        <w:numPr>
          <w:ilvl w:val="0"/>
          <w:numId w:val="8"/>
        </w:numPr>
      </w:pPr>
      <w:r>
        <w:t>development and maintenance of guidance notes, standard operating procedures and ongoing enhancements to the registration system</w:t>
      </w:r>
    </w:p>
    <w:p w:rsidR="00170A23" w:rsidRDefault="00170A23" w:rsidP="00197FDD">
      <w:pPr>
        <w:pStyle w:val="ListBullet"/>
        <w:numPr>
          <w:ilvl w:val="0"/>
          <w:numId w:val="8"/>
        </w:numPr>
      </w:pPr>
      <w:proofErr w:type="gramStart"/>
      <w:r>
        <w:t>stakeholder</w:t>
      </w:r>
      <w:proofErr w:type="gramEnd"/>
      <w:r>
        <w:t xml:space="preserve"> management including mail outs and conducting satisfaction surveys.</w:t>
      </w:r>
    </w:p>
    <w:p w:rsidR="00170A23" w:rsidRDefault="00170A23" w:rsidP="00F01731">
      <w:r>
        <w:t>Two key activities for GEMS registration are outsourced to service providers.</w:t>
      </w:r>
    </w:p>
    <w:p w:rsidR="00F01731" w:rsidRDefault="00F01731" w:rsidP="00D469C0">
      <w:pPr>
        <w:rPr>
          <w:b/>
        </w:rPr>
      </w:pPr>
    </w:p>
    <w:p w:rsidR="00044F77" w:rsidRPr="00D469C0" w:rsidRDefault="00044F77" w:rsidP="00D469C0">
      <w:pPr>
        <w:rPr>
          <w:b/>
        </w:rPr>
      </w:pPr>
      <w:r w:rsidRPr="00D469C0">
        <w:rPr>
          <w:b/>
        </w:rPr>
        <w:t>GEMS Registration System</w:t>
      </w:r>
    </w:p>
    <w:p w:rsidR="00044F77" w:rsidRDefault="00044F77" w:rsidP="00D469C0">
      <w:r>
        <w:t>The GEMS registration system is an IT platform which sits on a subsite of th</w:t>
      </w:r>
      <w:r w:rsidR="00A926BF">
        <w:t xml:space="preserve">e energyrating.gov.au website. </w:t>
      </w:r>
      <w:r>
        <w:t>The registration system is used to manage registrati</w:t>
      </w:r>
      <w:r w:rsidR="00A926BF">
        <w:t>ons and compliance.</w:t>
      </w:r>
      <w:r>
        <w:t xml:space="preserve"> The system has been in place since the inception of GEMS in 2012 and houses over 23,000 approved product registrations and 75,000 individual product records. Throughout 2013-2015, extensive IT programming was carried out to ensure compliance with the GEMS Act and to aid the usability for both suppliers and the administration of the program. </w:t>
      </w:r>
    </w:p>
    <w:p w:rsidR="00044F77" w:rsidRDefault="00044F77" w:rsidP="00D469C0"/>
    <w:p w:rsidR="00044F77" w:rsidRDefault="00044F77" w:rsidP="00D469C0">
      <w:r>
        <w:t xml:space="preserve">In 2016, the Department conducted an open tender for IT support and hosting of the registration system in an effort to get the best value for money solution. </w:t>
      </w:r>
    </w:p>
    <w:p w:rsidR="00044F77" w:rsidRDefault="00044F77" w:rsidP="00D469C0"/>
    <w:p w:rsidR="00044F77" w:rsidRPr="00D469C0" w:rsidRDefault="00044F77" w:rsidP="00D469C0">
      <w:pPr>
        <w:rPr>
          <w:b/>
        </w:rPr>
      </w:pPr>
      <w:r w:rsidRPr="00D469C0">
        <w:rPr>
          <w:b/>
        </w:rPr>
        <w:t xml:space="preserve">Assessment Services </w:t>
      </w:r>
    </w:p>
    <w:p w:rsidR="00044F77" w:rsidRDefault="00044F77" w:rsidP="00D469C0">
      <w:r>
        <w:t xml:space="preserve">The Queensland and Victorian governments are contracted to assist the Commonwealth with assessment of applications. With the introduction of GEMS, state and territory governments participating in the Intergovernmental Agreement were invited to provide registration services under the Act, including processing and approval of applications for registration, to leverage the experience their staff had built up under their jurisdictions’ schemes. The Commonwealth processes motors applications, product renewal and product variations, and the state government </w:t>
      </w:r>
      <w:proofErr w:type="gramStart"/>
      <w:r>
        <w:t>providers</w:t>
      </w:r>
      <w:proofErr w:type="gramEnd"/>
      <w:r>
        <w:t xml:space="preserve"> process applications for all other products.  </w:t>
      </w:r>
    </w:p>
    <w:p w:rsidR="00044F77" w:rsidRDefault="00044F77" w:rsidP="00D469C0"/>
    <w:p w:rsidR="00044F77" w:rsidRPr="00D469C0" w:rsidRDefault="00F6749E" w:rsidP="00F6749E">
      <w:pPr>
        <w:pStyle w:val="Heading3"/>
      </w:pPr>
      <w:bookmarkStart w:id="25" w:name="_Toc471476053"/>
      <w:r>
        <w:t xml:space="preserve">4.2.2 </w:t>
      </w:r>
      <w:r w:rsidR="00044F77" w:rsidRPr="00D469C0">
        <w:t>Compliance</w:t>
      </w:r>
      <w:bookmarkEnd w:id="25"/>
      <w:r w:rsidR="00044F77" w:rsidRPr="00D469C0">
        <w:t xml:space="preserve"> </w:t>
      </w:r>
    </w:p>
    <w:p w:rsidR="00044F77" w:rsidRDefault="00044F77" w:rsidP="00D469C0">
      <w:r>
        <w:t>The GEMS Regulator is responsible for monitoring and enforcing compliance with the GEMS Act. The cost drivers are:</w:t>
      </w:r>
    </w:p>
    <w:p w:rsidR="00044F77" w:rsidRDefault="00044F77" w:rsidP="00197FDD">
      <w:pPr>
        <w:pStyle w:val="ListBullet"/>
        <w:numPr>
          <w:ilvl w:val="0"/>
          <w:numId w:val="8"/>
        </w:numPr>
      </w:pPr>
      <w:r>
        <w:t xml:space="preserve">education and engagement </w:t>
      </w:r>
    </w:p>
    <w:p w:rsidR="00044F77" w:rsidRDefault="00044F77" w:rsidP="00197FDD">
      <w:pPr>
        <w:pStyle w:val="ListBullet"/>
        <w:numPr>
          <w:ilvl w:val="0"/>
          <w:numId w:val="8"/>
        </w:numPr>
      </w:pPr>
      <w:r>
        <w:t xml:space="preserve">market surveillance </w:t>
      </w:r>
    </w:p>
    <w:p w:rsidR="00044F77" w:rsidRDefault="00044F77" w:rsidP="00197FDD">
      <w:pPr>
        <w:pStyle w:val="ListBullet"/>
        <w:numPr>
          <w:ilvl w:val="0"/>
          <w:numId w:val="8"/>
        </w:numPr>
      </w:pPr>
      <w:r>
        <w:t xml:space="preserve">product check testing </w:t>
      </w:r>
    </w:p>
    <w:p w:rsidR="00044F77" w:rsidRDefault="00044F77" w:rsidP="00197FDD">
      <w:pPr>
        <w:pStyle w:val="ListBullet"/>
        <w:numPr>
          <w:ilvl w:val="0"/>
          <w:numId w:val="8"/>
        </w:numPr>
      </w:pPr>
      <w:r>
        <w:t>the length of time to select, engage, and procure a check test laboratory to purchase and check test a product</w:t>
      </w:r>
    </w:p>
    <w:p w:rsidR="00044F77" w:rsidRDefault="00044F77" w:rsidP="00197FDD">
      <w:pPr>
        <w:pStyle w:val="ListBullet"/>
        <w:numPr>
          <w:ilvl w:val="0"/>
          <w:numId w:val="8"/>
        </w:numPr>
      </w:pPr>
      <w:r>
        <w:t xml:space="preserve">the length of time to receive, review and analyse check test results </w:t>
      </w:r>
    </w:p>
    <w:p w:rsidR="00044F77" w:rsidRDefault="00044F77" w:rsidP="00197FDD">
      <w:pPr>
        <w:pStyle w:val="ListBullet"/>
        <w:numPr>
          <w:ilvl w:val="0"/>
          <w:numId w:val="8"/>
        </w:numPr>
      </w:pPr>
      <w:r>
        <w:t xml:space="preserve">managing check test processes to ensure the fairness and integrity of the results </w:t>
      </w:r>
    </w:p>
    <w:p w:rsidR="00044F77" w:rsidRDefault="00044F77" w:rsidP="00197FDD">
      <w:pPr>
        <w:pStyle w:val="ListBullet"/>
        <w:numPr>
          <w:ilvl w:val="0"/>
          <w:numId w:val="8"/>
        </w:numPr>
      </w:pPr>
      <w:proofErr w:type="gramStart"/>
      <w:r>
        <w:t>while</w:t>
      </w:r>
      <w:proofErr w:type="gramEnd"/>
      <w:r>
        <w:t xml:space="preserve"> not directly linked to the cost drivers, the resources allocated to compliance and enforcement activities are also highly dependent on the ability to recruit and engage compliance staff and GEMS inspectors</w:t>
      </w:r>
      <w:r w:rsidR="00A926BF">
        <w:t>.</w:t>
      </w:r>
    </w:p>
    <w:p w:rsidR="00044F77" w:rsidRPr="00D469C0" w:rsidRDefault="00044F77" w:rsidP="00D469C0">
      <w:pPr>
        <w:rPr>
          <w:b/>
        </w:rPr>
      </w:pPr>
      <w:r w:rsidRPr="00D469C0">
        <w:rPr>
          <w:b/>
        </w:rPr>
        <w:t>Engagement and Education</w:t>
      </w:r>
    </w:p>
    <w:p w:rsidR="00170A23" w:rsidRDefault="00044F77" w:rsidP="00D469C0">
      <w:r>
        <w:t>The GEMS Regulator and GEMS inspectors engage, educate, and support persons regulated by the GEMS Act to voluntarily comply with the requirements of the Act.</w:t>
      </w:r>
    </w:p>
    <w:p w:rsidR="00044F77" w:rsidRDefault="00044F77" w:rsidP="00D469C0"/>
    <w:p w:rsidR="00044F77" w:rsidRPr="00D469C0" w:rsidRDefault="00044F77" w:rsidP="00D469C0">
      <w:pPr>
        <w:rPr>
          <w:b/>
        </w:rPr>
      </w:pPr>
      <w:r w:rsidRPr="00D469C0">
        <w:rPr>
          <w:b/>
        </w:rPr>
        <w:t>Market Surveillance</w:t>
      </w:r>
    </w:p>
    <w:p w:rsidR="00044F77" w:rsidRDefault="00044F77" w:rsidP="00D469C0">
      <w:r>
        <w:t>Market surveillance refers to activities undertaken by GEMS inspectors to ensure that models of GEMS products meet GEMS registration and labelling requirements once in the marketplace. It is focused on retailers, suppliers, importers, and where applicable, manufacturers. Market surveillance is also conducted to ensure that GEMS products offered for supply on-line meet GEMS registration requirements.</w:t>
      </w:r>
    </w:p>
    <w:p w:rsidR="00044F77" w:rsidRDefault="00044F77" w:rsidP="00D469C0"/>
    <w:p w:rsidR="00044F77" w:rsidRPr="00D469C0" w:rsidRDefault="00044F77" w:rsidP="00D469C0">
      <w:pPr>
        <w:rPr>
          <w:b/>
        </w:rPr>
      </w:pPr>
      <w:r w:rsidRPr="00D469C0">
        <w:rPr>
          <w:b/>
        </w:rPr>
        <w:t>Check Testing</w:t>
      </w:r>
    </w:p>
    <w:p w:rsidR="00044F77" w:rsidRDefault="00044F77" w:rsidP="00D469C0">
      <w:r>
        <w:t xml:space="preserve">This includes the purchase of GEMS products, procuring of check test laboratory services and the review and analysis of check test results. Check testing, conducted on behalf of the GEMS Regulator by National Association of Testing Authorities accredited or affiliated laboratories based either in Australia or overseas, refers to activities undertaken to ensure that GEMS products meet the relevant determination’s GEMS level (MEPS), labelling, and other requirements. </w:t>
      </w:r>
    </w:p>
    <w:p w:rsidR="00044F77" w:rsidRDefault="00044F77" w:rsidP="00D469C0"/>
    <w:p w:rsidR="00044F77" w:rsidRPr="00D469C0" w:rsidRDefault="00044F77" w:rsidP="00D469C0">
      <w:pPr>
        <w:rPr>
          <w:b/>
        </w:rPr>
      </w:pPr>
      <w:r w:rsidRPr="00D469C0">
        <w:rPr>
          <w:b/>
        </w:rPr>
        <w:t>GEMS Inspectors</w:t>
      </w:r>
    </w:p>
    <w:p w:rsidR="00044F77" w:rsidRDefault="00044F77" w:rsidP="00D469C0">
      <w:r>
        <w:t>There are currently 17 GEMS inspectors. Eight work for the Department of the Environment and Energy (DEE) and nine work for state government agencies.</w:t>
      </w:r>
    </w:p>
    <w:p w:rsidR="00044F77" w:rsidRDefault="00044F77" w:rsidP="00D469C0"/>
    <w:p w:rsidR="00044F77" w:rsidRPr="00D469C0" w:rsidRDefault="00044F77" w:rsidP="00D469C0">
      <w:pPr>
        <w:rPr>
          <w:b/>
        </w:rPr>
      </w:pPr>
      <w:r w:rsidRPr="00D469C0">
        <w:rPr>
          <w:b/>
        </w:rPr>
        <w:t>Receipt of Allegations</w:t>
      </w:r>
    </w:p>
    <w:p w:rsidR="00044F77" w:rsidRDefault="00044F77" w:rsidP="00D469C0">
      <w:r>
        <w:t>The GEMS Regulator receives allegations of suspected non-compliance with the GEMS Act from a variety of sources. Since 2012, the GEMS Regulator has received more than 200 allegations of non-compliance with some relating to multiple contraventions of the GEMS Act.</w:t>
      </w:r>
    </w:p>
    <w:p w:rsidR="00044F77" w:rsidRDefault="00044F77" w:rsidP="00D469C0"/>
    <w:p w:rsidR="00044F77" w:rsidRPr="00D469C0" w:rsidRDefault="00044F77" w:rsidP="00D469C0">
      <w:pPr>
        <w:rPr>
          <w:b/>
        </w:rPr>
      </w:pPr>
      <w:r w:rsidRPr="00D469C0">
        <w:rPr>
          <w:b/>
        </w:rPr>
        <w:t>Investigating and Responding to Non-compliance</w:t>
      </w:r>
    </w:p>
    <w:p w:rsidR="00044F77" w:rsidRPr="00D469C0" w:rsidRDefault="00044F77" w:rsidP="00D469C0">
      <w:r w:rsidRPr="00D469C0">
        <w:t>The GEMS Regulator, via GEMS inspectors, assesses each instance of suspected (via check testing or market surveillance) or alleged (receipt of allegations) non-compliance and, where appropriate, conducts an investigation. Investigations incorporate the views of subject matter experts and provide transparent and defensible conclusions and recommendations for the GEMS Regulator to consider.</w:t>
      </w:r>
    </w:p>
    <w:p w:rsidR="00044F77" w:rsidRDefault="00044F77" w:rsidP="00D469C0"/>
    <w:p w:rsidR="00044F77" w:rsidRDefault="00F6749E" w:rsidP="005B71C1">
      <w:pPr>
        <w:pStyle w:val="Heading2"/>
      </w:pPr>
      <w:bookmarkStart w:id="26" w:name="_Toc471476054"/>
      <w:r>
        <w:t>4</w:t>
      </w:r>
      <w:r w:rsidR="00044F77" w:rsidRPr="00044F77">
        <w:t>.3 Revenue</w:t>
      </w:r>
      <w:bookmarkEnd w:id="26"/>
    </w:p>
    <w:p w:rsidR="00044F77" w:rsidRDefault="00044F77" w:rsidP="00D469C0">
      <w:r w:rsidRPr="00D469C0">
        <w:t>Revenue under GEMS comes from the fees that importers, manufacturers or suppliers of products that are regulated for energy efficiency under the GEMS Act are required to pay to register their products. Fees are charged for renewal of products after the five year registration period has expired, and to add models to an approved registration, allowing for a ‘family of models’ known as a variation. The cost to ‘add a model’ variation is $250 per registration. Table 1 outlines the revenue</w:t>
      </w:r>
      <w:r w:rsidR="005E4FCD">
        <w:t xml:space="preserve"> and the number of registrations from 2012 to 2016</w:t>
      </w:r>
      <w:r w:rsidRPr="00D469C0">
        <w:t>.</w:t>
      </w:r>
    </w:p>
    <w:p w:rsidR="0025594E" w:rsidRDefault="0025594E" w:rsidP="00D469C0"/>
    <w:p w:rsidR="0025594E" w:rsidRPr="00F5732E" w:rsidRDefault="0025594E" w:rsidP="0025594E">
      <w:pPr>
        <w:spacing w:line="360" w:lineRule="auto"/>
        <w:rPr>
          <w:i/>
        </w:rPr>
      </w:pPr>
      <w:r w:rsidRPr="00F5732E">
        <w:rPr>
          <w:i/>
        </w:rPr>
        <w:t>Table 1: Revenue</w:t>
      </w:r>
    </w:p>
    <w:tbl>
      <w:tblPr>
        <w:tblStyle w:val="TableGridLight1"/>
        <w:tblpPr w:leftFromText="180" w:rightFromText="180" w:vertAnchor="text" w:horzAnchor="margin" w:tblpY="-45"/>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20"/>
        <w:gridCol w:w="1321"/>
        <w:gridCol w:w="1321"/>
        <w:gridCol w:w="1321"/>
        <w:gridCol w:w="1321"/>
      </w:tblGrid>
      <w:tr w:rsidR="00BE2E1F" w:rsidRPr="0025594E" w:rsidTr="00BE2E1F">
        <w:trPr>
          <w:trHeight w:val="69"/>
        </w:trPr>
        <w:tc>
          <w:tcPr>
            <w:tcW w:w="2000" w:type="dxa"/>
            <w:shd w:val="clear" w:color="auto" w:fill="98C49C"/>
            <w:noWrap/>
            <w:hideMark/>
          </w:tcPr>
          <w:p w:rsidR="0025594E" w:rsidRPr="0025594E" w:rsidRDefault="0025594E" w:rsidP="0065127B">
            <w:pPr>
              <w:spacing w:before="120"/>
              <w:rPr>
                <w:b/>
                <w:bCs/>
                <w:sz w:val="20"/>
                <w:szCs w:val="20"/>
                <w:lang w:eastAsia="en-AU"/>
              </w:rPr>
            </w:pPr>
            <w:r w:rsidRPr="0025594E">
              <w:rPr>
                <w:b/>
                <w:bCs/>
                <w:sz w:val="20"/>
                <w:szCs w:val="20"/>
                <w:lang w:eastAsia="en-AU"/>
              </w:rPr>
              <w:t>ACTUAL</w:t>
            </w:r>
          </w:p>
        </w:tc>
        <w:tc>
          <w:tcPr>
            <w:tcW w:w="1320" w:type="dxa"/>
            <w:shd w:val="clear" w:color="auto" w:fill="98C49C"/>
            <w:noWrap/>
            <w:hideMark/>
          </w:tcPr>
          <w:p w:rsidR="0025594E" w:rsidRPr="0025594E" w:rsidRDefault="0025594E" w:rsidP="0065127B">
            <w:pPr>
              <w:spacing w:before="120"/>
              <w:jc w:val="center"/>
              <w:rPr>
                <w:b/>
                <w:bCs/>
                <w:sz w:val="20"/>
                <w:szCs w:val="20"/>
                <w:lang w:eastAsia="en-AU"/>
              </w:rPr>
            </w:pPr>
            <w:r w:rsidRPr="0025594E">
              <w:rPr>
                <w:b/>
                <w:bCs/>
                <w:sz w:val="20"/>
                <w:szCs w:val="20"/>
                <w:lang w:eastAsia="en-AU"/>
              </w:rPr>
              <w:t>2012-2013</w:t>
            </w:r>
          </w:p>
        </w:tc>
        <w:tc>
          <w:tcPr>
            <w:tcW w:w="1321" w:type="dxa"/>
            <w:shd w:val="clear" w:color="auto" w:fill="98C49C"/>
            <w:noWrap/>
            <w:hideMark/>
          </w:tcPr>
          <w:p w:rsidR="0025594E" w:rsidRPr="0025594E" w:rsidRDefault="0025594E" w:rsidP="0065127B">
            <w:pPr>
              <w:spacing w:before="120"/>
              <w:jc w:val="center"/>
              <w:rPr>
                <w:b/>
                <w:bCs/>
                <w:sz w:val="20"/>
                <w:szCs w:val="20"/>
                <w:lang w:eastAsia="en-AU"/>
              </w:rPr>
            </w:pPr>
            <w:r w:rsidRPr="0025594E">
              <w:rPr>
                <w:b/>
                <w:bCs/>
                <w:sz w:val="20"/>
                <w:szCs w:val="20"/>
                <w:lang w:eastAsia="en-AU"/>
              </w:rPr>
              <w:t>2013-2014</w:t>
            </w:r>
          </w:p>
        </w:tc>
        <w:tc>
          <w:tcPr>
            <w:tcW w:w="1321" w:type="dxa"/>
            <w:shd w:val="clear" w:color="auto" w:fill="98C49C"/>
            <w:noWrap/>
            <w:hideMark/>
          </w:tcPr>
          <w:p w:rsidR="0025594E" w:rsidRPr="0025594E" w:rsidRDefault="0025594E" w:rsidP="0065127B">
            <w:pPr>
              <w:spacing w:before="120"/>
              <w:jc w:val="center"/>
              <w:rPr>
                <w:b/>
                <w:bCs/>
                <w:sz w:val="20"/>
                <w:szCs w:val="20"/>
                <w:lang w:eastAsia="en-AU"/>
              </w:rPr>
            </w:pPr>
            <w:r w:rsidRPr="0025594E">
              <w:rPr>
                <w:b/>
                <w:bCs/>
                <w:sz w:val="20"/>
                <w:szCs w:val="20"/>
                <w:lang w:eastAsia="en-AU"/>
              </w:rPr>
              <w:t>2014-2015</w:t>
            </w:r>
          </w:p>
        </w:tc>
        <w:tc>
          <w:tcPr>
            <w:tcW w:w="1321" w:type="dxa"/>
            <w:shd w:val="clear" w:color="auto" w:fill="98C49C"/>
            <w:noWrap/>
            <w:hideMark/>
          </w:tcPr>
          <w:p w:rsidR="0025594E" w:rsidRPr="0025594E" w:rsidRDefault="0025594E" w:rsidP="0065127B">
            <w:pPr>
              <w:spacing w:before="120"/>
              <w:jc w:val="center"/>
              <w:rPr>
                <w:b/>
                <w:bCs/>
                <w:sz w:val="20"/>
                <w:szCs w:val="20"/>
                <w:lang w:eastAsia="en-AU"/>
              </w:rPr>
            </w:pPr>
            <w:r w:rsidRPr="0025594E">
              <w:rPr>
                <w:b/>
                <w:bCs/>
                <w:sz w:val="20"/>
                <w:szCs w:val="20"/>
                <w:lang w:eastAsia="en-AU"/>
              </w:rPr>
              <w:t>2015-2016</w:t>
            </w:r>
          </w:p>
        </w:tc>
        <w:tc>
          <w:tcPr>
            <w:tcW w:w="1321" w:type="dxa"/>
            <w:shd w:val="clear" w:color="auto" w:fill="98C49C"/>
            <w:noWrap/>
            <w:hideMark/>
          </w:tcPr>
          <w:p w:rsidR="0025594E" w:rsidRPr="0025594E" w:rsidRDefault="00BE2E1F" w:rsidP="0065127B">
            <w:pPr>
              <w:spacing w:before="120"/>
              <w:jc w:val="center"/>
              <w:rPr>
                <w:b/>
                <w:bCs/>
                <w:sz w:val="20"/>
                <w:szCs w:val="20"/>
                <w:lang w:eastAsia="en-AU"/>
              </w:rPr>
            </w:pPr>
            <w:r>
              <w:rPr>
                <w:b/>
                <w:bCs/>
                <w:sz w:val="20"/>
                <w:szCs w:val="20"/>
                <w:lang w:eastAsia="en-AU"/>
              </w:rPr>
              <w:t>Total</w:t>
            </w:r>
          </w:p>
        </w:tc>
      </w:tr>
      <w:tr w:rsidR="0025594E" w:rsidRPr="0025594E" w:rsidTr="00BE2E1F">
        <w:trPr>
          <w:trHeight w:val="54"/>
        </w:trPr>
        <w:tc>
          <w:tcPr>
            <w:tcW w:w="2000" w:type="dxa"/>
            <w:noWrap/>
            <w:hideMark/>
          </w:tcPr>
          <w:p w:rsidR="0025594E" w:rsidRPr="0025594E" w:rsidRDefault="0025594E" w:rsidP="0065127B">
            <w:pPr>
              <w:spacing w:before="120" w:line="360" w:lineRule="auto"/>
              <w:rPr>
                <w:sz w:val="20"/>
                <w:szCs w:val="20"/>
                <w:lang w:eastAsia="en-AU"/>
              </w:rPr>
            </w:pPr>
            <w:r w:rsidRPr="0025594E">
              <w:rPr>
                <w:sz w:val="20"/>
                <w:szCs w:val="20"/>
                <w:lang w:eastAsia="en-AU"/>
              </w:rPr>
              <w:t>No. of registrations</w:t>
            </w:r>
          </w:p>
        </w:tc>
        <w:tc>
          <w:tcPr>
            <w:tcW w:w="1320" w:type="dxa"/>
            <w:noWrap/>
            <w:hideMark/>
          </w:tcPr>
          <w:p w:rsidR="0025594E" w:rsidRPr="0025594E" w:rsidRDefault="0025594E" w:rsidP="0065127B">
            <w:pPr>
              <w:spacing w:before="120" w:line="360" w:lineRule="auto"/>
              <w:jc w:val="center"/>
              <w:rPr>
                <w:sz w:val="20"/>
                <w:szCs w:val="20"/>
                <w:lang w:eastAsia="en-AU"/>
              </w:rPr>
            </w:pPr>
            <w:r w:rsidRPr="0025594E">
              <w:rPr>
                <w:sz w:val="20"/>
                <w:szCs w:val="20"/>
                <w:lang w:eastAsia="en-AU"/>
              </w:rPr>
              <w:t>2,917</w:t>
            </w:r>
          </w:p>
        </w:tc>
        <w:tc>
          <w:tcPr>
            <w:tcW w:w="1321" w:type="dxa"/>
            <w:noWrap/>
            <w:hideMark/>
          </w:tcPr>
          <w:p w:rsidR="0025594E" w:rsidRPr="0025594E" w:rsidRDefault="0025594E" w:rsidP="0065127B">
            <w:pPr>
              <w:spacing w:before="120" w:line="360" w:lineRule="auto"/>
              <w:jc w:val="center"/>
              <w:rPr>
                <w:sz w:val="20"/>
                <w:szCs w:val="20"/>
                <w:lang w:eastAsia="en-AU"/>
              </w:rPr>
            </w:pPr>
            <w:r w:rsidRPr="0025594E">
              <w:rPr>
                <w:sz w:val="20"/>
                <w:szCs w:val="20"/>
                <w:lang w:eastAsia="en-AU"/>
              </w:rPr>
              <w:t>5,259</w:t>
            </w:r>
          </w:p>
        </w:tc>
        <w:tc>
          <w:tcPr>
            <w:tcW w:w="1321" w:type="dxa"/>
            <w:noWrap/>
            <w:hideMark/>
          </w:tcPr>
          <w:p w:rsidR="0025594E" w:rsidRPr="0025594E" w:rsidRDefault="0025594E" w:rsidP="0065127B">
            <w:pPr>
              <w:spacing w:before="120" w:line="360" w:lineRule="auto"/>
              <w:jc w:val="center"/>
              <w:rPr>
                <w:sz w:val="20"/>
                <w:szCs w:val="20"/>
                <w:lang w:eastAsia="en-AU"/>
              </w:rPr>
            </w:pPr>
            <w:r w:rsidRPr="0025594E">
              <w:rPr>
                <w:sz w:val="20"/>
                <w:szCs w:val="20"/>
                <w:lang w:eastAsia="en-AU"/>
              </w:rPr>
              <w:t>4,650</w:t>
            </w:r>
          </w:p>
        </w:tc>
        <w:tc>
          <w:tcPr>
            <w:tcW w:w="1321" w:type="dxa"/>
            <w:noWrap/>
            <w:hideMark/>
          </w:tcPr>
          <w:p w:rsidR="0025594E" w:rsidRPr="0025594E" w:rsidRDefault="0025594E" w:rsidP="0065127B">
            <w:pPr>
              <w:spacing w:before="120" w:line="360" w:lineRule="auto"/>
              <w:jc w:val="center"/>
              <w:rPr>
                <w:sz w:val="20"/>
                <w:szCs w:val="20"/>
                <w:lang w:eastAsia="en-AU"/>
              </w:rPr>
            </w:pPr>
            <w:r w:rsidRPr="0025594E">
              <w:rPr>
                <w:sz w:val="20"/>
                <w:szCs w:val="20"/>
                <w:lang w:eastAsia="en-AU"/>
              </w:rPr>
              <w:t>5,027</w:t>
            </w:r>
          </w:p>
        </w:tc>
        <w:tc>
          <w:tcPr>
            <w:tcW w:w="1321" w:type="dxa"/>
            <w:noWrap/>
            <w:hideMark/>
          </w:tcPr>
          <w:p w:rsidR="0025594E" w:rsidRPr="0065127B" w:rsidRDefault="0025594E" w:rsidP="0065127B">
            <w:pPr>
              <w:spacing w:before="120" w:line="360" w:lineRule="auto"/>
              <w:jc w:val="center"/>
              <w:rPr>
                <w:b/>
                <w:bCs/>
                <w:sz w:val="20"/>
                <w:szCs w:val="20"/>
                <w:lang w:eastAsia="en-AU"/>
              </w:rPr>
            </w:pPr>
            <w:r w:rsidRPr="0065127B">
              <w:rPr>
                <w:b/>
                <w:bCs/>
                <w:sz w:val="20"/>
                <w:szCs w:val="20"/>
                <w:lang w:eastAsia="en-AU"/>
              </w:rPr>
              <w:t>17,853</w:t>
            </w:r>
          </w:p>
        </w:tc>
      </w:tr>
      <w:tr w:rsidR="0025594E" w:rsidRPr="0025594E" w:rsidTr="00BE2E1F">
        <w:trPr>
          <w:trHeight w:val="54"/>
        </w:trPr>
        <w:tc>
          <w:tcPr>
            <w:tcW w:w="2000" w:type="dxa"/>
            <w:noWrap/>
            <w:hideMark/>
          </w:tcPr>
          <w:p w:rsidR="0025594E" w:rsidRPr="0065127B" w:rsidRDefault="0025594E" w:rsidP="0065127B">
            <w:pPr>
              <w:spacing w:before="120" w:line="360" w:lineRule="auto"/>
              <w:rPr>
                <w:bCs/>
                <w:sz w:val="20"/>
                <w:szCs w:val="20"/>
                <w:lang w:eastAsia="en-AU"/>
              </w:rPr>
            </w:pPr>
            <w:r w:rsidRPr="0065127B">
              <w:rPr>
                <w:bCs/>
                <w:sz w:val="20"/>
                <w:szCs w:val="20"/>
                <w:lang w:eastAsia="en-AU"/>
              </w:rPr>
              <w:t>Total Revenue</w:t>
            </w:r>
          </w:p>
        </w:tc>
        <w:tc>
          <w:tcPr>
            <w:tcW w:w="1320" w:type="dxa"/>
            <w:noWrap/>
            <w:hideMark/>
          </w:tcPr>
          <w:p w:rsidR="0025594E" w:rsidRPr="0065127B" w:rsidRDefault="0025594E" w:rsidP="0065127B">
            <w:pPr>
              <w:spacing w:before="120" w:line="360" w:lineRule="auto"/>
              <w:jc w:val="right"/>
              <w:rPr>
                <w:bCs/>
                <w:sz w:val="20"/>
                <w:szCs w:val="20"/>
                <w:lang w:eastAsia="en-AU"/>
              </w:rPr>
            </w:pPr>
            <w:r w:rsidRPr="0065127B">
              <w:rPr>
                <w:bCs/>
                <w:sz w:val="20"/>
                <w:szCs w:val="20"/>
                <w:lang w:eastAsia="en-AU"/>
              </w:rPr>
              <w:t>$1,230,974</w:t>
            </w:r>
          </w:p>
        </w:tc>
        <w:tc>
          <w:tcPr>
            <w:tcW w:w="1321" w:type="dxa"/>
            <w:noWrap/>
            <w:hideMark/>
          </w:tcPr>
          <w:p w:rsidR="0025594E" w:rsidRPr="0065127B" w:rsidRDefault="0025594E" w:rsidP="0065127B">
            <w:pPr>
              <w:spacing w:before="120" w:line="360" w:lineRule="auto"/>
              <w:jc w:val="right"/>
              <w:rPr>
                <w:bCs/>
                <w:sz w:val="20"/>
                <w:szCs w:val="20"/>
                <w:lang w:eastAsia="en-AU"/>
              </w:rPr>
            </w:pPr>
            <w:r w:rsidRPr="0065127B">
              <w:rPr>
                <w:bCs/>
                <w:sz w:val="20"/>
                <w:szCs w:val="20"/>
                <w:lang w:eastAsia="en-AU"/>
              </w:rPr>
              <w:t>$2,424,399</w:t>
            </w:r>
          </w:p>
        </w:tc>
        <w:tc>
          <w:tcPr>
            <w:tcW w:w="1321" w:type="dxa"/>
            <w:noWrap/>
            <w:hideMark/>
          </w:tcPr>
          <w:p w:rsidR="0025594E" w:rsidRPr="0065127B" w:rsidRDefault="0025594E" w:rsidP="0065127B">
            <w:pPr>
              <w:spacing w:before="120" w:line="360" w:lineRule="auto"/>
              <w:jc w:val="right"/>
              <w:rPr>
                <w:bCs/>
                <w:sz w:val="20"/>
                <w:szCs w:val="20"/>
                <w:lang w:eastAsia="en-AU"/>
              </w:rPr>
            </w:pPr>
            <w:r w:rsidRPr="0065127B">
              <w:rPr>
                <w:bCs/>
                <w:sz w:val="20"/>
                <w:szCs w:val="20"/>
                <w:lang w:eastAsia="en-AU"/>
              </w:rPr>
              <w:t>$2,194,800</w:t>
            </w:r>
          </w:p>
        </w:tc>
        <w:tc>
          <w:tcPr>
            <w:tcW w:w="1321" w:type="dxa"/>
            <w:noWrap/>
            <w:hideMark/>
          </w:tcPr>
          <w:p w:rsidR="0025594E" w:rsidRPr="0065127B" w:rsidRDefault="0025594E" w:rsidP="0065127B">
            <w:pPr>
              <w:spacing w:before="120" w:line="360" w:lineRule="auto"/>
              <w:jc w:val="right"/>
              <w:rPr>
                <w:bCs/>
                <w:sz w:val="20"/>
                <w:szCs w:val="20"/>
                <w:lang w:eastAsia="en-AU"/>
              </w:rPr>
            </w:pPr>
            <w:r w:rsidRPr="0065127B">
              <w:rPr>
                <w:bCs/>
                <w:sz w:val="20"/>
                <w:szCs w:val="20"/>
                <w:lang w:eastAsia="en-AU"/>
              </w:rPr>
              <w:t>$2,347,609</w:t>
            </w:r>
          </w:p>
        </w:tc>
        <w:tc>
          <w:tcPr>
            <w:tcW w:w="1321" w:type="dxa"/>
            <w:shd w:val="clear" w:color="auto" w:fill="auto"/>
            <w:noWrap/>
            <w:hideMark/>
          </w:tcPr>
          <w:p w:rsidR="0025594E" w:rsidRPr="0065127B" w:rsidRDefault="0025594E" w:rsidP="0065127B">
            <w:pPr>
              <w:spacing w:before="120" w:line="360" w:lineRule="auto"/>
              <w:jc w:val="right"/>
              <w:rPr>
                <w:b/>
                <w:bCs/>
                <w:sz w:val="20"/>
                <w:szCs w:val="20"/>
                <w:lang w:eastAsia="en-AU"/>
              </w:rPr>
            </w:pPr>
            <w:r w:rsidRPr="0065127B">
              <w:rPr>
                <w:b/>
                <w:bCs/>
                <w:sz w:val="20"/>
                <w:szCs w:val="20"/>
                <w:lang w:eastAsia="en-AU"/>
              </w:rPr>
              <w:t>$8,197,782</w:t>
            </w:r>
          </w:p>
        </w:tc>
      </w:tr>
    </w:tbl>
    <w:p w:rsidR="0025594E" w:rsidRDefault="0025594E" w:rsidP="0025594E"/>
    <w:p w:rsidR="0025594E" w:rsidRDefault="00BE2E1F" w:rsidP="0025594E">
      <w:r w:rsidRPr="00BE2E1F">
        <w:t xml:space="preserve">It is important to note that the number of registrations is not the same as the number of products registered. Each registration can cover a number of models due to the family of model definitions. For example, in 2015-16 the 5027 registrations covered 8777 models across all product types.  </w:t>
      </w:r>
    </w:p>
    <w:p w:rsidR="00BE2E1F" w:rsidRDefault="00BE2E1F" w:rsidP="0025594E"/>
    <w:p w:rsidR="00BE2E1F" w:rsidRDefault="00F6749E" w:rsidP="005B71C1">
      <w:pPr>
        <w:pStyle w:val="Heading2"/>
      </w:pPr>
      <w:bookmarkStart w:id="27" w:name="_Toc471476055"/>
      <w:r>
        <w:t>4</w:t>
      </w:r>
      <w:r w:rsidR="00BE2E1F" w:rsidRPr="00BE2E1F">
        <w:t>.4 Cost of activities</w:t>
      </w:r>
      <w:bookmarkEnd w:id="27"/>
    </w:p>
    <w:p w:rsidR="00BE2E1F" w:rsidRDefault="00BE2E1F" w:rsidP="009676E3">
      <w:r>
        <w:t xml:space="preserve">The Australian Government Charging Framework requires cost recovery charges for fee-for-service charging activities be based on the efficient cost of providing the service. In general terms, this requirement is intended to provide an incentive for service delivery agencies to regularly look for opportunities to reduce the costs of providing the service.  </w:t>
      </w:r>
    </w:p>
    <w:p w:rsidR="00BE2E1F" w:rsidRDefault="00BE2E1F" w:rsidP="00BE2E1F"/>
    <w:p w:rsidR="00BE2E1F" w:rsidRDefault="00BE2E1F" w:rsidP="00BE2E1F">
      <w:r>
        <w:t xml:space="preserve">Funding associated with the recovery of registration fees is appropriated back to the Department up front with all receipts from this recovery activity being returned to the consolidated revenue fund during the financial year. </w:t>
      </w:r>
    </w:p>
    <w:p w:rsidR="00A926BF" w:rsidRDefault="00A926BF" w:rsidP="00BE2E1F"/>
    <w:p w:rsidR="00BE2E1F" w:rsidRDefault="00BE2E1F" w:rsidP="00BE2E1F">
      <w:r>
        <w:t>From the scheme’s commencement in October 2012 to 30 June 2016:</w:t>
      </w:r>
    </w:p>
    <w:p w:rsidR="00BE2E1F" w:rsidRDefault="00BE2E1F" w:rsidP="00197FDD">
      <w:pPr>
        <w:pStyle w:val="ListBullet"/>
        <w:numPr>
          <w:ilvl w:val="0"/>
          <w:numId w:val="10"/>
        </w:numPr>
      </w:pPr>
      <w:r>
        <w:t xml:space="preserve">the expected rate of cost recovery, based on forecast revenues of $10.7m and forecast costs of $20.7m, was 52 per cent  </w:t>
      </w:r>
    </w:p>
    <w:p w:rsidR="00BE2E1F" w:rsidRDefault="00BE2E1F" w:rsidP="00197FDD">
      <w:pPr>
        <w:pStyle w:val="ListBullet"/>
        <w:numPr>
          <w:ilvl w:val="0"/>
          <w:numId w:val="10"/>
        </w:numPr>
      </w:pPr>
      <w:proofErr w:type="gramStart"/>
      <w:r>
        <w:t>the</w:t>
      </w:r>
      <w:proofErr w:type="gramEnd"/>
      <w:r>
        <w:t xml:space="preserve"> actual rate of cost recovery that has been achieved, based on revenue of $8.2m and costs of $14.8m, is 5</w:t>
      </w:r>
      <w:r w:rsidR="005E4FCD">
        <w:t>6</w:t>
      </w:r>
      <w:r>
        <w:t xml:space="preserve"> per cent</w:t>
      </w:r>
      <w:r w:rsidR="0065127B">
        <w:t>.</w:t>
      </w:r>
    </w:p>
    <w:p w:rsidR="00BE2E1F" w:rsidRDefault="00EC515B" w:rsidP="00197FDD">
      <w:r>
        <w:t xml:space="preserve">For </w:t>
      </w:r>
      <w:r w:rsidR="00BE2E1F">
        <w:t>2015-16, the rate of cost recovery</w:t>
      </w:r>
      <w:r>
        <w:t xml:space="preserve"> was</w:t>
      </w:r>
      <w:r w:rsidR="00BE2E1F">
        <w:t xml:space="preserve"> 63 per cent.</w:t>
      </w:r>
    </w:p>
    <w:p w:rsidR="0065127B" w:rsidRDefault="0065127B" w:rsidP="0065127B"/>
    <w:p w:rsidR="00BE2E1F" w:rsidRDefault="00BE2E1F" w:rsidP="00BE2E1F">
      <w:r>
        <w:t xml:space="preserve">Table </w:t>
      </w:r>
      <w:r w:rsidR="00B3645E">
        <w:t>2</w:t>
      </w:r>
      <w:r>
        <w:t xml:space="preserve"> below outlines compliance and registration costs since 2012.</w:t>
      </w:r>
    </w:p>
    <w:p w:rsidR="00BE2E1F" w:rsidRDefault="00BE2E1F" w:rsidP="00BE2E1F">
      <w:pPr>
        <w:spacing w:line="360" w:lineRule="auto"/>
      </w:pPr>
    </w:p>
    <w:p w:rsidR="00BE2E1F" w:rsidRPr="00F5732E" w:rsidRDefault="00BE2E1F" w:rsidP="00BE2E1F">
      <w:pPr>
        <w:spacing w:line="360" w:lineRule="auto"/>
        <w:rPr>
          <w:i/>
        </w:rPr>
      </w:pPr>
      <w:r w:rsidRPr="00F5732E">
        <w:rPr>
          <w:i/>
        </w:rPr>
        <w:t xml:space="preserve">Table </w:t>
      </w:r>
      <w:r w:rsidR="00B3645E">
        <w:rPr>
          <w:i/>
        </w:rPr>
        <w:t>2</w:t>
      </w:r>
      <w:r w:rsidRPr="00F5732E">
        <w:rPr>
          <w:i/>
        </w:rPr>
        <w:t>: Summary of Costs – Actual</w:t>
      </w:r>
    </w:p>
    <w:tbl>
      <w:tblPr>
        <w:tblpPr w:leftFromText="180" w:rightFromText="180" w:vertAnchor="text" w:horzAnchor="margin" w:tblpYSpec="bottom"/>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1412"/>
        <w:gridCol w:w="1418"/>
        <w:gridCol w:w="1559"/>
        <w:gridCol w:w="1701"/>
      </w:tblGrid>
      <w:tr w:rsidR="00BE2E1F" w:rsidRPr="00F5732E" w:rsidTr="00DA21C2">
        <w:trPr>
          <w:cantSplit/>
          <w:trHeight w:val="557"/>
        </w:trPr>
        <w:tc>
          <w:tcPr>
            <w:tcW w:w="2694" w:type="dxa"/>
            <w:shd w:val="clear" w:color="auto" w:fill="98C49C"/>
            <w:noWrap/>
            <w:tcMar>
              <w:top w:w="0" w:type="dxa"/>
              <w:left w:w="108" w:type="dxa"/>
              <w:bottom w:w="0" w:type="dxa"/>
              <w:right w:w="108" w:type="dxa"/>
            </w:tcMar>
            <w:vAlign w:val="center"/>
            <w:hideMark/>
          </w:tcPr>
          <w:p w:rsidR="00BE2E1F" w:rsidRPr="00BE2E1F" w:rsidRDefault="00BE2E1F" w:rsidP="008E2F84">
            <w:pPr>
              <w:spacing w:line="360" w:lineRule="auto"/>
              <w:rPr>
                <w:b/>
                <w:bCs/>
                <w:lang w:eastAsia="en-AU"/>
              </w:rPr>
            </w:pPr>
            <w:r w:rsidRPr="00BE2E1F">
              <w:rPr>
                <w:b/>
                <w:bCs/>
                <w:lang w:eastAsia="en-AU"/>
              </w:rPr>
              <w:t xml:space="preserve">GEMS Activities </w:t>
            </w:r>
          </w:p>
        </w:tc>
        <w:tc>
          <w:tcPr>
            <w:tcW w:w="1412" w:type="dxa"/>
            <w:shd w:val="clear" w:color="auto" w:fill="98C49C"/>
            <w:tcMar>
              <w:top w:w="0" w:type="dxa"/>
              <w:left w:w="108" w:type="dxa"/>
              <w:bottom w:w="0" w:type="dxa"/>
              <w:right w:w="108" w:type="dxa"/>
            </w:tcMar>
            <w:vAlign w:val="center"/>
          </w:tcPr>
          <w:p w:rsidR="00BE2E1F" w:rsidRPr="00BE2E1F" w:rsidRDefault="00BE2E1F" w:rsidP="008E2F84">
            <w:pPr>
              <w:spacing w:line="360" w:lineRule="auto"/>
              <w:jc w:val="center"/>
              <w:rPr>
                <w:b/>
                <w:bCs/>
                <w:lang w:eastAsia="en-AU"/>
              </w:rPr>
            </w:pPr>
            <w:r w:rsidRPr="00BE2E1F">
              <w:rPr>
                <w:b/>
                <w:bCs/>
                <w:lang w:eastAsia="en-AU"/>
              </w:rPr>
              <w:t>2012-13</w:t>
            </w:r>
          </w:p>
        </w:tc>
        <w:tc>
          <w:tcPr>
            <w:tcW w:w="1418" w:type="dxa"/>
            <w:shd w:val="clear" w:color="auto" w:fill="98C49C"/>
            <w:tcMar>
              <w:top w:w="0" w:type="dxa"/>
              <w:left w:w="108" w:type="dxa"/>
              <w:bottom w:w="0" w:type="dxa"/>
              <w:right w:w="108" w:type="dxa"/>
            </w:tcMar>
            <w:vAlign w:val="center"/>
          </w:tcPr>
          <w:p w:rsidR="00BE2E1F" w:rsidRPr="00BE2E1F" w:rsidRDefault="00BE2E1F" w:rsidP="008E2F84">
            <w:pPr>
              <w:spacing w:line="360" w:lineRule="auto"/>
              <w:jc w:val="center"/>
              <w:rPr>
                <w:b/>
                <w:bCs/>
                <w:lang w:eastAsia="en-AU"/>
              </w:rPr>
            </w:pPr>
            <w:r w:rsidRPr="00BE2E1F">
              <w:rPr>
                <w:b/>
                <w:bCs/>
                <w:lang w:eastAsia="en-AU"/>
              </w:rPr>
              <w:t>2013-14</w:t>
            </w:r>
          </w:p>
        </w:tc>
        <w:tc>
          <w:tcPr>
            <w:tcW w:w="1559" w:type="dxa"/>
            <w:shd w:val="clear" w:color="auto" w:fill="98C49C"/>
            <w:tcMar>
              <w:top w:w="0" w:type="dxa"/>
              <w:left w:w="108" w:type="dxa"/>
              <w:bottom w:w="0" w:type="dxa"/>
              <w:right w:w="108" w:type="dxa"/>
            </w:tcMar>
            <w:vAlign w:val="center"/>
          </w:tcPr>
          <w:p w:rsidR="00BE2E1F" w:rsidRPr="00BE2E1F" w:rsidRDefault="00BE2E1F" w:rsidP="008E2F84">
            <w:pPr>
              <w:spacing w:line="360" w:lineRule="auto"/>
              <w:jc w:val="center"/>
              <w:rPr>
                <w:b/>
                <w:bCs/>
                <w:lang w:eastAsia="en-AU"/>
              </w:rPr>
            </w:pPr>
            <w:r w:rsidRPr="00BE2E1F">
              <w:rPr>
                <w:b/>
                <w:bCs/>
                <w:lang w:eastAsia="en-AU"/>
              </w:rPr>
              <w:t>2014-15</w:t>
            </w:r>
          </w:p>
        </w:tc>
        <w:tc>
          <w:tcPr>
            <w:tcW w:w="1701" w:type="dxa"/>
            <w:shd w:val="clear" w:color="auto" w:fill="98C49C"/>
            <w:tcMar>
              <w:top w:w="0" w:type="dxa"/>
              <w:left w:w="108" w:type="dxa"/>
              <w:bottom w:w="0" w:type="dxa"/>
              <w:right w:w="108" w:type="dxa"/>
            </w:tcMar>
            <w:vAlign w:val="center"/>
          </w:tcPr>
          <w:p w:rsidR="00BE2E1F" w:rsidRPr="00BE2E1F" w:rsidRDefault="00BE2E1F" w:rsidP="008E2F84">
            <w:pPr>
              <w:spacing w:line="360" w:lineRule="auto"/>
              <w:jc w:val="center"/>
              <w:rPr>
                <w:b/>
                <w:bCs/>
                <w:lang w:eastAsia="en-AU"/>
              </w:rPr>
            </w:pPr>
            <w:r w:rsidRPr="00BE2E1F">
              <w:rPr>
                <w:b/>
                <w:bCs/>
                <w:lang w:eastAsia="en-AU"/>
              </w:rPr>
              <w:t>2015-16</w:t>
            </w:r>
          </w:p>
        </w:tc>
      </w:tr>
      <w:tr w:rsidR="00BE2E1F" w:rsidRPr="00F5732E" w:rsidTr="00DA21C2">
        <w:trPr>
          <w:cantSplit/>
          <w:trHeight w:val="300"/>
        </w:trPr>
        <w:tc>
          <w:tcPr>
            <w:tcW w:w="2694" w:type="dxa"/>
            <w:noWrap/>
            <w:tcMar>
              <w:top w:w="0" w:type="dxa"/>
              <w:left w:w="108" w:type="dxa"/>
              <w:bottom w:w="0" w:type="dxa"/>
              <w:right w:w="108" w:type="dxa"/>
            </w:tcMar>
            <w:vAlign w:val="center"/>
          </w:tcPr>
          <w:p w:rsidR="00BE2E1F" w:rsidRPr="00F5732E" w:rsidRDefault="00BE2E1F" w:rsidP="008E2F84">
            <w:pPr>
              <w:spacing w:line="360" w:lineRule="auto"/>
              <w:rPr>
                <w:bCs/>
                <w:lang w:eastAsia="en-AU"/>
              </w:rPr>
            </w:pPr>
          </w:p>
        </w:tc>
        <w:tc>
          <w:tcPr>
            <w:tcW w:w="1412"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Pr>
                <w:lang w:eastAsia="en-AU"/>
              </w:rPr>
              <w:t>Actual $’000</w:t>
            </w:r>
          </w:p>
        </w:tc>
        <w:tc>
          <w:tcPr>
            <w:tcW w:w="1418"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Pr>
                <w:lang w:eastAsia="en-AU"/>
              </w:rPr>
              <w:t>Actual $’000</w:t>
            </w:r>
          </w:p>
        </w:tc>
        <w:tc>
          <w:tcPr>
            <w:tcW w:w="1559"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Pr>
                <w:lang w:eastAsia="en-AU"/>
              </w:rPr>
              <w:t>Actual $’000</w:t>
            </w:r>
          </w:p>
        </w:tc>
        <w:tc>
          <w:tcPr>
            <w:tcW w:w="1701"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Pr>
                <w:lang w:eastAsia="en-AU"/>
              </w:rPr>
              <w:t>Actual $’000</w:t>
            </w:r>
          </w:p>
        </w:tc>
      </w:tr>
      <w:tr w:rsidR="00BE2E1F" w:rsidRPr="00F5732E" w:rsidTr="00BE2E1F">
        <w:trPr>
          <w:cantSplit/>
          <w:trHeight w:val="300"/>
        </w:trPr>
        <w:tc>
          <w:tcPr>
            <w:tcW w:w="2694" w:type="dxa"/>
            <w:noWrap/>
            <w:tcMar>
              <w:top w:w="0" w:type="dxa"/>
              <w:left w:w="108" w:type="dxa"/>
              <w:bottom w:w="0" w:type="dxa"/>
              <w:right w:w="108" w:type="dxa"/>
            </w:tcMar>
            <w:vAlign w:val="center"/>
            <w:hideMark/>
          </w:tcPr>
          <w:p w:rsidR="00BE2E1F" w:rsidRPr="00F5732E" w:rsidRDefault="00BE2E1F" w:rsidP="008E2F84">
            <w:pPr>
              <w:spacing w:line="360" w:lineRule="auto"/>
              <w:rPr>
                <w:bCs/>
                <w:lang w:eastAsia="en-AU"/>
              </w:rPr>
            </w:pPr>
            <w:r w:rsidRPr="00F5732E">
              <w:rPr>
                <w:bCs/>
                <w:lang w:eastAsia="en-AU"/>
              </w:rPr>
              <w:t>Compliance non-staff costs</w:t>
            </w:r>
          </w:p>
        </w:tc>
        <w:tc>
          <w:tcPr>
            <w:tcW w:w="1412"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644</w:t>
            </w:r>
          </w:p>
        </w:tc>
        <w:tc>
          <w:tcPr>
            <w:tcW w:w="1418"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499</w:t>
            </w:r>
          </w:p>
        </w:tc>
        <w:tc>
          <w:tcPr>
            <w:tcW w:w="1559"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557</w:t>
            </w:r>
          </w:p>
        </w:tc>
        <w:tc>
          <w:tcPr>
            <w:tcW w:w="1701"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609</w:t>
            </w:r>
          </w:p>
        </w:tc>
      </w:tr>
      <w:tr w:rsidR="00BE2E1F" w:rsidRPr="00F5732E" w:rsidTr="00BE2E1F">
        <w:trPr>
          <w:cantSplit/>
          <w:trHeight w:val="300"/>
        </w:trPr>
        <w:tc>
          <w:tcPr>
            <w:tcW w:w="2694" w:type="dxa"/>
            <w:noWrap/>
            <w:tcMar>
              <w:top w:w="0" w:type="dxa"/>
              <w:left w:w="108" w:type="dxa"/>
              <w:bottom w:w="0" w:type="dxa"/>
              <w:right w:w="108" w:type="dxa"/>
            </w:tcMar>
            <w:vAlign w:val="center"/>
            <w:hideMark/>
          </w:tcPr>
          <w:p w:rsidR="00BE2E1F" w:rsidRPr="00F5732E" w:rsidRDefault="00BE2E1F" w:rsidP="008E2F84">
            <w:pPr>
              <w:spacing w:line="360" w:lineRule="auto"/>
              <w:rPr>
                <w:lang w:eastAsia="en-AU"/>
              </w:rPr>
            </w:pPr>
            <w:r w:rsidRPr="00F5732E">
              <w:rPr>
                <w:lang w:eastAsia="en-AU"/>
              </w:rPr>
              <w:t xml:space="preserve">Compliance staff costs </w:t>
            </w:r>
          </w:p>
        </w:tc>
        <w:tc>
          <w:tcPr>
            <w:tcW w:w="1412"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221</w:t>
            </w:r>
          </w:p>
        </w:tc>
        <w:tc>
          <w:tcPr>
            <w:tcW w:w="1418"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380</w:t>
            </w:r>
          </w:p>
        </w:tc>
        <w:tc>
          <w:tcPr>
            <w:tcW w:w="1559"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426</w:t>
            </w:r>
          </w:p>
        </w:tc>
        <w:tc>
          <w:tcPr>
            <w:tcW w:w="1701"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506</w:t>
            </w:r>
          </w:p>
        </w:tc>
      </w:tr>
      <w:tr w:rsidR="00BE2E1F" w:rsidRPr="00F5732E" w:rsidTr="00BE2E1F">
        <w:trPr>
          <w:cantSplit/>
          <w:trHeight w:val="300"/>
        </w:trPr>
        <w:tc>
          <w:tcPr>
            <w:tcW w:w="2694"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Sub-total $</w:t>
            </w:r>
          </w:p>
        </w:tc>
        <w:tc>
          <w:tcPr>
            <w:tcW w:w="1412"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865</w:t>
            </w:r>
          </w:p>
        </w:tc>
        <w:tc>
          <w:tcPr>
            <w:tcW w:w="1418"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879</w:t>
            </w:r>
          </w:p>
        </w:tc>
        <w:tc>
          <w:tcPr>
            <w:tcW w:w="1559"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983</w:t>
            </w:r>
          </w:p>
        </w:tc>
        <w:tc>
          <w:tcPr>
            <w:tcW w:w="1701"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 xml:space="preserve"> 1,115</w:t>
            </w:r>
          </w:p>
        </w:tc>
      </w:tr>
      <w:tr w:rsidR="00BE2E1F" w:rsidRPr="00F5732E" w:rsidTr="00BE2E1F">
        <w:trPr>
          <w:cantSplit/>
          <w:trHeight w:val="300"/>
        </w:trPr>
        <w:tc>
          <w:tcPr>
            <w:tcW w:w="2694" w:type="dxa"/>
            <w:noWrap/>
            <w:tcMar>
              <w:top w:w="0" w:type="dxa"/>
              <w:left w:w="108" w:type="dxa"/>
              <w:bottom w:w="0" w:type="dxa"/>
              <w:right w:w="108" w:type="dxa"/>
            </w:tcMar>
            <w:vAlign w:val="center"/>
            <w:hideMark/>
          </w:tcPr>
          <w:p w:rsidR="00BE2E1F" w:rsidRPr="00F5732E" w:rsidRDefault="00BE2E1F" w:rsidP="008E2F84">
            <w:pPr>
              <w:spacing w:line="360" w:lineRule="auto"/>
              <w:rPr>
                <w:bCs/>
                <w:lang w:eastAsia="en-AU"/>
              </w:rPr>
            </w:pPr>
            <w:r w:rsidRPr="00F5732E">
              <w:rPr>
                <w:bCs/>
                <w:lang w:eastAsia="en-AU"/>
              </w:rPr>
              <w:t>Registration non-staff costs</w:t>
            </w:r>
          </w:p>
        </w:tc>
        <w:tc>
          <w:tcPr>
            <w:tcW w:w="1412"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1,427</w:t>
            </w:r>
          </w:p>
        </w:tc>
        <w:tc>
          <w:tcPr>
            <w:tcW w:w="1418"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1,586</w:t>
            </w:r>
          </w:p>
        </w:tc>
        <w:tc>
          <w:tcPr>
            <w:tcW w:w="1559"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1,414</w:t>
            </w:r>
          </w:p>
        </w:tc>
        <w:tc>
          <w:tcPr>
            <w:tcW w:w="1701" w:type="dxa"/>
            <w:noWrap/>
            <w:tcMar>
              <w:top w:w="0" w:type="dxa"/>
              <w:left w:w="108" w:type="dxa"/>
              <w:bottom w:w="0" w:type="dxa"/>
              <w:right w:w="108" w:type="dxa"/>
            </w:tcMar>
            <w:vAlign w:val="bottom"/>
          </w:tcPr>
          <w:p w:rsidR="00BE2E1F" w:rsidRPr="00F5732E" w:rsidRDefault="00BE2E1F" w:rsidP="008E2F84">
            <w:pPr>
              <w:spacing w:line="360" w:lineRule="auto"/>
              <w:jc w:val="right"/>
              <w:rPr>
                <w:lang w:eastAsia="en-AU"/>
              </w:rPr>
            </w:pPr>
            <w:r w:rsidRPr="00F5732E">
              <w:rPr>
                <w:lang w:eastAsia="en-AU"/>
              </w:rPr>
              <w:t>1,446 </w:t>
            </w:r>
          </w:p>
        </w:tc>
      </w:tr>
      <w:tr w:rsidR="00BE2E1F" w:rsidRPr="00F5732E" w:rsidTr="00BE2E1F">
        <w:trPr>
          <w:cantSplit/>
          <w:trHeight w:val="300"/>
        </w:trPr>
        <w:tc>
          <w:tcPr>
            <w:tcW w:w="2694" w:type="dxa"/>
            <w:noWrap/>
            <w:tcMar>
              <w:top w:w="0" w:type="dxa"/>
              <w:left w:w="108" w:type="dxa"/>
              <w:bottom w:w="0" w:type="dxa"/>
              <w:right w:w="108" w:type="dxa"/>
            </w:tcMar>
            <w:vAlign w:val="center"/>
            <w:hideMark/>
          </w:tcPr>
          <w:p w:rsidR="00BE2E1F" w:rsidRPr="00F5732E" w:rsidRDefault="00BE2E1F" w:rsidP="008E2F84">
            <w:pPr>
              <w:spacing w:line="360" w:lineRule="auto"/>
              <w:rPr>
                <w:lang w:eastAsia="en-AU"/>
              </w:rPr>
            </w:pPr>
            <w:r w:rsidRPr="00F5732E">
              <w:rPr>
                <w:lang w:eastAsia="en-AU"/>
              </w:rPr>
              <w:t xml:space="preserve">Registration staff  costs </w:t>
            </w:r>
          </w:p>
        </w:tc>
        <w:tc>
          <w:tcPr>
            <w:tcW w:w="1412"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1,115</w:t>
            </w:r>
          </w:p>
        </w:tc>
        <w:tc>
          <w:tcPr>
            <w:tcW w:w="1418"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1,317</w:t>
            </w:r>
          </w:p>
        </w:tc>
        <w:tc>
          <w:tcPr>
            <w:tcW w:w="1559"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1,242</w:t>
            </w:r>
          </w:p>
        </w:tc>
        <w:tc>
          <w:tcPr>
            <w:tcW w:w="1701" w:type="dxa"/>
            <w:noWrap/>
            <w:tcMar>
              <w:top w:w="0" w:type="dxa"/>
              <w:left w:w="108" w:type="dxa"/>
              <w:bottom w:w="0" w:type="dxa"/>
              <w:right w:w="108" w:type="dxa"/>
            </w:tcMar>
            <w:vAlign w:val="center"/>
          </w:tcPr>
          <w:p w:rsidR="00BE2E1F" w:rsidRPr="00F5732E" w:rsidRDefault="00BE2E1F" w:rsidP="008E2F84">
            <w:pPr>
              <w:spacing w:line="360" w:lineRule="auto"/>
              <w:jc w:val="right"/>
              <w:rPr>
                <w:lang w:eastAsia="en-AU"/>
              </w:rPr>
            </w:pPr>
            <w:r w:rsidRPr="00F5732E">
              <w:rPr>
                <w:lang w:eastAsia="en-AU"/>
              </w:rPr>
              <w:t>1,049</w:t>
            </w:r>
          </w:p>
        </w:tc>
      </w:tr>
      <w:tr w:rsidR="00BE2E1F" w:rsidRPr="00F5732E" w:rsidTr="00BE2E1F">
        <w:trPr>
          <w:cantSplit/>
          <w:trHeight w:val="315"/>
        </w:trPr>
        <w:tc>
          <w:tcPr>
            <w:tcW w:w="2694" w:type="dxa"/>
            <w:shd w:val="clear" w:color="auto" w:fill="98C49C"/>
            <w:noWrap/>
            <w:tcMar>
              <w:top w:w="0" w:type="dxa"/>
              <w:left w:w="108" w:type="dxa"/>
              <w:bottom w:w="0" w:type="dxa"/>
              <w:right w:w="108" w:type="dxa"/>
            </w:tcMar>
            <w:vAlign w:val="center"/>
            <w:hideMark/>
          </w:tcPr>
          <w:p w:rsidR="00BE2E1F" w:rsidRPr="00F5732E" w:rsidRDefault="00BE2E1F" w:rsidP="008E2F84">
            <w:pPr>
              <w:spacing w:line="360" w:lineRule="auto"/>
              <w:jc w:val="right"/>
              <w:rPr>
                <w:b/>
                <w:lang w:eastAsia="en-AU"/>
              </w:rPr>
            </w:pPr>
            <w:r w:rsidRPr="00F5732E">
              <w:rPr>
                <w:b/>
                <w:lang w:eastAsia="en-AU"/>
              </w:rPr>
              <w:t xml:space="preserve">Sub-total $   </w:t>
            </w:r>
          </w:p>
        </w:tc>
        <w:tc>
          <w:tcPr>
            <w:tcW w:w="1412"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 2,542</w:t>
            </w:r>
          </w:p>
        </w:tc>
        <w:tc>
          <w:tcPr>
            <w:tcW w:w="1418"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 2,903</w:t>
            </w:r>
          </w:p>
        </w:tc>
        <w:tc>
          <w:tcPr>
            <w:tcW w:w="1559"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lang w:eastAsia="en-AU"/>
              </w:rPr>
            </w:pPr>
            <w:r w:rsidRPr="00F5732E">
              <w:rPr>
                <w:b/>
                <w:lang w:eastAsia="en-AU"/>
              </w:rPr>
              <w:t> 2,656</w:t>
            </w:r>
          </w:p>
        </w:tc>
        <w:tc>
          <w:tcPr>
            <w:tcW w:w="1701" w:type="dxa"/>
            <w:shd w:val="clear" w:color="auto" w:fill="98C49C"/>
            <w:noWrap/>
            <w:tcMar>
              <w:top w:w="0" w:type="dxa"/>
              <w:left w:w="108" w:type="dxa"/>
              <w:bottom w:w="0" w:type="dxa"/>
              <w:right w:w="108" w:type="dxa"/>
            </w:tcMar>
            <w:vAlign w:val="bottom"/>
          </w:tcPr>
          <w:p w:rsidR="00BE2E1F" w:rsidRPr="00F5732E" w:rsidRDefault="00BE2E1F" w:rsidP="008E2F84">
            <w:pPr>
              <w:spacing w:line="360" w:lineRule="auto"/>
              <w:jc w:val="right"/>
              <w:rPr>
                <w:b/>
                <w:lang w:eastAsia="en-AU"/>
              </w:rPr>
            </w:pPr>
            <w:r w:rsidRPr="00F5732E">
              <w:rPr>
                <w:b/>
                <w:lang w:eastAsia="en-AU"/>
              </w:rPr>
              <w:t>  2,495</w:t>
            </w:r>
          </w:p>
        </w:tc>
      </w:tr>
      <w:tr w:rsidR="00BE2E1F" w:rsidRPr="00F5732E" w:rsidTr="00BE2E1F">
        <w:trPr>
          <w:cantSplit/>
          <w:trHeight w:val="329"/>
        </w:trPr>
        <w:tc>
          <w:tcPr>
            <w:tcW w:w="2694" w:type="dxa"/>
            <w:noWrap/>
            <w:tcMar>
              <w:top w:w="0" w:type="dxa"/>
              <w:left w:w="108" w:type="dxa"/>
              <w:bottom w:w="0" w:type="dxa"/>
              <w:right w:w="108" w:type="dxa"/>
            </w:tcMar>
            <w:vAlign w:val="center"/>
          </w:tcPr>
          <w:p w:rsidR="00BE2E1F" w:rsidRPr="00F5732E" w:rsidRDefault="00BE2E1F" w:rsidP="008E2F84">
            <w:pPr>
              <w:spacing w:line="360" w:lineRule="auto"/>
              <w:rPr>
                <w:lang w:eastAsia="en-AU"/>
              </w:rPr>
            </w:pPr>
            <w:r w:rsidRPr="00F5732E">
              <w:rPr>
                <w:lang w:eastAsia="en-AU"/>
              </w:rPr>
              <w:t xml:space="preserve">GEMS Regulator </w:t>
            </w:r>
          </w:p>
        </w:tc>
        <w:tc>
          <w:tcPr>
            <w:tcW w:w="1412" w:type="dxa"/>
            <w:shd w:val="clear" w:color="auto" w:fill="auto"/>
            <w:noWrap/>
            <w:tcMar>
              <w:top w:w="0" w:type="dxa"/>
              <w:left w:w="108" w:type="dxa"/>
              <w:bottom w:w="0" w:type="dxa"/>
              <w:right w:w="108" w:type="dxa"/>
            </w:tcMar>
            <w:vAlign w:val="center"/>
          </w:tcPr>
          <w:p w:rsidR="00BE2E1F" w:rsidRPr="00082D88" w:rsidRDefault="00BE2E1F" w:rsidP="008E2F84">
            <w:pPr>
              <w:spacing w:line="360" w:lineRule="auto"/>
              <w:jc w:val="right"/>
              <w:rPr>
                <w:bCs/>
                <w:lang w:eastAsia="en-AU"/>
              </w:rPr>
            </w:pPr>
            <w:r w:rsidRPr="00082D88">
              <w:rPr>
                <w:bCs/>
                <w:lang w:eastAsia="en-AU"/>
              </w:rPr>
              <w:t>61</w:t>
            </w:r>
          </w:p>
        </w:tc>
        <w:tc>
          <w:tcPr>
            <w:tcW w:w="1418" w:type="dxa"/>
            <w:shd w:val="clear" w:color="auto" w:fill="auto"/>
            <w:noWrap/>
            <w:tcMar>
              <w:top w:w="0" w:type="dxa"/>
              <w:left w:w="108" w:type="dxa"/>
              <w:bottom w:w="0" w:type="dxa"/>
              <w:right w:w="108" w:type="dxa"/>
            </w:tcMar>
            <w:vAlign w:val="center"/>
          </w:tcPr>
          <w:p w:rsidR="00BE2E1F" w:rsidRPr="00082D88" w:rsidRDefault="00BE2E1F" w:rsidP="008E2F84">
            <w:pPr>
              <w:spacing w:line="360" w:lineRule="auto"/>
              <w:jc w:val="right"/>
              <w:rPr>
                <w:bCs/>
                <w:lang w:eastAsia="en-AU"/>
              </w:rPr>
            </w:pPr>
            <w:r w:rsidRPr="00082D88">
              <w:rPr>
                <w:bCs/>
                <w:lang w:eastAsia="en-AU"/>
              </w:rPr>
              <w:t>63</w:t>
            </w:r>
          </w:p>
        </w:tc>
        <w:tc>
          <w:tcPr>
            <w:tcW w:w="1559" w:type="dxa"/>
            <w:shd w:val="clear" w:color="auto" w:fill="auto"/>
            <w:noWrap/>
            <w:tcMar>
              <w:top w:w="0" w:type="dxa"/>
              <w:left w:w="108" w:type="dxa"/>
              <w:bottom w:w="0" w:type="dxa"/>
              <w:right w:w="108" w:type="dxa"/>
            </w:tcMar>
            <w:vAlign w:val="center"/>
          </w:tcPr>
          <w:p w:rsidR="00BE2E1F" w:rsidRPr="00082D88" w:rsidRDefault="00BE2E1F" w:rsidP="008E2F84">
            <w:pPr>
              <w:spacing w:line="360" w:lineRule="auto"/>
              <w:jc w:val="right"/>
              <w:rPr>
                <w:bCs/>
                <w:lang w:eastAsia="en-AU"/>
              </w:rPr>
            </w:pPr>
            <w:r w:rsidRPr="00082D88">
              <w:rPr>
                <w:bCs/>
                <w:lang w:eastAsia="en-AU"/>
              </w:rPr>
              <w:t>65</w:t>
            </w:r>
          </w:p>
        </w:tc>
        <w:tc>
          <w:tcPr>
            <w:tcW w:w="1701" w:type="dxa"/>
            <w:shd w:val="clear" w:color="auto" w:fill="auto"/>
            <w:noWrap/>
            <w:tcMar>
              <w:top w:w="0" w:type="dxa"/>
              <w:left w:w="108" w:type="dxa"/>
              <w:bottom w:w="0" w:type="dxa"/>
              <w:right w:w="108" w:type="dxa"/>
            </w:tcMar>
            <w:vAlign w:val="center"/>
          </w:tcPr>
          <w:p w:rsidR="00BE2E1F" w:rsidRPr="00082D88" w:rsidRDefault="00BE2E1F" w:rsidP="008E2F84">
            <w:pPr>
              <w:spacing w:line="360" w:lineRule="auto"/>
              <w:jc w:val="right"/>
              <w:rPr>
                <w:bCs/>
                <w:lang w:eastAsia="en-AU"/>
              </w:rPr>
            </w:pPr>
            <w:r w:rsidRPr="00082D88">
              <w:rPr>
                <w:bCs/>
                <w:lang w:eastAsia="en-AU"/>
              </w:rPr>
              <w:t>67</w:t>
            </w:r>
          </w:p>
        </w:tc>
      </w:tr>
      <w:tr w:rsidR="00BE2E1F" w:rsidRPr="00F5732E" w:rsidTr="00BE2E1F">
        <w:trPr>
          <w:cantSplit/>
          <w:trHeight w:val="329"/>
        </w:trPr>
        <w:tc>
          <w:tcPr>
            <w:tcW w:w="2694" w:type="dxa"/>
            <w:shd w:val="clear" w:color="auto" w:fill="98C49C"/>
            <w:noWrap/>
            <w:tcMar>
              <w:top w:w="0" w:type="dxa"/>
              <w:left w:w="108" w:type="dxa"/>
              <w:bottom w:w="0" w:type="dxa"/>
              <w:right w:w="108" w:type="dxa"/>
            </w:tcMar>
            <w:vAlign w:val="center"/>
            <w:hideMark/>
          </w:tcPr>
          <w:p w:rsidR="00BE2E1F" w:rsidRPr="00F5732E" w:rsidRDefault="00BE2E1F" w:rsidP="008E2F84">
            <w:pPr>
              <w:spacing w:line="360" w:lineRule="auto"/>
              <w:jc w:val="right"/>
              <w:rPr>
                <w:b/>
                <w:lang w:eastAsia="en-AU"/>
              </w:rPr>
            </w:pPr>
            <w:r w:rsidRPr="00F5732E">
              <w:rPr>
                <w:b/>
                <w:lang w:eastAsia="en-AU"/>
              </w:rPr>
              <w:t>Total $</w:t>
            </w:r>
          </w:p>
        </w:tc>
        <w:tc>
          <w:tcPr>
            <w:tcW w:w="1412"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bCs/>
                <w:lang w:eastAsia="en-AU"/>
              </w:rPr>
            </w:pPr>
            <w:r>
              <w:rPr>
                <w:b/>
                <w:bCs/>
                <w:lang w:eastAsia="en-AU"/>
              </w:rPr>
              <w:t>3,468</w:t>
            </w:r>
          </w:p>
        </w:tc>
        <w:tc>
          <w:tcPr>
            <w:tcW w:w="1418"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bCs/>
                <w:lang w:eastAsia="en-AU"/>
              </w:rPr>
            </w:pPr>
            <w:r w:rsidRPr="00F5732E">
              <w:rPr>
                <w:b/>
                <w:bCs/>
                <w:lang w:eastAsia="en-AU"/>
              </w:rPr>
              <w:t>3,8</w:t>
            </w:r>
            <w:r>
              <w:rPr>
                <w:b/>
                <w:bCs/>
                <w:lang w:eastAsia="en-AU"/>
              </w:rPr>
              <w:t>45</w:t>
            </w:r>
          </w:p>
        </w:tc>
        <w:tc>
          <w:tcPr>
            <w:tcW w:w="1559"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bCs/>
                <w:lang w:eastAsia="en-AU"/>
              </w:rPr>
            </w:pPr>
            <w:r>
              <w:rPr>
                <w:b/>
                <w:bCs/>
                <w:lang w:eastAsia="en-AU"/>
              </w:rPr>
              <w:t>3,704</w:t>
            </w:r>
          </w:p>
        </w:tc>
        <w:tc>
          <w:tcPr>
            <w:tcW w:w="1701" w:type="dxa"/>
            <w:shd w:val="clear" w:color="auto" w:fill="98C49C"/>
            <w:noWrap/>
            <w:tcMar>
              <w:top w:w="0" w:type="dxa"/>
              <w:left w:w="108" w:type="dxa"/>
              <w:bottom w:w="0" w:type="dxa"/>
              <w:right w:w="108" w:type="dxa"/>
            </w:tcMar>
            <w:vAlign w:val="center"/>
          </w:tcPr>
          <w:p w:rsidR="00BE2E1F" w:rsidRPr="00F5732E" w:rsidRDefault="00BE2E1F" w:rsidP="008E2F84">
            <w:pPr>
              <w:spacing w:line="360" w:lineRule="auto"/>
              <w:jc w:val="right"/>
              <w:rPr>
                <w:b/>
                <w:bCs/>
                <w:lang w:eastAsia="en-AU"/>
              </w:rPr>
            </w:pPr>
            <w:r>
              <w:rPr>
                <w:b/>
                <w:bCs/>
                <w:lang w:eastAsia="en-AU"/>
              </w:rPr>
              <w:t>3,677</w:t>
            </w:r>
          </w:p>
        </w:tc>
      </w:tr>
    </w:tbl>
    <w:p w:rsidR="00BE2E1F" w:rsidRDefault="009676E3" w:rsidP="00BE2E1F">
      <w:pPr>
        <w:rPr>
          <w:i/>
          <w:sz w:val="18"/>
          <w:szCs w:val="18"/>
        </w:rPr>
      </w:pPr>
      <w:r w:rsidRPr="009676E3">
        <w:rPr>
          <w:i/>
          <w:sz w:val="18"/>
          <w:szCs w:val="18"/>
        </w:rPr>
        <w:t>Note:</w:t>
      </w:r>
      <w:r w:rsidRPr="009676E3">
        <w:rPr>
          <w:sz w:val="18"/>
          <w:szCs w:val="18"/>
        </w:rPr>
        <w:t xml:space="preserve"> </w:t>
      </w:r>
      <w:r w:rsidRPr="009676E3">
        <w:rPr>
          <w:i/>
          <w:sz w:val="18"/>
          <w:szCs w:val="18"/>
        </w:rPr>
        <w:t xml:space="preserve">GEMS formally began in October 2012. Figures are for </w:t>
      </w:r>
      <w:r w:rsidR="00BA27D1">
        <w:rPr>
          <w:i/>
          <w:sz w:val="18"/>
          <w:szCs w:val="18"/>
        </w:rPr>
        <w:t xml:space="preserve">only </w:t>
      </w:r>
      <w:r w:rsidRPr="009676E3">
        <w:rPr>
          <w:i/>
          <w:sz w:val="18"/>
          <w:szCs w:val="18"/>
        </w:rPr>
        <w:t>part of the yea</w:t>
      </w:r>
      <w:r>
        <w:rPr>
          <w:i/>
          <w:sz w:val="18"/>
          <w:szCs w:val="18"/>
        </w:rPr>
        <w:t>r.</w:t>
      </w:r>
    </w:p>
    <w:p w:rsidR="009676E3" w:rsidRDefault="009676E3" w:rsidP="00BE2E1F"/>
    <w:p w:rsidR="009676E3" w:rsidRDefault="00F6749E" w:rsidP="005B71C1">
      <w:pPr>
        <w:pStyle w:val="Heading2"/>
      </w:pPr>
      <w:bookmarkStart w:id="28" w:name="_Toc471476056"/>
      <w:r>
        <w:t>4</w:t>
      </w:r>
      <w:r w:rsidR="009676E3" w:rsidRPr="009676E3">
        <w:t>.5 Model used to set the registration fees</w:t>
      </w:r>
      <w:bookmarkEnd w:id="28"/>
    </w:p>
    <w:p w:rsidR="009676E3" w:rsidRDefault="009676E3" w:rsidP="009676E3">
      <w:r>
        <w:t>The original methodology used to set the registration fees was calculated for each product type based on historical trends, the number of estimated registrations, registration costs and compliance and monitoring costs. It was then based on recovery of all of the costs of the registration service and part of the costs of compliance monitoring and enforcement.</w:t>
      </w:r>
    </w:p>
    <w:p w:rsidR="009676E3" w:rsidRDefault="009676E3" w:rsidP="009676E3">
      <w:r>
        <w:t xml:space="preserve">Other considerations that were taken into </w:t>
      </w:r>
      <w:r w:rsidR="00197FDD">
        <w:t xml:space="preserve">account </w:t>
      </w:r>
      <w:r>
        <w:t>in the model used to set the fees were:</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average time to process registration applications</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average need for technical help to assess registration applications</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IT Infrastructure</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 xml:space="preserve">risk of non-compliance </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impact of non-compliance</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r w:rsidRPr="009676E3">
        <w:rPr>
          <w:rFonts w:ascii="Arial" w:hAnsi="Arial"/>
          <w:color w:val="333333"/>
        </w:rPr>
        <w:t xml:space="preserve">average cost of market surveillance </w:t>
      </w:r>
    </w:p>
    <w:p w:rsidR="009676E3" w:rsidRPr="009676E3" w:rsidRDefault="009676E3" w:rsidP="0063460C">
      <w:pPr>
        <w:pStyle w:val="ListParagraph"/>
        <w:numPr>
          <w:ilvl w:val="0"/>
          <w:numId w:val="11"/>
        </w:numPr>
        <w:spacing w:before="100" w:beforeAutospacing="1" w:after="100" w:afterAutospacing="1" w:line="300" w:lineRule="auto"/>
        <w:ind w:left="714" w:hanging="357"/>
        <w:rPr>
          <w:rFonts w:ascii="Arial" w:hAnsi="Arial"/>
          <w:color w:val="333333"/>
        </w:rPr>
      </w:pPr>
      <w:proofErr w:type="gramStart"/>
      <w:r w:rsidRPr="009676E3">
        <w:rPr>
          <w:rFonts w:ascii="Arial" w:hAnsi="Arial"/>
          <w:color w:val="333333"/>
        </w:rPr>
        <w:t>average</w:t>
      </w:r>
      <w:proofErr w:type="gramEnd"/>
      <w:r w:rsidRPr="009676E3">
        <w:rPr>
          <w:rFonts w:ascii="Arial" w:hAnsi="Arial"/>
          <w:color w:val="333333"/>
        </w:rPr>
        <w:t xml:space="preserve"> cost to purchase and check test products.</w:t>
      </w:r>
    </w:p>
    <w:p w:rsidR="009676E3" w:rsidRDefault="009676E3" w:rsidP="009676E3">
      <w:r w:rsidRPr="009676E3">
        <w:t xml:space="preserve">The GEMS Regulator’s current Compliance Monitoring Program uses an intelligence led, risk based approach. This means, for example, </w:t>
      </w:r>
      <w:r w:rsidR="00197FDD">
        <w:t xml:space="preserve">that </w:t>
      </w:r>
      <w:r w:rsidRPr="009676E3">
        <w:t>not all GEMS products are check tested each year. Instead, models are selected using a range of criteria (GEMS Check Testing Selection Criteria) which identifies GEMS products and models with a higher</w:t>
      </w:r>
      <w:r w:rsidR="00AC678C">
        <w:t xml:space="preserve"> </w:t>
      </w:r>
      <w:r w:rsidRPr="009676E3">
        <w:t>than average risk of non</w:t>
      </w:r>
      <w:r w:rsidR="00DA21C2">
        <w:noBreakHyphen/>
      </w:r>
      <w:r w:rsidRPr="009676E3">
        <w:t xml:space="preserve">compliance. This ensures those persons complying with the GEMS Act requirements are not unnecessarily targeted. With a limited budget, it is also the best use of financial resources. </w:t>
      </w:r>
    </w:p>
    <w:p w:rsidR="009676E3" w:rsidRPr="009676E3" w:rsidRDefault="009676E3" w:rsidP="009676E3">
      <w:r w:rsidRPr="009676E3">
        <w:t>The initial model did not recognise the intelligence-led, risk based approach to compliance</w:t>
      </w:r>
      <w:r w:rsidR="00BA27D1">
        <w:t>.</w:t>
      </w:r>
    </w:p>
    <w:p w:rsidR="00197FDD" w:rsidRDefault="00197FDD" w:rsidP="009676E3"/>
    <w:p w:rsidR="009676E3" w:rsidRPr="009676E3" w:rsidRDefault="009676E3" w:rsidP="009676E3">
      <w:r w:rsidRPr="009676E3">
        <w:t xml:space="preserve">Table </w:t>
      </w:r>
      <w:r w:rsidR="00B3645E">
        <w:t>3</w:t>
      </w:r>
      <w:r w:rsidRPr="009676E3">
        <w:t xml:space="preserve"> below outlines the current fee schedule. Upon commencement of the scheme in October 2012, the fees ranged from $440 (for 13 of 22 product types) to $780 (for 4 of 22 product types). The fees cover a five year registration period and GST does not apply.  </w:t>
      </w:r>
    </w:p>
    <w:p w:rsidR="009676E3" w:rsidRDefault="009676E3" w:rsidP="009676E3"/>
    <w:p w:rsidR="009676E3" w:rsidRDefault="00197FDD" w:rsidP="009676E3">
      <w:r>
        <w:t>Neither t</w:t>
      </w:r>
      <w:r w:rsidR="009676E3" w:rsidRPr="009676E3">
        <w:t>he fees, the length of registrations, nor the placement of products within bands have changed since then. However, the scope of GEMS has broadened to include computers and computer monitors and now covers 22 products.</w:t>
      </w:r>
    </w:p>
    <w:p w:rsidR="009676E3" w:rsidRDefault="009676E3" w:rsidP="009676E3"/>
    <w:p w:rsidR="00DA21C2" w:rsidRPr="00F5732E" w:rsidRDefault="00DA21C2" w:rsidP="00AC4C3F">
      <w:pPr>
        <w:rPr>
          <w:i/>
        </w:rPr>
      </w:pPr>
      <w:r>
        <w:rPr>
          <w:i/>
        </w:rPr>
        <w:t xml:space="preserve">Table </w:t>
      </w:r>
      <w:r w:rsidR="00B3645E">
        <w:rPr>
          <w:i/>
        </w:rPr>
        <w:t>3</w:t>
      </w:r>
      <w:r w:rsidRPr="00F5732E">
        <w:rPr>
          <w:i/>
        </w:rPr>
        <w:t xml:space="preserve">: Current Fee Schedule </w:t>
      </w:r>
    </w:p>
    <w:p w:rsidR="00DA21C2" w:rsidRPr="00097F6F" w:rsidRDefault="00DA21C2" w:rsidP="00DA21C2">
      <w:pPr>
        <w:tabs>
          <w:tab w:val="left" w:pos="2745"/>
        </w:tabs>
      </w:pPr>
    </w:p>
    <w:tbl>
      <w:tblPr>
        <w:tblpPr w:leftFromText="180" w:rightFromText="180" w:vertAnchor="text" w:horzAnchor="margin" w:tblpY="-120"/>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2"/>
        <w:gridCol w:w="7700"/>
      </w:tblGrid>
      <w:tr w:rsidR="00DA21C2" w:rsidRPr="00F5732E" w:rsidTr="00DA21C2">
        <w:trPr>
          <w:trHeight w:val="1059"/>
        </w:trPr>
        <w:tc>
          <w:tcPr>
            <w:tcW w:w="1362" w:type="dxa"/>
            <w:shd w:val="clear" w:color="auto" w:fill="98C49C"/>
          </w:tcPr>
          <w:p w:rsidR="00DA21C2" w:rsidRPr="00F5732E" w:rsidRDefault="00DA21C2" w:rsidP="00DA21C2">
            <w:pPr>
              <w:spacing w:before="120"/>
              <w:jc w:val="center"/>
              <w:rPr>
                <w:bCs/>
                <w:color w:val="000000"/>
              </w:rPr>
            </w:pPr>
            <w:r>
              <w:rPr>
                <w:bCs/>
                <w:color w:val="000000"/>
              </w:rPr>
              <w:t xml:space="preserve">Band 1 </w:t>
            </w:r>
            <w:r w:rsidRPr="00F5732E">
              <w:rPr>
                <w:bCs/>
                <w:color w:val="000000"/>
              </w:rPr>
              <w:t>$440</w:t>
            </w:r>
          </w:p>
        </w:tc>
        <w:tc>
          <w:tcPr>
            <w:tcW w:w="7700" w:type="dxa"/>
            <w:shd w:val="clear" w:color="auto" w:fill="98C49C"/>
          </w:tcPr>
          <w:p w:rsidR="00DA21C2" w:rsidRPr="00F5732E" w:rsidRDefault="00DA21C2" w:rsidP="00DA21C2">
            <w:pPr>
              <w:spacing w:before="120" w:line="240" w:lineRule="auto"/>
              <w:ind w:left="720"/>
              <w:rPr>
                <w:color w:val="000000"/>
              </w:rPr>
            </w:pPr>
            <w:r w:rsidRPr="00F5732E">
              <w:rPr>
                <w:bCs/>
                <w:color w:val="000000"/>
              </w:rPr>
              <w:t>All types of Lighting Products (5)</w:t>
            </w:r>
          </w:p>
          <w:p w:rsidR="00DA21C2" w:rsidRPr="00F5732E" w:rsidRDefault="00DA21C2" w:rsidP="00DA21C2">
            <w:pPr>
              <w:spacing w:line="240" w:lineRule="auto"/>
              <w:ind w:left="720"/>
              <w:rPr>
                <w:color w:val="000000"/>
              </w:rPr>
            </w:pPr>
            <w:r w:rsidRPr="00F5732E">
              <w:rPr>
                <w:bCs/>
                <w:color w:val="000000"/>
              </w:rPr>
              <w:t>Clothes Washers</w:t>
            </w:r>
          </w:p>
          <w:p w:rsidR="00DA21C2" w:rsidRPr="00F5732E" w:rsidRDefault="00DA21C2" w:rsidP="00DA21C2">
            <w:pPr>
              <w:spacing w:line="240" w:lineRule="auto"/>
              <w:ind w:left="720"/>
              <w:rPr>
                <w:bCs/>
                <w:color w:val="000000"/>
              </w:rPr>
            </w:pPr>
            <w:r w:rsidRPr="00F5732E">
              <w:rPr>
                <w:bCs/>
                <w:color w:val="000000"/>
              </w:rPr>
              <w:t>Dishwashers</w:t>
            </w:r>
          </w:p>
          <w:p w:rsidR="00DA21C2" w:rsidRPr="00F5732E" w:rsidRDefault="00DA21C2" w:rsidP="00DA21C2">
            <w:pPr>
              <w:spacing w:line="240" w:lineRule="auto"/>
              <w:ind w:left="720"/>
              <w:rPr>
                <w:color w:val="000000"/>
              </w:rPr>
            </w:pPr>
            <w:r w:rsidRPr="00F5732E">
              <w:rPr>
                <w:bCs/>
                <w:color w:val="000000"/>
              </w:rPr>
              <w:t>Clothes Dryers</w:t>
            </w:r>
          </w:p>
          <w:p w:rsidR="00DA21C2" w:rsidRPr="00F5732E" w:rsidRDefault="00DA21C2" w:rsidP="00DA21C2">
            <w:pPr>
              <w:spacing w:line="240" w:lineRule="auto"/>
              <w:ind w:left="720"/>
              <w:rPr>
                <w:color w:val="000000"/>
              </w:rPr>
            </w:pPr>
            <w:r w:rsidRPr="00F5732E">
              <w:rPr>
                <w:bCs/>
                <w:color w:val="000000"/>
              </w:rPr>
              <w:t xml:space="preserve">Computers </w:t>
            </w:r>
          </w:p>
          <w:p w:rsidR="00DA21C2" w:rsidRPr="00F5732E" w:rsidRDefault="00DA21C2" w:rsidP="00DA21C2">
            <w:pPr>
              <w:spacing w:line="240" w:lineRule="auto"/>
              <w:ind w:left="720"/>
              <w:rPr>
                <w:color w:val="000000"/>
              </w:rPr>
            </w:pPr>
            <w:r w:rsidRPr="00F5732E">
              <w:rPr>
                <w:bCs/>
                <w:color w:val="000000"/>
              </w:rPr>
              <w:t>Computer Monitors</w:t>
            </w:r>
          </w:p>
          <w:p w:rsidR="00DA21C2" w:rsidRPr="00F5732E" w:rsidRDefault="00DA21C2" w:rsidP="00DA21C2">
            <w:pPr>
              <w:spacing w:line="240" w:lineRule="auto"/>
              <w:ind w:left="720"/>
              <w:rPr>
                <w:bCs/>
                <w:color w:val="000000"/>
              </w:rPr>
            </w:pPr>
            <w:r w:rsidRPr="00F5732E">
              <w:rPr>
                <w:bCs/>
                <w:color w:val="000000"/>
              </w:rPr>
              <w:t>Televisions</w:t>
            </w:r>
          </w:p>
          <w:p w:rsidR="00DA21C2" w:rsidRPr="00F5732E" w:rsidRDefault="00DA21C2" w:rsidP="00DA21C2">
            <w:pPr>
              <w:spacing w:line="240" w:lineRule="auto"/>
              <w:ind w:left="720"/>
              <w:rPr>
                <w:bCs/>
                <w:color w:val="000000"/>
              </w:rPr>
            </w:pPr>
            <w:r w:rsidRPr="00F5732E">
              <w:rPr>
                <w:bCs/>
                <w:color w:val="000000"/>
              </w:rPr>
              <w:t>Set Top Boxes</w:t>
            </w:r>
          </w:p>
          <w:p w:rsidR="00DA21C2" w:rsidRPr="00F5732E" w:rsidRDefault="00DA21C2" w:rsidP="00C60E79">
            <w:pPr>
              <w:spacing w:line="240" w:lineRule="auto"/>
              <w:ind w:left="720"/>
              <w:rPr>
                <w:color w:val="000000"/>
              </w:rPr>
            </w:pPr>
            <w:r w:rsidRPr="00F5732E">
              <w:rPr>
                <w:bCs/>
                <w:color w:val="000000"/>
              </w:rPr>
              <w:t>External Power Supplies</w:t>
            </w:r>
          </w:p>
        </w:tc>
      </w:tr>
      <w:tr w:rsidR="00DA21C2" w:rsidRPr="00F5732E" w:rsidTr="00DA21C2">
        <w:tc>
          <w:tcPr>
            <w:tcW w:w="1362" w:type="dxa"/>
          </w:tcPr>
          <w:p w:rsidR="00DA21C2" w:rsidRPr="00F5732E" w:rsidRDefault="00DA21C2" w:rsidP="00DA21C2">
            <w:pPr>
              <w:spacing w:before="120"/>
              <w:jc w:val="center"/>
              <w:rPr>
                <w:bCs/>
                <w:color w:val="000000"/>
              </w:rPr>
            </w:pPr>
            <w:r>
              <w:rPr>
                <w:bCs/>
                <w:color w:val="000000"/>
              </w:rPr>
              <w:t xml:space="preserve">Band 2 </w:t>
            </w:r>
            <w:r w:rsidRPr="00F5732E">
              <w:rPr>
                <w:bCs/>
                <w:color w:val="000000"/>
              </w:rPr>
              <w:t>$540</w:t>
            </w:r>
          </w:p>
        </w:tc>
        <w:tc>
          <w:tcPr>
            <w:tcW w:w="7700" w:type="dxa"/>
          </w:tcPr>
          <w:p w:rsidR="00DA21C2" w:rsidRPr="00F5732E" w:rsidRDefault="00DA21C2" w:rsidP="00DA21C2">
            <w:pPr>
              <w:spacing w:before="120"/>
              <w:ind w:left="720"/>
              <w:rPr>
                <w:color w:val="000000"/>
              </w:rPr>
            </w:pPr>
            <w:r w:rsidRPr="00F5732E">
              <w:rPr>
                <w:bCs/>
                <w:color w:val="000000"/>
              </w:rPr>
              <w:t>Electric Water Heaters</w:t>
            </w:r>
          </w:p>
        </w:tc>
      </w:tr>
      <w:tr w:rsidR="00DA21C2" w:rsidRPr="00F5732E" w:rsidTr="00DA21C2">
        <w:tc>
          <w:tcPr>
            <w:tcW w:w="1362" w:type="dxa"/>
            <w:shd w:val="clear" w:color="auto" w:fill="98C49C"/>
          </w:tcPr>
          <w:p w:rsidR="00DA21C2" w:rsidRPr="00F5732E" w:rsidRDefault="00DA21C2" w:rsidP="00DA21C2">
            <w:pPr>
              <w:spacing w:before="120"/>
              <w:jc w:val="center"/>
              <w:rPr>
                <w:bCs/>
                <w:color w:val="000000"/>
              </w:rPr>
            </w:pPr>
            <w:r>
              <w:rPr>
                <w:bCs/>
                <w:color w:val="000000"/>
              </w:rPr>
              <w:t xml:space="preserve">Band 3 </w:t>
            </w:r>
            <w:r w:rsidRPr="00F5732E">
              <w:rPr>
                <w:bCs/>
                <w:color w:val="000000"/>
              </w:rPr>
              <w:t xml:space="preserve"> $670</w:t>
            </w:r>
          </w:p>
          <w:p w:rsidR="00DA21C2" w:rsidRPr="00F5732E" w:rsidRDefault="00DA21C2" w:rsidP="008E2F84">
            <w:pPr>
              <w:jc w:val="center"/>
              <w:rPr>
                <w:bCs/>
                <w:color w:val="000000"/>
              </w:rPr>
            </w:pPr>
          </w:p>
        </w:tc>
        <w:tc>
          <w:tcPr>
            <w:tcW w:w="7700" w:type="dxa"/>
            <w:shd w:val="clear" w:color="auto" w:fill="98C49C"/>
          </w:tcPr>
          <w:p w:rsidR="00DA21C2" w:rsidRPr="00F5732E" w:rsidRDefault="00DA21C2" w:rsidP="00DA21C2">
            <w:pPr>
              <w:spacing w:before="120" w:line="240" w:lineRule="auto"/>
              <w:ind w:left="720"/>
              <w:rPr>
                <w:color w:val="000000"/>
              </w:rPr>
            </w:pPr>
            <w:r w:rsidRPr="00F5732E">
              <w:rPr>
                <w:bCs/>
                <w:color w:val="000000"/>
              </w:rPr>
              <w:t>Air Conditioners &amp; Heat Pumps</w:t>
            </w:r>
          </w:p>
          <w:p w:rsidR="00DA21C2" w:rsidRPr="00F5732E" w:rsidRDefault="00DA21C2" w:rsidP="00DA21C2">
            <w:pPr>
              <w:spacing w:line="240" w:lineRule="auto"/>
              <w:ind w:left="720"/>
              <w:rPr>
                <w:color w:val="000000"/>
              </w:rPr>
            </w:pPr>
            <w:r w:rsidRPr="00F5732E">
              <w:rPr>
                <w:bCs/>
                <w:color w:val="000000"/>
              </w:rPr>
              <w:t>Refrigerators</w:t>
            </w:r>
          </w:p>
          <w:p w:rsidR="00DA21C2" w:rsidRPr="00F5732E" w:rsidRDefault="00DA21C2" w:rsidP="00DA21C2">
            <w:pPr>
              <w:spacing w:line="240" w:lineRule="auto"/>
              <w:ind w:left="720"/>
              <w:rPr>
                <w:bCs/>
                <w:color w:val="000000"/>
              </w:rPr>
            </w:pPr>
            <w:r w:rsidRPr="00F5732E">
              <w:rPr>
                <w:bCs/>
                <w:color w:val="000000"/>
              </w:rPr>
              <w:t>Gas Water Heaters</w:t>
            </w:r>
          </w:p>
          <w:p w:rsidR="00DA21C2" w:rsidRPr="00F5732E" w:rsidRDefault="00DA21C2" w:rsidP="00C60E79">
            <w:pPr>
              <w:spacing w:line="240" w:lineRule="auto"/>
              <w:ind w:left="720"/>
              <w:rPr>
                <w:color w:val="000000"/>
              </w:rPr>
            </w:pPr>
            <w:r w:rsidRPr="00F5732E">
              <w:rPr>
                <w:bCs/>
                <w:color w:val="000000"/>
              </w:rPr>
              <w:t>Electric Motors</w:t>
            </w:r>
          </w:p>
        </w:tc>
      </w:tr>
      <w:tr w:rsidR="00DA21C2" w:rsidRPr="00F5732E" w:rsidTr="00DA21C2">
        <w:trPr>
          <w:trHeight w:val="505"/>
        </w:trPr>
        <w:tc>
          <w:tcPr>
            <w:tcW w:w="1362" w:type="dxa"/>
          </w:tcPr>
          <w:p w:rsidR="00DA21C2" w:rsidRPr="00F5732E" w:rsidRDefault="00DA21C2" w:rsidP="00DA21C2">
            <w:pPr>
              <w:spacing w:before="120"/>
              <w:jc w:val="center"/>
              <w:rPr>
                <w:bCs/>
                <w:color w:val="000000"/>
              </w:rPr>
            </w:pPr>
            <w:r>
              <w:rPr>
                <w:bCs/>
                <w:color w:val="000000"/>
              </w:rPr>
              <w:t xml:space="preserve">Band 4 </w:t>
            </w:r>
            <w:r w:rsidRPr="00F5732E">
              <w:rPr>
                <w:bCs/>
                <w:color w:val="000000"/>
              </w:rPr>
              <w:t>$780</w:t>
            </w:r>
          </w:p>
          <w:p w:rsidR="00DA21C2" w:rsidRPr="00F5732E" w:rsidRDefault="00DA21C2" w:rsidP="008E2F84">
            <w:pPr>
              <w:jc w:val="center"/>
              <w:rPr>
                <w:bCs/>
                <w:color w:val="000000"/>
              </w:rPr>
            </w:pPr>
          </w:p>
        </w:tc>
        <w:tc>
          <w:tcPr>
            <w:tcW w:w="7700" w:type="dxa"/>
          </w:tcPr>
          <w:p w:rsidR="00DA21C2" w:rsidRPr="00F5732E" w:rsidRDefault="00DA21C2" w:rsidP="00DA21C2">
            <w:pPr>
              <w:spacing w:before="120" w:line="240" w:lineRule="auto"/>
              <w:ind w:left="720"/>
              <w:rPr>
                <w:bCs/>
                <w:color w:val="000000"/>
              </w:rPr>
            </w:pPr>
            <w:r w:rsidRPr="00F5732E">
              <w:rPr>
                <w:bCs/>
                <w:color w:val="000000"/>
              </w:rPr>
              <w:t>Commercial Refrigerators/Display Cabinets</w:t>
            </w:r>
          </w:p>
          <w:p w:rsidR="00DA21C2" w:rsidRPr="00F5732E" w:rsidRDefault="00DA21C2" w:rsidP="00DA21C2">
            <w:pPr>
              <w:spacing w:line="240" w:lineRule="auto"/>
              <w:ind w:left="720"/>
              <w:rPr>
                <w:bCs/>
                <w:color w:val="000000"/>
              </w:rPr>
            </w:pPr>
            <w:r w:rsidRPr="00F5732E">
              <w:rPr>
                <w:bCs/>
                <w:color w:val="000000"/>
              </w:rPr>
              <w:t>Chiller Towers</w:t>
            </w:r>
          </w:p>
          <w:p w:rsidR="00DA21C2" w:rsidRPr="00F5732E" w:rsidRDefault="00DA21C2" w:rsidP="00DA21C2">
            <w:pPr>
              <w:spacing w:line="240" w:lineRule="auto"/>
              <w:ind w:left="720"/>
              <w:rPr>
                <w:bCs/>
                <w:color w:val="000000"/>
              </w:rPr>
            </w:pPr>
            <w:r w:rsidRPr="00F5732E">
              <w:rPr>
                <w:bCs/>
                <w:color w:val="000000"/>
              </w:rPr>
              <w:t>Distribution Transformers</w:t>
            </w:r>
          </w:p>
          <w:p w:rsidR="00DA21C2" w:rsidRPr="00F5732E" w:rsidRDefault="00DA21C2" w:rsidP="00C60E79">
            <w:pPr>
              <w:spacing w:line="240" w:lineRule="auto"/>
              <w:ind w:left="720"/>
              <w:rPr>
                <w:color w:val="000000"/>
              </w:rPr>
            </w:pPr>
            <w:r w:rsidRPr="00F5732E">
              <w:rPr>
                <w:bCs/>
                <w:color w:val="000000"/>
              </w:rPr>
              <w:t>Close Control Air Conditioners</w:t>
            </w:r>
          </w:p>
        </w:tc>
      </w:tr>
    </w:tbl>
    <w:p w:rsidR="00A926BF" w:rsidRDefault="00A926BF" w:rsidP="009676E3"/>
    <w:p w:rsidR="00A926BF" w:rsidRDefault="00A926BF" w:rsidP="009676E3"/>
    <w:p w:rsidR="00A926BF" w:rsidRDefault="00A926BF" w:rsidP="009676E3"/>
    <w:p w:rsidR="00A926BF" w:rsidRDefault="007652EE" w:rsidP="009676E3">
      <w:r w:rsidRPr="007652EE">
        <w:t xml:space="preserve">Figure </w:t>
      </w:r>
      <w:r w:rsidR="00B3645E">
        <w:t>1</w:t>
      </w:r>
      <w:r w:rsidRPr="007652EE">
        <w:t xml:space="preserve"> below outlines the cost of check-testing individual products by current fee band. Red denotes the $780 band, blue the $670 band, orange the $540 band and green the $440 band. </w:t>
      </w:r>
    </w:p>
    <w:p w:rsidR="00A926BF" w:rsidRDefault="00A926BF" w:rsidP="009676E3"/>
    <w:p w:rsidR="005922D2" w:rsidRDefault="007652EE" w:rsidP="009676E3">
      <w:r w:rsidRPr="007652EE">
        <w:t>The allocation of products to specific fee bands is not equitable and there is some degree of cross-subsidisation of check testing costs across product types. For example lighting products are in the lowest fee band, but have some of the highest check-testing costs.</w:t>
      </w:r>
    </w:p>
    <w:p w:rsidR="005922D2" w:rsidRDefault="005922D2" w:rsidP="009676E3"/>
    <w:p w:rsidR="007652EE" w:rsidRDefault="007652EE" w:rsidP="00C60E79">
      <w:pPr>
        <w:rPr>
          <w:i/>
        </w:rPr>
      </w:pPr>
      <w:r w:rsidRPr="007652EE">
        <w:rPr>
          <w:i/>
        </w:rPr>
        <w:t xml:space="preserve">Figure </w:t>
      </w:r>
      <w:r w:rsidR="00B3645E">
        <w:rPr>
          <w:i/>
        </w:rPr>
        <w:t>1</w:t>
      </w:r>
      <w:r w:rsidRPr="007652EE">
        <w:rPr>
          <w:i/>
        </w:rPr>
        <w:t>: Current average check-testing costs per product type</w:t>
      </w:r>
    </w:p>
    <w:p w:rsidR="007652EE" w:rsidRDefault="00C60E79" w:rsidP="009676E3">
      <w:r>
        <w:rPr>
          <w:noProof/>
          <w:lang w:eastAsia="en-AU"/>
        </w:rPr>
        <w:drawing>
          <wp:inline distT="0" distB="0" distL="0" distR="0" wp14:anchorId="2F6CA821" wp14:editId="767AC43D">
            <wp:extent cx="5379720" cy="2430165"/>
            <wp:effectExtent l="0" t="0" r="0" b="8255"/>
            <wp:docPr id="3" name="Picture 3" descr="Graph detailing the Current check testing costs for regulated products, &#10;raniging between $0 -$20, 00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9138" cy="2443454"/>
                    </a:xfrm>
                    <a:prstGeom prst="rect">
                      <a:avLst/>
                    </a:prstGeom>
                    <a:noFill/>
                  </pic:spPr>
                </pic:pic>
              </a:graphicData>
            </a:graphic>
          </wp:inline>
        </w:drawing>
      </w:r>
      <w:r w:rsidR="002F2452">
        <w:t xml:space="preserve"> </w:t>
      </w:r>
    </w:p>
    <w:p w:rsidR="00C60E79" w:rsidRDefault="00C60E79" w:rsidP="009676E3"/>
    <w:p w:rsidR="00C60E79" w:rsidRDefault="00C60E79" w:rsidP="00C60E79">
      <w:pPr>
        <w:pBdr>
          <w:top w:val="single" w:sz="4" w:space="1" w:color="auto"/>
          <w:left w:val="single" w:sz="4" w:space="4" w:color="auto"/>
          <w:bottom w:val="single" w:sz="4" w:space="1" w:color="auto"/>
          <w:right w:val="single" w:sz="4" w:space="4" w:color="auto"/>
        </w:pBdr>
      </w:pPr>
      <w:r w:rsidRPr="00C60E79">
        <w:rPr>
          <w:b/>
        </w:rPr>
        <w:t>Recommendation 2</w:t>
      </w:r>
      <w:r w:rsidRPr="00C60E79">
        <w:t xml:space="preserve"> GEMS products are allocated in new product bands according to their registration and compliance monitoring including proposed check test activity over a seven year compliance cycle.  </w:t>
      </w:r>
    </w:p>
    <w:p w:rsidR="00C60E79" w:rsidRDefault="00C60E79" w:rsidP="009676E3"/>
    <w:p w:rsidR="00A926BF" w:rsidRDefault="00A926BF" w:rsidP="009676E3"/>
    <w:p w:rsidR="00C60E79" w:rsidRDefault="00F6749E" w:rsidP="005B71C1">
      <w:pPr>
        <w:pStyle w:val="Heading2"/>
      </w:pPr>
      <w:bookmarkStart w:id="29" w:name="_Toc471476057"/>
      <w:r>
        <w:t>4</w:t>
      </w:r>
      <w:r w:rsidR="00C60E79" w:rsidRPr="00C60E79">
        <w:t xml:space="preserve">.6 Historical and </w:t>
      </w:r>
      <w:r w:rsidR="00B27CBE">
        <w:t>p</w:t>
      </w:r>
      <w:r w:rsidR="00C60E79" w:rsidRPr="00C60E79">
        <w:t xml:space="preserve">rojected </w:t>
      </w:r>
      <w:r w:rsidR="00B27CBE">
        <w:t>c</w:t>
      </w:r>
      <w:r w:rsidR="00C60E79" w:rsidRPr="00C60E79">
        <w:t xml:space="preserve">ost </w:t>
      </w:r>
      <w:r w:rsidR="00B27CBE">
        <w:t>r</w:t>
      </w:r>
      <w:r w:rsidR="00C60E79" w:rsidRPr="00C60E79">
        <w:t xml:space="preserve">ecovery </w:t>
      </w:r>
      <w:r w:rsidR="00B27CBE">
        <w:t>r</w:t>
      </w:r>
      <w:r w:rsidR="00C60E79" w:rsidRPr="00C60E79">
        <w:t>ates</w:t>
      </w:r>
      <w:bookmarkEnd w:id="29"/>
    </w:p>
    <w:p w:rsidR="00C60E79" w:rsidRDefault="00C60E79" w:rsidP="00C60E79">
      <w:r>
        <w:t>The table</w:t>
      </w:r>
      <w:r w:rsidR="00B3645E">
        <w:t>s</w:t>
      </w:r>
      <w:r>
        <w:t xml:space="preserve"> below outlines the cost recovery rates to date and the projected cost recovery rates in future from a business as usual approach. This provides the basis to determine the impact of changes to the current model.  </w:t>
      </w:r>
    </w:p>
    <w:p w:rsidR="00AC4C3F" w:rsidRDefault="00AC4C3F" w:rsidP="00C60E79"/>
    <w:p w:rsidR="00C60E79" w:rsidRDefault="00C60E79" w:rsidP="00C60E79">
      <w:r>
        <w:t xml:space="preserve">The projections assume: </w:t>
      </w:r>
    </w:p>
    <w:p w:rsidR="00C60E79" w:rsidRPr="00C60E79" w:rsidRDefault="00C60E79" w:rsidP="0063460C">
      <w:pPr>
        <w:pStyle w:val="ListParagraph"/>
        <w:numPr>
          <w:ilvl w:val="0"/>
          <w:numId w:val="12"/>
        </w:numPr>
        <w:spacing w:before="100" w:beforeAutospacing="1" w:after="100" w:afterAutospacing="1" w:line="300" w:lineRule="auto"/>
        <w:ind w:left="714" w:hanging="357"/>
        <w:rPr>
          <w:rFonts w:ascii="Arial" w:hAnsi="Arial"/>
          <w:color w:val="333333"/>
        </w:rPr>
      </w:pPr>
      <w:r w:rsidRPr="00C60E79">
        <w:rPr>
          <w:rFonts w:ascii="Arial" w:hAnsi="Arial"/>
          <w:color w:val="333333"/>
        </w:rPr>
        <w:t>product registrations increase at the same rate as they have historically</w:t>
      </w:r>
      <w:r w:rsidR="00D567D6">
        <w:rPr>
          <w:rStyle w:val="FootnoteReference"/>
          <w:rFonts w:ascii="Arial" w:hAnsi="Arial"/>
          <w:color w:val="333333"/>
        </w:rPr>
        <w:footnoteReference w:id="1"/>
      </w:r>
    </w:p>
    <w:p w:rsidR="00C60E79" w:rsidRPr="00C60E79" w:rsidRDefault="00C60E79" w:rsidP="0063460C">
      <w:pPr>
        <w:pStyle w:val="ListParagraph"/>
        <w:numPr>
          <w:ilvl w:val="0"/>
          <w:numId w:val="12"/>
        </w:numPr>
        <w:spacing w:before="100" w:beforeAutospacing="1" w:after="100" w:afterAutospacing="1" w:line="300" w:lineRule="auto"/>
        <w:ind w:left="714" w:hanging="357"/>
        <w:rPr>
          <w:rFonts w:ascii="Arial" w:hAnsi="Arial"/>
          <w:color w:val="333333"/>
        </w:rPr>
      </w:pPr>
      <w:r w:rsidRPr="00C60E79">
        <w:rPr>
          <w:rFonts w:ascii="Arial" w:hAnsi="Arial"/>
          <w:color w:val="333333"/>
        </w:rPr>
        <w:t>small increase in compliance activity</w:t>
      </w:r>
    </w:p>
    <w:p w:rsidR="00C60E79" w:rsidRPr="00C60E79" w:rsidRDefault="00C60E79" w:rsidP="0063460C">
      <w:pPr>
        <w:pStyle w:val="ListParagraph"/>
        <w:numPr>
          <w:ilvl w:val="0"/>
          <w:numId w:val="12"/>
        </w:numPr>
        <w:spacing w:before="100" w:beforeAutospacing="1" w:after="100" w:afterAutospacing="1" w:line="300" w:lineRule="auto"/>
        <w:ind w:left="714" w:hanging="357"/>
        <w:rPr>
          <w:rFonts w:ascii="Arial" w:hAnsi="Arial"/>
          <w:color w:val="333333"/>
        </w:rPr>
      </w:pPr>
      <w:r w:rsidRPr="00C60E79">
        <w:rPr>
          <w:rFonts w:ascii="Arial" w:hAnsi="Arial"/>
          <w:color w:val="333333"/>
        </w:rPr>
        <w:t xml:space="preserve">no staff increase </w:t>
      </w:r>
    </w:p>
    <w:p w:rsidR="00AC4C3F" w:rsidRPr="005922D2" w:rsidRDefault="00C60E79" w:rsidP="005922D2">
      <w:pPr>
        <w:pStyle w:val="ListParagraph"/>
        <w:numPr>
          <w:ilvl w:val="0"/>
          <w:numId w:val="12"/>
        </w:numPr>
        <w:spacing w:before="100" w:beforeAutospacing="1" w:after="100" w:afterAutospacing="1" w:line="300" w:lineRule="auto"/>
        <w:ind w:left="714" w:hanging="357"/>
        <w:rPr>
          <w:rFonts w:ascii="Arial" w:hAnsi="Arial"/>
          <w:color w:val="333333"/>
        </w:rPr>
      </w:pPr>
      <w:proofErr w:type="gramStart"/>
      <w:r w:rsidRPr="00C60E79">
        <w:rPr>
          <w:rFonts w:ascii="Arial" w:hAnsi="Arial"/>
          <w:color w:val="333333"/>
        </w:rPr>
        <w:t>services</w:t>
      </w:r>
      <w:proofErr w:type="gramEnd"/>
      <w:r w:rsidRPr="00C60E79">
        <w:rPr>
          <w:rFonts w:ascii="Arial" w:hAnsi="Arial"/>
          <w:color w:val="333333"/>
        </w:rPr>
        <w:t xml:space="preserve"> maintained at current levels. </w:t>
      </w:r>
    </w:p>
    <w:p w:rsidR="00A926BF" w:rsidRDefault="00A926BF" w:rsidP="00AC4C3F">
      <w:pPr>
        <w:rPr>
          <w:i/>
        </w:rPr>
      </w:pPr>
    </w:p>
    <w:p w:rsidR="00A926BF" w:rsidRDefault="00A926BF" w:rsidP="00AC4C3F">
      <w:pPr>
        <w:rPr>
          <w:i/>
        </w:rPr>
      </w:pPr>
    </w:p>
    <w:p w:rsidR="00A926BF" w:rsidRDefault="00A926BF" w:rsidP="00AC4C3F">
      <w:pPr>
        <w:rPr>
          <w:i/>
        </w:rPr>
      </w:pPr>
    </w:p>
    <w:p w:rsidR="00A926BF" w:rsidRDefault="00A926BF" w:rsidP="00AC4C3F">
      <w:pPr>
        <w:rPr>
          <w:i/>
        </w:rPr>
      </w:pPr>
    </w:p>
    <w:p w:rsidR="008B22AD" w:rsidRDefault="008B22AD" w:rsidP="00AC4C3F">
      <w:pPr>
        <w:rPr>
          <w:i/>
        </w:rPr>
      </w:pPr>
    </w:p>
    <w:p w:rsidR="008B22AD" w:rsidRDefault="008B22AD" w:rsidP="00AC4C3F">
      <w:pPr>
        <w:rPr>
          <w:i/>
        </w:rPr>
      </w:pPr>
    </w:p>
    <w:p w:rsidR="008B22AD" w:rsidRDefault="008B22AD" w:rsidP="00AC4C3F">
      <w:pPr>
        <w:rPr>
          <w:i/>
        </w:rPr>
      </w:pPr>
    </w:p>
    <w:p w:rsidR="00A926BF" w:rsidRDefault="00A926BF" w:rsidP="00AC4C3F">
      <w:pPr>
        <w:rPr>
          <w:i/>
        </w:rPr>
      </w:pPr>
    </w:p>
    <w:p w:rsidR="00A926BF" w:rsidRDefault="00A926BF" w:rsidP="00AC4C3F">
      <w:pPr>
        <w:rPr>
          <w:i/>
        </w:rPr>
      </w:pPr>
    </w:p>
    <w:p w:rsidR="00BD3A9C" w:rsidRDefault="00BD3A9C" w:rsidP="00AC4C3F">
      <w:pPr>
        <w:rPr>
          <w:i/>
        </w:rPr>
      </w:pPr>
    </w:p>
    <w:p w:rsidR="00AC4C3F" w:rsidRPr="00AC4C3F" w:rsidRDefault="00AC4C3F" w:rsidP="00A926BF">
      <w:pPr>
        <w:spacing w:after="120"/>
        <w:rPr>
          <w:i/>
        </w:rPr>
      </w:pPr>
      <w:r w:rsidRPr="00AC4C3F">
        <w:rPr>
          <w:i/>
        </w:rPr>
        <w:t xml:space="preserve">Table </w:t>
      </w:r>
      <w:r w:rsidR="00B3645E">
        <w:rPr>
          <w:i/>
        </w:rPr>
        <w:t>4</w:t>
      </w:r>
      <w:r w:rsidRPr="00AC4C3F">
        <w:rPr>
          <w:i/>
        </w:rPr>
        <w:t>(a): Current Fee Model - historical data</w:t>
      </w:r>
    </w:p>
    <w:tbl>
      <w:tblPr>
        <w:tblStyle w:val="TableGrid"/>
        <w:tblW w:w="8222" w:type="dxa"/>
        <w:tblInd w:w="-5" w:type="dxa"/>
        <w:tblLayout w:type="fixed"/>
        <w:tblLook w:val="04A0" w:firstRow="1" w:lastRow="0" w:firstColumn="1" w:lastColumn="0" w:noHBand="0" w:noVBand="1"/>
      </w:tblPr>
      <w:tblGrid>
        <w:gridCol w:w="2410"/>
        <w:gridCol w:w="1418"/>
        <w:gridCol w:w="1559"/>
        <w:gridCol w:w="1417"/>
        <w:gridCol w:w="1418"/>
      </w:tblGrid>
      <w:tr w:rsidR="00AC4C3F" w:rsidRPr="00B0036E" w:rsidTr="008E2F84">
        <w:trPr>
          <w:trHeight w:val="300"/>
        </w:trPr>
        <w:tc>
          <w:tcPr>
            <w:tcW w:w="8222" w:type="dxa"/>
            <w:gridSpan w:val="5"/>
            <w:shd w:val="clear" w:color="auto" w:fill="98C49C"/>
            <w:noWrap/>
            <w:hideMark/>
          </w:tcPr>
          <w:p w:rsidR="00AC4C3F" w:rsidRPr="00EC4C97" w:rsidRDefault="00AC4C3F" w:rsidP="00B15EB5">
            <w:pPr>
              <w:spacing w:before="120" w:after="120"/>
              <w:jc w:val="center"/>
              <w:rPr>
                <w:b/>
              </w:rPr>
            </w:pPr>
            <w:r w:rsidRPr="00EC4C97">
              <w:rPr>
                <w:b/>
              </w:rPr>
              <w:t>Historic</w:t>
            </w:r>
            <w:r w:rsidR="00D12B41">
              <w:rPr>
                <w:b/>
              </w:rPr>
              <w:t>al</w:t>
            </w:r>
          </w:p>
        </w:tc>
      </w:tr>
      <w:tr w:rsidR="00AC4C3F" w:rsidRPr="00B0036E" w:rsidTr="00B15EB5">
        <w:trPr>
          <w:trHeight w:val="300"/>
        </w:trPr>
        <w:tc>
          <w:tcPr>
            <w:tcW w:w="2410" w:type="dxa"/>
            <w:noWrap/>
            <w:hideMark/>
          </w:tcPr>
          <w:p w:rsidR="00AC4C3F" w:rsidRPr="00EC4C97" w:rsidRDefault="00AC4C3F" w:rsidP="008E2F84">
            <w:pPr>
              <w:spacing w:before="120" w:after="120"/>
              <w:rPr>
                <w:b/>
              </w:rPr>
            </w:pPr>
            <w:r w:rsidRPr="00EC4C97">
              <w:rPr>
                <w:b/>
              </w:rPr>
              <w:t>Year</w:t>
            </w:r>
          </w:p>
        </w:tc>
        <w:tc>
          <w:tcPr>
            <w:tcW w:w="1418" w:type="dxa"/>
            <w:noWrap/>
            <w:hideMark/>
          </w:tcPr>
          <w:p w:rsidR="00AC4C3F" w:rsidRPr="00922C05" w:rsidRDefault="00AC4C3F" w:rsidP="008E2F84">
            <w:pPr>
              <w:spacing w:before="120" w:after="120"/>
              <w:jc w:val="center"/>
              <w:rPr>
                <w:b/>
              </w:rPr>
            </w:pPr>
            <w:r w:rsidRPr="00922C05">
              <w:rPr>
                <w:b/>
              </w:rPr>
              <w:t>2012-13</w:t>
            </w:r>
          </w:p>
        </w:tc>
        <w:tc>
          <w:tcPr>
            <w:tcW w:w="1559" w:type="dxa"/>
            <w:noWrap/>
            <w:hideMark/>
          </w:tcPr>
          <w:p w:rsidR="00AC4C3F" w:rsidRPr="00EC4C97" w:rsidRDefault="00AC4C3F" w:rsidP="008E2F84">
            <w:pPr>
              <w:spacing w:before="120" w:after="120"/>
              <w:jc w:val="center"/>
              <w:rPr>
                <w:b/>
              </w:rPr>
            </w:pPr>
            <w:r w:rsidRPr="00EC4C97">
              <w:rPr>
                <w:b/>
              </w:rPr>
              <w:t>2013-14</w:t>
            </w:r>
          </w:p>
        </w:tc>
        <w:tc>
          <w:tcPr>
            <w:tcW w:w="1417" w:type="dxa"/>
            <w:noWrap/>
            <w:hideMark/>
          </w:tcPr>
          <w:p w:rsidR="00AC4C3F" w:rsidRPr="00EC4C97" w:rsidRDefault="00AC4C3F" w:rsidP="008E2F84">
            <w:pPr>
              <w:spacing w:before="120" w:after="120"/>
              <w:jc w:val="center"/>
              <w:rPr>
                <w:b/>
              </w:rPr>
            </w:pPr>
            <w:r w:rsidRPr="00EC4C97">
              <w:rPr>
                <w:b/>
              </w:rPr>
              <w:t>2014-15</w:t>
            </w:r>
          </w:p>
        </w:tc>
        <w:tc>
          <w:tcPr>
            <w:tcW w:w="1418" w:type="dxa"/>
            <w:noWrap/>
            <w:hideMark/>
          </w:tcPr>
          <w:p w:rsidR="00AC4C3F" w:rsidRPr="00EC4C97" w:rsidRDefault="00AC4C3F" w:rsidP="008E2F84">
            <w:pPr>
              <w:spacing w:before="120" w:after="120"/>
              <w:jc w:val="center"/>
              <w:rPr>
                <w:b/>
              </w:rPr>
            </w:pPr>
            <w:r w:rsidRPr="00EC4C97">
              <w:rPr>
                <w:b/>
              </w:rPr>
              <w:t>2015-16</w:t>
            </w:r>
          </w:p>
        </w:tc>
      </w:tr>
      <w:tr w:rsidR="00AC4C3F" w:rsidRPr="00B0036E" w:rsidTr="00B15EB5">
        <w:trPr>
          <w:trHeight w:val="300"/>
        </w:trPr>
        <w:tc>
          <w:tcPr>
            <w:tcW w:w="2410" w:type="dxa"/>
            <w:noWrap/>
            <w:hideMark/>
          </w:tcPr>
          <w:p w:rsidR="00AC4C3F" w:rsidRPr="005D0333" w:rsidRDefault="00AC4C3F" w:rsidP="008E2F84">
            <w:pPr>
              <w:spacing w:before="120" w:after="120"/>
              <w:rPr>
                <w:b/>
                <w:bCs/>
                <w:iCs/>
              </w:rPr>
            </w:pPr>
            <w:r w:rsidRPr="005D0333">
              <w:rPr>
                <w:b/>
                <w:bCs/>
                <w:iCs/>
              </w:rPr>
              <w:t>Total Fee Revenue $</w:t>
            </w:r>
          </w:p>
        </w:tc>
        <w:tc>
          <w:tcPr>
            <w:tcW w:w="1418" w:type="dxa"/>
            <w:noWrap/>
            <w:hideMark/>
          </w:tcPr>
          <w:p w:rsidR="00AC4C3F" w:rsidRPr="00EC4C97" w:rsidRDefault="0009209B" w:rsidP="008E2F84">
            <w:pPr>
              <w:spacing w:before="120" w:after="120"/>
              <w:rPr>
                <w:bCs/>
                <w:iCs/>
              </w:rPr>
            </w:pPr>
            <w:r>
              <w:rPr>
                <w:bCs/>
                <w:iCs/>
              </w:rPr>
              <w:t xml:space="preserve">     </w:t>
            </w:r>
            <w:r w:rsidR="00AC4C3F" w:rsidRPr="00EC4C97">
              <w:rPr>
                <w:bCs/>
                <w:iCs/>
              </w:rPr>
              <w:t xml:space="preserve">1,230,974 </w:t>
            </w:r>
          </w:p>
        </w:tc>
        <w:tc>
          <w:tcPr>
            <w:tcW w:w="1559" w:type="dxa"/>
            <w:noWrap/>
            <w:hideMark/>
          </w:tcPr>
          <w:p w:rsidR="00AC4C3F" w:rsidRPr="00EC4C97" w:rsidRDefault="00AC4C3F" w:rsidP="008E2F84">
            <w:pPr>
              <w:spacing w:before="120" w:after="120"/>
              <w:jc w:val="right"/>
              <w:rPr>
                <w:bCs/>
                <w:iCs/>
              </w:rPr>
            </w:pPr>
            <w:r w:rsidRPr="00EC4C97">
              <w:rPr>
                <w:bCs/>
                <w:iCs/>
              </w:rPr>
              <w:t xml:space="preserve">  2,424,399 </w:t>
            </w:r>
          </w:p>
        </w:tc>
        <w:tc>
          <w:tcPr>
            <w:tcW w:w="1417" w:type="dxa"/>
            <w:noWrap/>
            <w:hideMark/>
          </w:tcPr>
          <w:p w:rsidR="00AC4C3F" w:rsidRPr="00EC4C97" w:rsidRDefault="00AC4C3F" w:rsidP="008E2F84">
            <w:pPr>
              <w:spacing w:before="120" w:after="120"/>
              <w:jc w:val="right"/>
              <w:rPr>
                <w:bCs/>
                <w:iCs/>
              </w:rPr>
            </w:pPr>
            <w:r w:rsidRPr="00EC4C97">
              <w:rPr>
                <w:bCs/>
                <w:iCs/>
              </w:rPr>
              <w:t xml:space="preserve"> 2,194,800 </w:t>
            </w:r>
          </w:p>
        </w:tc>
        <w:tc>
          <w:tcPr>
            <w:tcW w:w="1418" w:type="dxa"/>
            <w:noWrap/>
            <w:hideMark/>
          </w:tcPr>
          <w:p w:rsidR="00AC4C3F" w:rsidRPr="00EC4C97" w:rsidRDefault="00AC4C3F" w:rsidP="008E2F84">
            <w:pPr>
              <w:spacing w:before="120" w:after="120"/>
              <w:jc w:val="right"/>
              <w:rPr>
                <w:bCs/>
                <w:iCs/>
              </w:rPr>
            </w:pPr>
            <w:r w:rsidRPr="00EC4C97">
              <w:rPr>
                <w:bCs/>
                <w:iCs/>
              </w:rPr>
              <w:t xml:space="preserve">    2,347,609 </w:t>
            </w:r>
          </w:p>
        </w:tc>
      </w:tr>
      <w:tr w:rsidR="00AC4C3F" w:rsidRPr="00B0036E" w:rsidTr="00B15EB5">
        <w:trPr>
          <w:trHeight w:val="453"/>
        </w:trPr>
        <w:tc>
          <w:tcPr>
            <w:tcW w:w="2410" w:type="dxa"/>
            <w:shd w:val="clear" w:color="auto" w:fill="98C49C"/>
            <w:noWrap/>
            <w:hideMark/>
          </w:tcPr>
          <w:p w:rsidR="00AC4C3F" w:rsidRPr="005D0333" w:rsidRDefault="00AC4C3F" w:rsidP="008E2F84">
            <w:pPr>
              <w:spacing w:before="120" w:after="120"/>
              <w:rPr>
                <w:b/>
                <w:bCs/>
                <w:iCs/>
              </w:rPr>
            </w:pPr>
            <w:r w:rsidRPr="005D0333">
              <w:rPr>
                <w:b/>
                <w:bCs/>
                <w:iCs/>
              </w:rPr>
              <w:t>Total Costs $</w:t>
            </w:r>
          </w:p>
        </w:tc>
        <w:tc>
          <w:tcPr>
            <w:tcW w:w="1418" w:type="dxa"/>
            <w:shd w:val="clear" w:color="auto" w:fill="98C49C"/>
            <w:noWrap/>
            <w:hideMark/>
          </w:tcPr>
          <w:p w:rsidR="00AC4C3F" w:rsidRPr="00EF5847" w:rsidRDefault="00B15EB5" w:rsidP="008E2F84">
            <w:pPr>
              <w:spacing w:before="120" w:after="120"/>
              <w:jc w:val="right"/>
              <w:rPr>
                <w:bCs/>
                <w:iCs/>
              </w:rPr>
            </w:pPr>
            <w:r>
              <w:rPr>
                <w:bCs/>
                <w:iCs/>
              </w:rPr>
              <w:t xml:space="preserve">     </w:t>
            </w:r>
            <w:r w:rsidR="00AC4C3F" w:rsidRPr="00EF5847">
              <w:rPr>
                <w:bCs/>
                <w:iCs/>
              </w:rPr>
              <w:t xml:space="preserve">3,467,347 </w:t>
            </w:r>
          </w:p>
        </w:tc>
        <w:tc>
          <w:tcPr>
            <w:tcW w:w="1559" w:type="dxa"/>
            <w:shd w:val="clear" w:color="auto" w:fill="98C49C"/>
            <w:noWrap/>
            <w:hideMark/>
          </w:tcPr>
          <w:p w:rsidR="00AC4C3F" w:rsidRPr="00EF5847" w:rsidRDefault="00AC4C3F" w:rsidP="008E2F84">
            <w:pPr>
              <w:spacing w:before="120" w:after="120"/>
              <w:jc w:val="right"/>
              <w:rPr>
                <w:bCs/>
                <w:iCs/>
              </w:rPr>
            </w:pPr>
            <w:r w:rsidRPr="00EF5847">
              <w:rPr>
                <w:bCs/>
                <w:iCs/>
              </w:rPr>
              <w:t xml:space="preserve"> 3,845,334 </w:t>
            </w:r>
          </w:p>
        </w:tc>
        <w:tc>
          <w:tcPr>
            <w:tcW w:w="1417" w:type="dxa"/>
            <w:shd w:val="clear" w:color="auto" w:fill="98C49C"/>
            <w:noWrap/>
            <w:hideMark/>
          </w:tcPr>
          <w:p w:rsidR="00AC4C3F" w:rsidRPr="00EF5847" w:rsidRDefault="00AC4C3F" w:rsidP="008E2F84">
            <w:pPr>
              <w:spacing w:before="120" w:after="120"/>
              <w:jc w:val="right"/>
              <w:rPr>
                <w:bCs/>
                <w:iCs/>
              </w:rPr>
            </w:pPr>
            <w:r w:rsidRPr="00EF5847">
              <w:rPr>
                <w:bCs/>
                <w:iCs/>
              </w:rPr>
              <w:t xml:space="preserve"> 3,704,043 </w:t>
            </w:r>
          </w:p>
        </w:tc>
        <w:tc>
          <w:tcPr>
            <w:tcW w:w="1418" w:type="dxa"/>
            <w:shd w:val="clear" w:color="auto" w:fill="98C49C"/>
            <w:noWrap/>
            <w:hideMark/>
          </w:tcPr>
          <w:p w:rsidR="00AC4C3F" w:rsidRPr="00EC4C97" w:rsidRDefault="00AC4C3F" w:rsidP="008E2F84">
            <w:pPr>
              <w:spacing w:before="120" w:after="120"/>
              <w:jc w:val="right"/>
              <w:rPr>
                <w:bCs/>
                <w:iCs/>
              </w:rPr>
            </w:pPr>
            <w:r w:rsidRPr="00EF5847">
              <w:rPr>
                <w:bCs/>
                <w:iCs/>
              </w:rPr>
              <w:t xml:space="preserve">     3,677,164</w:t>
            </w:r>
            <w:r w:rsidRPr="00EC4C97">
              <w:rPr>
                <w:bCs/>
                <w:iCs/>
              </w:rPr>
              <w:t xml:space="preserve"> </w:t>
            </w:r>
          </w:p>
        </w:tc>
      </w:tr>
      <w:tr w:rsidR="00AC4C3F" w:rsidRPr="00B0036E" w:rsidTr="00B15EB5">
        <w:trPr>
          <w:trHeight w:val="300"/>
        </w:trPr>
        <w:tc>
          <w:tcPr>
            <w:tcW w:w="2410" w:type="dxa"/>
            <w:tcBorders>
              <w:top w:val="single" w:sz="4" w:space="0" w:color="auto"/>
              <w:bottom w:val="single" w:sz="4" w:space="0" w:color="auto"/>
              <w:right w:val="single" w:sz="4" w:space="0" w:color="auto"/>
            </w:tcBorders>
            <w:noWrap/>
          </w:tcPr>
          <w:p w:rsidR="00AC4C3F" w:rsidRPr="00EC4C97" w:rsidRDefault="00AC4C3F" w:rsidP="00E826E7">
            <w:pPr>
              <w:spacing w:before="120" w:after="120"/>
              <w:rPr>
                <w:b/>
              </w:rPr>
            </w:pPr>
            <w:r w:rsidRPr="00EC4C97">
              <w:rPr>
                <w:b/>
              </w:rPr>
              <w:t xml:space="preserve">Registrations per year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C3F" w:rsidRPr="00EC4C97" w:rsidRDefault="00AC4C3F" w:rsidP="00E826E7">
            <w:pPr>
              <w:spacing w:before="120" w:after="120"/>
              <w:jc w:val="center"/>
            </w:pPr>
            <w:r w:rsidRPr="00EC4C97">
              <w:rPr>
                <w:color w:val="000000"/>
              </w:rPr>
              <w:t>2917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C3F" w:rsidRPr="00EC4C97" w:rsidRDefault="00AC4C3F" w:rsidP="00E826E7">
            <w:pPr>
              <w:spacing w:before="120" w:after="120"/>
              <w:jc w:val="center"/>
            </w:pPr>
            <w:r w:rsidRPr="00EC4C97">
              <w:rPr>
                <w:color w:val="000000"/>
              </w:rPr>
              <w:t>5259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C3F" w:rsidRPr="00EC4C97" w:rsidRDefault="00AC4C3F" w:rsidP="00E826E7">
            <w:pPr>
              <w:spacing w:before="120" w:after="120"/>
              <w:jc w:val="center"/>
            </w:pPr>
            <w:r w:rsidRPr="00EC4C97">
              <w:rPr>
                <w:color w:val="000000"/>
              </w:rPr>
              <w:t>4650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C3F" w:rsidRPr="00EC4C97" w:rsidRDefault="00AC4C3F" w:rsidP="00E826E7">
            <w:pPr>
              <w:spacing w:before="120" w:after="120"/>
              <w:jc w:val="center"/>
            </w:pPr>
            <w:r w:rsidRPr="00EC4C97">
              <w:rPr>
                <w:color w:val="000000"/>
              </w:rPr>
              <w:t>5027</w:t>
            </w:r>
          </w:p>
        </w:tc>
      </w:tr>
    </w:tbl>
    <w:p w:rsidR="00C60E79" w:rsidRDefault="00B15EB5" w:rsidP="00A926BF">
      <w:pPr>
        <w:spacing w:before="240" w:after="120"/>
        <w:rPr>
          <w:i/>
        </w:rPr>
      </w:pPr>
      <w:r w:rsidRPr="00B15EB5">
        <w:rPr>
          <w:i/>
        </w:rPr>
        <w:t xml:space="preserve">Table </w:t>
      </w:r>
      <w:r w:rsidR="00B3645E">
        <w:rPr>
          <w:i/>
        </w:rPr>
        <w:t>4</w:t>
      </w:r>
      <w:r w:rsidRPr="00B15EB5">
        <w:rPr>
          <w:i/>
        </w:rPr>
        <w:t>(b): Current Fee Model with projections assuming a BAU approach</w:t>
      </w:r>
    </w:p>
    <w:tbl>
      <w:tblPr>
        <w:tblStyle w:val="TableGrid"/>
        <w:tblW w:w="8256" w:type="dxa"/>
        <w:tblInd w:w="-5" w:type="dxa"/>
        <w:tblLook w:val="04A0" w:firstRow="1" w:lastRow="0" w:firstColumn="1" w:lastColumn="0" w:noHBand="0" w:noVBand="1"/>
      </w:tblPr>
      <w:tblGrid>
        <w:gridCol w:w="2410"/>
        <w:gridCol w:w="1276"/>
        <w:gridCol w:w="1134"/>
        <w:gridCol w:w="1196"/>
        <w:gridCol w:w="1106"/>
        <w:gridCol w:w="1134"/>
      </w:tblGrid>
      <w:tr w:rsidR="00B15EB5" w:rsidRPr="002D0E6E" w:rsidTr="00B15EB5">
        <w:trPr>
          <w:trHeight w:val="300"/>
        </w:trPr>
        <w:tc>
          <w:tcPr>
            <w:tcW w:w="8256" w:type="dxa"/>
            <w:gridSpan w:val="6"/>
            <w:shd w:val="clear" w:color="auto" w:fill="98C49C"/>
          </w:tcPr>
          <w:p w:rsidR="00B15EB5" w:rsidRPr="002D0E6E" w:rsidRDefault="00B15EB5" w:rsidP="008E2F84">
            <w:pPr>
              <w:spacing w:before="120" w:after="120"/>
              <w:jc w:val="center"/>
              <w:rPr>
                <w:b/>
              </w:rPr>
            </w:pPr>
            <w:r w:rsidRPr="002D0E6E">
              <w:rPr>
                <w:b/>
              </w:rPr>
              <w:t>Projections</w:t>
            </w:r>
          </w:p>
        </w:tc>
      </w:tr>
      <w:tr w:rsidR="00B15EB5" w:rsidRPr="002D0E6E" w:rsidTr="000746D1">
        <w:trPr>
          <w:trHeight w:val="300"/>
        </w:trPr>
        <w:tc>
          <w:tcPr>
            <w:tcW w:w="2410" w:type="dxa"/>
            <w:tcBorders>
              <w:bottom w:val="single" w:sz="4" w:space="0" w:color="auto"/>
            </w:tcBorders>
          </w:tcPr>
          <w:p w:rsidR="00B15EB5" w:rsidRPr="002D0E6E" w:rsidRDefault="00B15EB5" w:rsidP="000746D1">
            <w:pPr>
              <w:spacing w:before="120" w:after="120"/>
              <w:rPr>
                <w:b/>
              </w:rPr>
            </w:pPr>
            <w:r w:rsidRPr="002D0E6E">
              <w:rPr>
                <w:b/>
              </w:rPr>
              <w:t>Year</w:t>
            </w:r>
          </w:p>
        </w:tc>
        <w:tc>
          <w:tcPr>
            <w:tcW w:w="1276" w:type="dxa"/>
            <w:tcBorders>
              <w:bottom w:val="single" w:sz="4" w:space="0" w:color="auto"/>
            </w:tcBorders>
            <w:noWrap/>
            <w:hideMark/>
          </w:tcPr>
          <w:p w:rsidR="00B15EB5" w:rsidRPr="002D0E6E" w:rsidRDefault="00B15EB5" w:rsidP="000746D1">
            <w:pPr>
              <w:spacing w:before="120" w:after="120"/>
              <w:jc w:val="center"/>
              <w:rPr>
                <w:b/>
              </w:rPr>
            </w:pPr>
            <w:r w:rsidRPr="002D0E6E">
              <w:rPr>
                <w:b/>
              </w:rPr>
              <w:t>2016-17</w:t>
            </w:r>
          </w:p>
        </w:tc>
        <w:tc>
          <w:tcPr>
            <w:tcW w:w="1134" w:type="dxa"/>
            <w:tcBorders>
              <w:bottom w:val="single" w:sz="4" w:space="0" w:color="auto"/>
            </w:tcBorders>
            <w:noWrap/>
            <w:hideMark/>
          </w:tcPr>
          <w:p w:rsidR="00B15EB5" w:rsidRPr="002D0E6E" w:rsidRDefault="00B15EB5" w:rsidP="000746D1">
            <w:pPr>
              <w:spacing w:before="120" w:after="120"/>
              <w:jc w:val="center"/>
              <w:rPr>
                <w:b/>
              </w:rPr>
            </w:pPr>
            <w:r w:rsidRPr="002D0E6E">
              <w:rPr>
                <w:b/>
              </w:rPr>
              <w:t>2017-18</w:t>
            </w:r>
          </w:p>
        </w:tc>
        <w:tc>
          <w:tcPr>
            <w:tcW w:w="1196" w:type="dxa"/>
            <w:tcBorders>
              <w:bottom w:val="single" w:sz="4" w:space="0" w:color="auto"/>
            </w:tcBorders>
            <w:noWrap/>
            <w:hideMark/>
          </w:tcPr>
          <w:p w:rsidR="00B15EB5" w:rsidRPr="002D0E6E" w:rsidRDefault="00B15EB5" w:rsidP="000746D1">
            <w:pPr>
              <w:spacing w:before="120" w:after="120"/>
              <w:jc w:val="center"/>
              <w:rPr>
                <w:b/>
              </w:rPr>
            </w:pPr>
            <w:r w:rsidRPr="002D0E6E">
              <w:rPr>
                <w:b/>
              </w:rPr>
              <w:t>2018-19</w:t>
            </w:r>
          </w:p>
        </w:tc>
        <w:tc>
          <w:tcPr>
            <w:tcW w:w="1106" w:type="dxa"/>
            <w:tcBorders>
              <w:bottom w:val="single" w:sz="4" w:space="0" w:color="auto"/>
            </w:tcBorders>
            <w:noWrap/>
            <w:hideMark/>
          </w:tcPr>
          <w:p w:rsidR="00B15EB5" w:rsidRPr="002D0E6E" w:rsidRDefault="00B15EB5" w:rsidP="000746D1">
            <w:pPr>
              <w:spacing w:before="120" w:after="120"/>
              <w:jc w:val="center"/>
              <w:rPr>
                <w:b/>
              </w:rPr>
            </w:pPr>
            <w:r w:rsidRPr="002D0E6E">
              <w:rPr>
                <w:b/>
              </w:rPr>
              <w:t>2019-20</w:t>
            </w:r>
          </w:p>
        </w:tc>
        <w:tc>
          <w:tcPr>
            <w:tcW w:w="1134" w:type="dxa"/>
            <w:tcBorders>
              <w:bottom w:val="single" w:sz="4" w:space="0" w:color="auto"/>
            </w:tcBorders>
            <w:noWrap/>
            <w:hideMark/>
          </w:tcPr>
          <w:p w:rsidR="00B15EB5" w:rsidRPr="002D0E6E" w:rsidRDefault="00B15EB5" w:rsidP="000746D1">
            <w:pPr>
              <w:spacing w:before="120" w:after="120"/>
              <w:jc w:val="center"/>
              <w:rPr>
                <w:b/>
              </w:rPr>
            </w:pPr>
            <w:r w:rsidRPr="002D0E6E">
              <w:rPr>
                <w:b/>
              </w:rPr>
              <w:t>2020-21</w:t>
            </w:r>
          </w:p>
        </w:tc>
      </w:tr>
      <w:tr w:rsidR="00B15EB5" w:rsidRPr="002D0E6E" w:rsidTr="000746D1">
        <w:trPr>
          <w:trHeight w:val="300"/>
        </w:trPr>
        <w:tc>
          <w:tcPr>
            <w:tcW w:w="2410" w:type="dxa"/>
          </w:tcPr>
          <w:p w:rsidR="00B15EB5" w:rsidRPr="000746D1" w:rsidRDefault="00B15EB5" w:rsidP="000746D1">
            <w:pPr>
              <w:spacing w:before="120" w:after="120"/>
              <w:rPr>
                <w:bCs/>
                <w:iCs/>
                <w:color w:val="000000"/>
              </w:rPr>
            </w:pPr>
            <w:r w:rsidRPr="000746D1">
              <w:rPr>
                <w:b/>
                <w:bCs/>
                <w:iCs/>
              </w:rPr>
              <w:t>Total Fee Revenue $</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B15EB5" w:rsidRPr="002D0E6E" w:rsidRDefault="00B15EB5" w:rsidP="000746D1">
            <w:pPr>
              <w:spacing w:before="120" w:after="120"/>
              <w:jc w:val="right"/>
              <w:rPr>
                <w:bCs/>
                <w:iCs/>
              </w:rPr>
            </w:pPr>
            <w:r w:rsidRPr="002D0E6E">
              <w:rPr>
                <w:bCs/>
                <w:iCs/>
                <w:color w:val="000000"/>
              </w:rPr>
              <w:t>2,</w:t>
            </w:r>
            <w:r>
              <w:rPr>
                <w:bCs/>
                <w:iCs/>
                <w:color w:val="000000"/>
              </w:rPr>
              <w:t>320,480</w:t>
            </w:r>
            <w:r w:rsidRPr="002D0E6E">
              <w:rPr>
                <w:bCs/>
                <w:iCs/>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5EB5" w:rsidRPr="002D0E6E" w:rsidRDefault="00B15EB5" w:rsidP="000746D1">
            <w:pPr>
              <w:spacing w:before="120" w:after="120"/>
              <w:jc w:val="right"/>
              <w:rPr>
                <w:bCs/>
                <w:iCs/>
              </w:rPr>
            </w:pPr>
            <w:r>
              <w:rPr>
                <w:bCs/>
                <w:iCs/>
                <w:color w:val="000000"/>
              </w:rPr>
              <w:t>2,597,280</w:t>
            </w:r>
            <w:r w:rsidRPr="002D0E6E">
              <w:rPr>
                <w:bCs/>
                <w:iCs/>
                <w:color w:val="000000"/>
              </w:rPr>
              <w:t xml:space="preserve"> </w:t>
            </w:r>
          </w:p>
        </w:tc>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5EB5" w:rsidRPr="002D0E6E" w:rsidRDefault="00B15EB5" w:rsidP="000746D1">
            <w:pPr>
              <w:spacing w:before="120" w:after="120"/>
              <w:jc w:val="right"/>
              <w:rPr>
                <w:bCs/>
                <w:iCs/>
              </w:rPr>
            </w:pPr>
            <w:r>
              <w:rPr>
                <w:bCs/>
                <w:iCs/>
                <w:color w:val="000000"/>
              </w:rPr>
              <w:t>2,767,520</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5EB5" w:rsidRPr="002D0E6E" w:rsidRDefault="00B15EB5" w:rsidP="000746D1">
            <w:pPr>
              <w:spacing w:before="120" w:after="120"/>
              <w:jc w:val="right"/>
              <w:rPr>
                <w:bCs/>
                <w:iCs/>
              </w:rPr>
            </w:pPr>
            <w:r>
              <w:rPr>
                <w:bCs/>
                <w:iCs/>
                <w:color w:val="000000"/>
              </w:rPr>
              <w:t>2,768,280</w:t>
            </w:r>
            <w:r w:rsidRPr="002D0E6E">
              <w:rPr>
                <w:bCs/>
                <w:iCs/>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5EB5" w:rsidRPr="002D0E6E" w:rsidRDefault="00B15EB5" w:rsidP="000746D1">
            <w:pPr>
              <w:spacing w:before="120" w:after="120"/>
              <w:jc w:val="right"/>
              <w:rPr>
                <w:bCs/>
                <w:iCs/>
              </w:rPr>
            </w:pPr>
            <w:r>
              <w:rPr>
                <w:bCs/>
                <w:iCs/>
                <w:color w:val="000000"/>
              </w:rPr>
              <w:t>2,793,740</w:t>
            </w:r>
            <w:r w:rsidRPr="002D0E6E">
              <w:rPr>
                <w:bCs/>
                <w:iCs/>
                <w:color w:val="000000"/>
              </w:rPr>
              <w:t xml:space="preserve"> </w:t>
            </w:r>
          </w:p>
        </w:tc>
      </w:tr>
      <w:tr w:rsidR="00B15EB5" w:rsidRPr="002D0E6E" w:rsidTr="000746D1">
        <w:trPr>
          <w:trHeight w:val="453"/>
        </w:trPr>
        <w:tc>
          <w:tcPr>
            <w:tcW w:w="2410" w:type="dxa"/>
            <w:shd w:val="clear" w:color="auto" w:fill="98C49C"/>
          </w:tcPr>
          <w:p w:rsidR="00B15EB5" w:rsidRPr="000746D1" w:rsidRDefault="00B15EB5" w:rsidP="000746D1">
            <w:pPr>
              <w:tabs>
                <w:tab w:val="right" w:pos="2194"/>
              </w:tabs>
              <w:spacing w:before="120" w:after="120"/>
              <w:rPr>
                <w:bCs/>
                <w:iCs/>
                <w:color w:val="000000"/>
              </w:rPr>
            </w:pPr>
            <w:r w:rsidRPr="000746D1">
              <w:rPr>
                <w:b/>
                <w:bCs/>
                <w:iCs/>
              </w:rPr>
              <w:t>Total Costs $</w:t>
            </w:r>
            <w:r w:rsidR="000746D1">
              <w:rPr>
                <w:b/>
                <w:bCs/>
                <w:iCs/>
              </w:rPr>
              <w:tab/>
            </w:r>
          </w:p>
        </w:tc>
        <w:tc>
          <w:tcPr>
            <w:tcW w:w="1276" w:type="dxa"/>
            <w:tcBorders>
              <w:top w:val="single" w:sz="4" w:space="0" w:color="auto"/>
              <w:left w:val="nil"/>
              <w:bottom w:val="single" w:sz="4" w:space="0" w:color="auto"/>
              <w:right w:val="single" w:sz="4" w:space="0" w:color="auto"/>
            </w:tcBorders>
            <w:shd w:val="clear" w:color="auto" w:fill="98C49C"/>
            <w:noWrap/>
            <w:vAlign w:val="bottom"/>
          </w:tcPr>
          <w:p w:rsidR="00B15EB5" w:rsidRPr="002D0E6E" w:rsidRDefault="00B15EB5" w:rsidP="000746D1">
            <w:pPr>
              <w:spacing w:before="120" w:after="120"/>
              <w:jc w:val="right"/>
              <w:rPr>
                <w:bCs/>
                <w:iCs/>
              </w:rPr>
            </w:pPr>
            <w:r>
              <w:rPr>
                <w:bCs/>
                <w:iCs/>
                <w:color w:val="000000"/>
              </w:rPr>
              <w:t>4,119,988</w:t>
            </w:r>
            <w:r w:rsidRPr="002D0E6E">
              <w:rPr>
                <w:bCs/>
                <w:iCs/>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98C49C"/>
            <w:noWrap/>
            <w:vAlign w:val="bottom"/>
          </w:tcPr>
          <w:p w:rsidR="00B15EB5" w:rsidRPr="002D0E6E" w:rsidRDefault="00B15EB5" w:rsidP="000746D1">
            <w:pPr>
              <w:spacing w:before="120" w:after="120"/>
              <w:jc w:val="right"/>
              <w:rPr>
                <w:bCs/>
                <w:iCs/>
              </w:rPr>
            </w:pPr>
            <w:r w:rsidRPr="002D0E6E">
              <w:rPr>
                <w:bCs/>
                <w:iCs/>
                <w:color w:val="000000"/>
              </w:rPr>
              <w:t>4,</w:t>
            </w:r>
            <w:r>
              <w:rPr>
                <w:bCs/>
                <w:iCs/>
                <w:color w:val="000000"/>
              </w:rPr>
              <w:t>352,930</w:t>
            </w:r>
            <w:r w:rsidRPr="002D0E6E">
              <w:rPr>
                <w:bCs/>
                <w:iCs/>
                <w:color w:val="000000"/>
              </w:rPr>
              <w:t xml:space="preserve"> </w:t>
            </w:r>
          </w:p>
        </w:tc>
        <w:tc>
          <w:tcPr>
            <w:tcW w:w="1196" w:type="dxa"/>
            <w:tcBorders>
              <w:top w:val="single" w:sz="4" w:space="0" w:color="auto"/>
              <w:left w:val="single" w:sz="4" w:space="0" w:color="auto"/>
              <w:bottom w:val="single" w:sz="4" w:space="0" w:color="auto"/>
              <w:right w:val="single" w:sz="4" w:space="0" w:color="auto"/>
            </w:tcBorders>
            <w:shd w:val="clear" w:color="auto" w:fill="98C49C"/>
            <w:noWrap/>
            <w:vAlign w:val="bottom"/>
          </w:tcPr>
          <w:p w:rsidR="00B15EB5" w:rsidRPr="002D0E6E" w:rsidRDefault="00B15EB5" w:rsidP="000746D1">
            <w:pPr>
              <w:spacing w:before="120" w:after="120"/>
              <w:jc w:val="right"/>
              <w:rPr>
                <w:bCs/>
                <w:iCs/>
              </w:rPr>
            </w:pPr>
            <w:r w:rsidRPr="002D0E6E">
              <w:rPr>
                <w:bCs/>
                <w:iCs/>
                <w:color w:val="000000"/>
              </w:rPr>
              <w:t>4,</w:t>
            </w:r>
            <w:r>
              <w:rPr>
                <w:bCs/>
                <w:iCs/>
                <w:color w:val="000000"/>
              </w:rPr>
              <w:t>243,218</w:t>
            </w:r>
            <w:r w:rsidRPr="002D0E6E">
              <w:rPr>
                <w:bCs/>
                <w:iCs/>
                <w:color w:val="000000"/>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98C49C"/>
            <w:noWrap/>
            <w:vAlign w:val="bottom"/>
          </w:tcPr>
          <w:p w:rsidR="00B15EB5" w:rsidRPr="002D0E6E" w:rsidRDefault="00B15EB5" w:rsidP="000746D1">
            <w:pPr>
              <w:spacing w:before="120" w:after="120"/>
              <w:jc w:val="right"/>
              <w:rPr>
                <w:bCs/>
                <w:iCs/>
              </w:rPr>
            </w:pPr>
            <w:r>
              <w:rPr>
                <w:bCs/>
                <w:iCs/>
                <w:color w:val="000000"/>
              </w:rPr>
              <w:t>4,408,008</w:t>
            </w:r>
            <w:r w:rsidRPr="002D0E6E">
              <w:rPr>
                <w:bCs/>
                <w:iCs/>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98C49C"/>
            <w:noWrap/>
            <w:vAlign w:val="bottom"/>
          </w:tcPr>
          <w:p w:rsidR="00B15EB5" w:rsidRPr="002D0E6E" w:rsidRDefault="00B15EB5" w:rsidP="000746D1">
            <w:pPr>
              <w:spacing w:before="120" w:after="120"/>
              <w:jc w:val="right"/>
              <w:rPr>
                <w:bCs/>
                <w:iCs/>
              </w:rPr>
            </w:pPr>
            <w:r>
              <w:rPr>
                <w:bCs/>
                <w:iCs/>
                <w:color w:val="000000"/>
              </w:rPr>
              <w:t>4,468,056</w:t>
            </w:r>
            <w:r w:rsidRPr="002D0E6E">
              <w:rPr>
                <w:bCs/>
                <w:iCs/>
                <w:color w:val="000000"/>
              </w:rPr>
              <w:t xml:space="preserve"> </w:t>
            </w:r>
          </w:p>
        </w:tc>
      </w:tr>
      <w:tr w:rsidR="00B15EB5" w:rsidRPr="002D0E6E" w:rsidTr="000746D1">
        <w:trPr>
          <w:trHeight w:val="300"/>
        </w:trPr>
        <w:tc>
          <w:tcPr>
            <w:tcW w:w="2410" w:type="dxa"/>
            <w:tcBorders>
              <w:top w:val="single" w:sz="4" w:space="0" w:color="auto"/>
              <w:bottom w:val="single" w:sz="4" w:space="0" w:color="auto"/>
              <w:right w:val="single" w:sz="4" w:space="0" w:color="auto"/>
            </w:tcBorders>
          </w:tcPr>
          <w:p w:rsidR="00B15EB5" w:rsidRPr="002D0E6E" w:rsidRDefault="00B15EB5" w:rsidP="000746D1">
            <w:pPr>
              <w:spacing w:before="120" w:after="120"/>
              <w:rPr>
                <w:color w:val="000000"/>
              </w:rPr>
            </w:pPr>
            <w:r w:rsidRPr="002D0E6E">
              <w:rPr>
                <w:b/>
              </w:rPr>
              <w:t xml:space="preserve">Registrations per year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EB5" w:rsidRPr="002D0E6E" w:rsidRDefault="00B15EB5" w:rsidP="000746D1">
            <w:pPr>
              <w:spacing w:before="120" w:after="120"/>
              <w:jc w:val="center"/>
              <w:rPr>
                <w:color w:val="000000"/>
              </w:rPr>
            </w:pPr>
            <w:r w:rsidRPr="002D0E6E">
              <w:rPr>
                <w:color w:val="000000"/>
              </w:rPr>
              <w:t>5234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EB5" w:rsidRPr="002D0E6E" w:rsidRDefault="00B15EB5" w:rsidP="000746D1">
            <w:pPr>
              <w:spacing w:before="120" w:after="120"/>
              <w:jc w:val="center"/>
              <w:rPr>
                <w:color w:val="000000"/>
              </w:rPr>
            </w:pPr>
            <w:r>
              <w:rPr>
                <w:color w:val="000000"/>
              </w:rPr>
              <w:t>4967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EB5" w:rsidRPr="002D0E6E" w:rsidRDefault="00B15EB5" w:rsidP="000746D1">
            <w:pPr>
              <w:spacing w:before="120" w:after="120"/>
              <w:jc w:val="center"/>
              <w:rPr>
                <w:color w:val="000000"/>
              </w:rPr>
            </w:pPr>
            <w:r w:rsidRPr="002D0E6E">
              <w:rPr>
                <w:color w:val="000000"/>
              </w:rPr>
              <w:t>5</w:t>
            </w:r>
            <w:r>
              <w:rPr>
                <w:color w:val="000000"/>
              </w:rPr>
              <w:t>262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EB5" w:rsidRPr="002D0E6E" w:rsidRDefault="00B15EB5" w:rsidP="000746D1">
            <w:pPr>
              <w:spacing w:before="120" w:after="120"/>
              <w:jc w:val="center"/>
              <w:rPr>
                <w:color w:val="000000"/>
              </w:rPr>
            </w:pPr>
            <w:r w:rsidRPr="002D0E6E">
              <w:rPr>
                <w:color w:val="000000"/>
              </w:rPr>
              <w:t>5</w:t>
            </w:r>
            <w:r>
              <w:rPr>
                <w:color w:val="000000"/>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EB5" w:rsidRPr="002D0E6E" w:rsidRDefault="00B15EB5" w:rsidP="000746D1">
            <w:pPr>
              <w:spacing w:before="120" w:after="120"/>
              <w:jc w:val="center"/>
              <w:rPr>
                <w:color w:val="000000"/>
              </w:rPr>
            </w:pPr>
            <w:r w:rsidRPr="002D0E6E">
              <w:rPr>
                <w:color w:val="000000"/>
              </w:rPr>
              <w:t>5</w:t>
            </w:r>
            <w:r>
              <w:rPr>
                <w:color w:val="000000"/>
              </w:rPr>
              <w:t>332</w:t>
            </w:r>
          </w:p>
        </w:tc>
      </w:tr>
    </w:tbl>
    <w:p w:rsidR="008E2F84" w:rsidRDefault="005F7768" w:rsidP="005B71C1">
      <w:pPr>
        <w:pStyle w:val="Heading2"/>
      </w:pPr>
      <w:r>
        <w:br/>
      </w:r>
      <w:bookmarkStart w:id="30" w:name="_Toc471476058"/>
      <w:r w:rsidR="00F6749E">
        <w:t>4</w:t>
      </w:r>
      <w:r w:rsidR="008E2F84" w:rsidRPr="008E2F84">
        <w:t>.7 Projections with new products regulated</w:t>
      </w:r>
      <w:bookmarkEnd w:id="30"/>
    </w:p>
    <w:p w:rsidR="008E2F84" w:rsidRDefault="008E2F84" w:rsidP="008E2F84">
      <w:r>
        <w:t xml:space="preserve">Table </w:t>
      </w:r>
      <w:r w:rsidR="00B3645E">
        <w:t>5</w:t>
      </w:r>
      <w:r>
        <w:t xml:space="preserve"> below shows the projection of fees revenue and expenses if products on the E3 </w:t>
      </w:r>
      <w:r w:rsidR="00B3645E">
        <w:t>P</w:t>
      </w:r>
      <w:r>
        <w:t xml:space="preserve">rioritisation </w:t>
      </w:r>
      <w:r w:rsidR="00B3645E">
        <w:t>P</w:t>
      </w:r>
      <w:r>
        <w:t xml:space="preserve">lan were to be regulated. In modelling future revenue it is important to recognise the E3 </w:t>
      </w:r>
      <w:r w:rsidR="00B3645E">
        <w:t>P</w:t>
      </w:r>
      <w:r>
        <w:t xml:space="preserve">rioritisation </w:t>
      </w:r>
      <w:r w:rsidR="00B3645E">
        <w:t>P</w:t>
      </w:r>
      <w:r>
        <w:t>lan includes work streams to introduce Minimum Energy Performance Standards (MEPS) to LED lighting,</w:t>
      </w:r>
      <w:r w:rsidR="00D567D6" w:rsidRPr="00D567D6">
        <w:t xml:space="preserve"> </w:t>
      </w:r>
      <w:r w:rsidR="00D567D6">
        <w:t xml:space="preserve">non-integrated commercial luminaires, </w:t>
      </w:r>
      <w:r>
        <w:t>non-domestic fans and swimming pool pumps as well as revised MEPS for refrigerated display cabinets, air condit</w:t>
      </w:r>
      <w:r w:rsidR="00A926BF">
        <w:t>ioning</w:t>
      </w:r>
      <w:r w:rsidR="00D567D6">
        <w:t xml:space="preserve">, </w:t>
      </w:r>
      <w:r w:rsidR="00A926BF">
        <w:t>fridges and freezers</w:t>
      </w:r>
      <w:r w:rsidR="00D567D6">
        <w:t xml:space="preserve"> and incandescent lamps</w:t>
      </w:r>
      <w:r w:rsidR="00A926BF">
        <w:t>.</w:t>
      </w:r>
      <w:r>
        <w:t xml:space="preserve"> It is expected that these will </w:t>
      </w:r>
      <w:r w:rsidR="00BA27D1">
        <w:t xml:space="preserve">start to </w:t>
      </w:r>
      <w:r>
        <w:t xml:space="preserve">be regulated from the 2018-19 financial year and significantly increase the number of registrations per year. </w:t>
      </w:r>
    </w:p>
    <w:p w:rsidR="008E2F84" w:rsidRPr="00305D66" w:rsidRDefault="008E2F84" w:rsidP="008E2F84">
      <w:pPr>
        <w:rPr>
          <w:sz w:val="16"/>
          <w:szCs w:val="16"/>
        </w:rPr>
      </w:pPr>
    </w:p>
    <w:p w:rsidR="008E2F84" w:rsidRDefault="008E2F84" w:rsidP="008E2F84">
      <w:r>
        <w:t xml:space="preserve">The projections assume: </w:t>
      </w:r>
    </w:p>
    <w:p w:rsidR="008E2F84" w:rsidRPr="008E2F84" w:rsidRDefault="00A926BF" w:rsidP="00BD3A9C">
      <w:pPr>
        <w:pStyle w:val="ListParagraph"/>
        <w:numPr>
          <w:ilvl w:val="0"/>
          <w:numId w:val="12"/>
        </w:numPr>
        <w:spacing w:after="100" w:afterAutospacing="1" w:line="300" w:lineRule="auto"/>
        <w:ind w:left="714" w:hanging="357"/>
        <w:rPr>
          <w:rFonts w:ascii="Arial" w:hAnsi="Arial"/>
          <w:color w:val="333333"/>
        </w:rPr>
      </w:pPr>
      <w:r>
        <w:rPr>
          <w:rFonts w:ascii="Arial" w:hAnsi="Arial"/>
          <w:color w:val="333333"/>
        </w:rPr>
        <w:t>p</w:t>
      </w:r>
      <w:r w:rsidR="008E2F84" w:rsidRPr="008E2F84">
        <w:rPr>
          <w:rFonts w:ascii="Arial" w:hAnsi="Arial"/>
          <w:color w:val="333333"/>
        </w:rPr>
        <w:t>roduct registrations increase at the same rate as they have historically f</w:t>
      </w:r>
      <w:r>
        <w:rPr>
          <w:rFonts w:ascii="Arial" w:hAnsi="Arial"/>
          <w:color w:val="333333"/>
        </w:rPr>
        <w:t>or currently regulated products</w:t>
      </w:r>
      <w:r w:rsidR="00D567D6">
        <w:rPr>
          <w:rStyle w:val="FootnoteReference"/>
          <w:rFonts w:ascii="Arial" w:hAnsi="Arial"/>
          <w:color w:val="333333"/>
        </w:rPr>
        <w:footnoteReference w:id="2"/>
      </w:r>
    </w:p>
    <w:p w:rsidR="008E2F84" w:rsidRPr="008E2F84" w:rsidRDefault="00A926BF" w:rsidP="0063460C">
      <w:pPr>
        <w:pStyle w:val="ListParagraph"/>
        <w:numPr>
          <w:ilvl w:val="0"/>
          <w:numId w:val="12"/>
        </w:numPr>
        <w:spacing w:before="100" w:beforeAutospacing="1" w:after="100" w:afterAutospacing="1" w:line="300" w:lineRule="auto"/>
        <w:ind w:left="714" w:hanging="357"/>
        <w:rPr>
          <w:rFonts w:ascii="Arial" w:hAnsi="Arial"/>
          <w:color w:val="333333"/>
        </w:rPr>
      </w:pPr>
      <w:r>
        <w:rPr>
          <w:rFonts w:ascii="Arial" w:hAnsi="Arial"/>
          <w:color w:val="333333"/>
        </w:rPr>
        <w:t>c</w:t>
      </w:r>
      <w:r w:rsidR="008E2F84" w:rsidRPr="008E2F84">
        <w:rPr>
          <w:rFonts w:ascii="Arial" w:hAnsi="Arial"/>
          <w:color w:val="333333"/>
        </w:rPr>
        <w:t>ompliance activity increases commensurate with the nu</w:t>
      </w:r>
      <w:r>
        <w:rPr>
          <w:rFonts w:ascii="Arial" w:hAnsi="Arial"/>
          <w:color w:val="333333"/>
        </w:rPr>
        <w:t>mber of new products increasing</w:t>
      </w:r>
    </w:p>
    <w:p w:rsidR="008E2F84" w:rsidRDefault="00A926BF" w:rsidP="0063460C">
      <w:pPr>
        <w:pStyle w:val="ListParagraph"/>
        <w:numPr>
          <w:ilvl w:val="0"/>
          <w:numId w:val="12"/>
        </w:numPr>
        <w:spacing w:before="100" w:beforeAutospacing="1" w:after="100" w:afterAutospacing="1" w:line="300" w:lineRule="auto"/>
        <w:ind w:left="714" w:hanging="357"/>
        <w:rPr>
          <w:rFonts w:ascii="Arial" w:hAnsi="Arial"/>
          <w:color w:val="333333"/>
        </w:rPr>
      </w:pPr>
      <w:r>
        <w:rPr>
          <w:rFonts w:ascii="Arial" w:hAnsi="Arial"/>
          <w:color w:val="333333"/>
        </w:rPr>
        <w:t>i</w:t>
      </w:r>
      <w:r w:rsidR="008E2F84" w:rsidRPr="008E2F84">
        <w:rPr>
          <w:rFonts w:ascii="Arial" w:hAnsi="Arial"/>
          <w:color w:val="333333"/>
        </w:rPr>
        <w:t>ncrease in staffing to manage increased c</w:t>
      </w:r>
      <w:r>
        <w:rPr>
          <w:rFonts w:ascii="Arial" w:hAnsi="Arial"/>
          <w:color w:val="333333"/>
        </w:rPr>
        <w:t>ompliance and registration load</w:t>
      </w:r>
    </w:p>
    <w:p w:rsidR="00D567D6" w:rsidRDefault="00D567D6" w:rsidP="00D567D6">
      <w:pPr>
        <w:pStyle w:val="ListParagraph"/>
        <w:numPr>
          <w:ilvl w:val="0"/>
          <w:numId w:val="12"/>
        </w:numPr>
        <w:spacing w:before="100" w:beforeAutospacing="1" w:after="100" w:afterAutospacing="1" w:line="300" w:lineRule="auto"/>
        <w:ind w:left="714" w:hanging="357"/>
        <w:rPr>
          <w:rFonts w:ascii="Arial" w:hAnsi="Arial"/>
          <w:color w:val="333333"/>
        </w:rPr>
      </w:pPr>
      <w:proofErr w:type="gramStart"/>
      <w:r>
        <w:rPr>
          <w:rFonts w:ascii="Arial" w:hAnsi="Arial"/>
          <w:color w:val="333333"/>
        </w:rPr>
        <w:t>n</w:t>
      </w:r>
      <w:r w:rsidRPr="008E2F84">
        <w:rPr>
          <w:rFonts w:ascii="Arial" w:hAnsi="Arial"/>
          <w:color w:val="333333"/>
        </w:rPr>
        <w:t>o</w:t>
      </w:r>
      <w:proofErr w:type="gramEnd"/>
      <w:r w:rsidRPr="008E2F84">
        <w:rPr>
          <w:rFonts w:ascii="Arial" w:hAnsi="Arial"/>
          <w:color w:val="333333"/>
        </w:rPr>
        <w:t xml:space="preserve"> fee increase.</w:t>
      </w:r>
    </w:p>
    <w:p w:rsidR="00D567D6" w:rsidRPr="008E2F84" w:rsidRDefault="00D567D6" w:rsidP="00305D66">
      <w:pPr>
        <w:pStyle w:val="ListParagraph"/>
        <w:spacing w:before="100" w:beforeAutospacing="1" w:after="100" w:afterAutospacing="1" w:line="300" w:lineRule="auto"/>
        <w:ind w:left="714"/>
        <w:rPr>
          <w:rFonts w:ascii="Arial" w:hAnsi="Arial"/>
          <w:color w:val="333333"/>
        </w:rPr>
      </w:pPr>
    </w:p>
    <w:p w:rsidR="008E2F84" w:rsidRDefault="008E2F84" w:rsidP="00A926BF">
      <w:pPr>
        <w:spacing w:before="100" w:beforeAutospacing="1" w:after="120"/>
        <w:rPr>
          <w:i/>
        </w:rPr>
      </w:pPr>
      <w:r w:rsidRPr="008E2F84">
        <w:rPr>
          <w:i/>
        </w:rPr>
        <w:t xml:space="preserve">Table </w:t>
      </w:r>
      <w:r w:rsidR="00335CB8">
        <w:rPr>
          <w:i/>
        </w:rPr>
        <w:t>5</w:t>
      </w:r>
      <w:r w:rsidRPr="008E2F84">
        <w:rPr>
          <w:i/>
        </w:rPr>
        <w:t>: Projection of GEMS fees under the current fee mo</w:t>
      </w:r>
      <w:r>
        <w:rPr>
          <w:i/>
        </w:rPr>
        <w:t>del with new products regulated</w:t>
      </w:r>
    </w:p>
    <w:tbl>
      <w:tblPr>
        <w:tblStyle w:val="TableGrid"/>
        <w:tblW w:w="9026" w:type="dxa"/>
        <w:tblLayout w:type="fixed"/>
        <w:tblLook w:val="04A0" w:firstRow="1" w:lastRow="0" w:firstColumn="1" w:lastColumn="0" w:noHBand="0" w:noVBand="1"/>
      </w:tblPr>
      <w:tblGrid>
        <w:gridCol w:w="2689"/>
        <w:gridCol w:w="1267"/>
        <w:gridCol w:w="1267"/>
        <w:gridCol w:w="1268"/>
        <w:gridCol w:w="1267"/>
        <w:gridCol w:w="1268"/>
      </w:tblGrid>
      <w:tr w:rsidR="008E2F84" w:rsidRPr="002D0E6E" w:rsidTr="00305D66">
        <w:trPr>
          <w:trHeight w:val="315"/>
        </w:trPr>
        <w:tc>
          <w:tcPr>
            <w:tcW w:w="9026" w:type="dxa"/>
            <w:gridSpan w:val="6"/>
            <w:shd w:val="clear" w:color="auto" w:fill="98C49C"/>
          </w:tcPr>
          <w:p w:rsidR="008E2F84" w:rsidRPr="002D0E6E" w:rsidRDefault="008E2F84" w:rsidP="008E2F84">
            <w:pPr>
              <w:spacing w:before="120" w:after="120"/>
              <w:jc w:val="center"/>
              <w:rPr>
                <w:b/>
              </w:rPr>
            </w:pPr>
            <w:r w:rsidRPr="002D0E6E">
              <w:rPr>
                <w:b/>
              </w:rPr>
              <w:t>Projections</w:t>
            </w:r>
          </w:p>
        </w:tc>
      </w:tr>
      <w:tr w:rsidR="008E2F84" w:rsidRPr="002D0E6E" w:rsidTr="00305D66">
        <w:trPr>
          <w:trHeight w:val="315"/>
        </w:trPr>
        <w:tc>
          <w:tcPr>
            <w:tcW w:w="2689" w:type="dxa"/>
            <w:tcBorders>
              <w:bottom w:val="single" w:sz="4" w:space="0" w:color="auto"/>
            </w:tcBorders>
            <w:shd w:val="clear" w:color="auto" w:fill="auto"/>
            <w:noWrap/>
          </w:tcPr>
          <w:p w:rsidR="008E2F84" w:rsidRPr="002D0E6E" w:rsidRDefault="008E2F84" w:rsidP="005F7768">
            <w:pPr>
              <w:spacing w:before="120" w:after="120"/>
              <w:rPr>
                <w:b/>
              </w:rPr>
            </w:pPr>
            <w:r w:rsidRPr="002D0E6E">
              <w:rPr>
                <w:b/>
              </w:rPr>
              <w:t>Year</w:t>
            </w:r>
          </w:p>
        </w:tc>
        <w:tc>
          <w:tcPr>
            <w:tcW w:w="1267" w:type="dxa"/>
            <w:tcBorders>
              <w:bottom w:val="single" w:sz="4" w:space="0" w:color="auto"/>
            </w:tcBorders>
            <w:shd w:val="clear" w:color="auto" w:fill="auto"/>
          </w:tcPr>
          <w:p w:rsidR="008E2F84" w:rsidRPr="002D0E6E" w:rsidRDefault="008E2F84" w:rsidP="005F7768">
            <w:pPr>
              <w:spacing w:before="120" w:after="120"/>
              <w:jc w:val="center"/>
              <w:rPr>
                <w:b/>
              </w:rPr>
            </w:pPr>
            <w:r w:rsidRPr="002D0E6E">
              <w:rPr>
                <w:b/>
              </w:rPr>
              <w:t>2016-17</w:t>
            </w:r>
          </w:p>
        </w:tc>
        <w:tc>
          <w:tcPr>
            <w:tcW w:w="1267" w:type="dxa"/>
            <w:tcBorders>
              <w:bottom w:val="single" w:sz="4" w:space="0" w:color="auto"/>
            </w:tcBorders>
            <w:shd w:val="clear" w:color="auto" w:fill="auto"/>
            <w:noWrap/>
            <w:hideMark/>
          </w:tcPr>
          <w:p w:rsidR="008E2F84" w:rsidRPr="002D0E6E" w:rsidRDefault="008E2F84" w:rsidP="005F7768">
            <w:pPr>
              <w:spacing w:before="120" w:after="120"/>
              <w:jc w:val="center"/>
              <w:rPr>
                <w:b/>
              </w:rPr>
            </w:pPr>
            <w:r w:rsidRPr="002D0E6E">
              <w:rPr>
                <w:b/>
              </w:rPr>
              <w:t>2017-18</w:t>
            </w:r>
          </w:p>
        </w:tc>
        <w:tc>
          <w:tcPr>
            <w:tcW w:w="1268" w:type="dxa"/>
            <w:tcBorders>
              <w:bottom w:val="single" w:sz="4" w:space="0" w:color="auto"/>
            </w:tcBorders>
            <w:shd w:val="clear" w:color="auto" w:fill="auto"/>
            <w:noWrap/>
            <w:hideMark/>
          </w:tcPr>
          <w:p w:rsidR="008E2F84" w:rsidRPr="002D0E6E" w:rsidRDefault="008E2F84" w:rsidP="005F7768">
            <w:pPr>
              <w:spacing w:before="120" w:after="120"/>
              <w:jc w:val="center"/>
              <w:rPr>
                <w:b/>
              </w:rPr>
            </w:pPr>
            <w:r w:rsidRPr="002D0E6E">
              <w:rPr>
                <w:b/>
              </w:rPr>
              <w:t>2018-19</w:t>
            </w:r>
          </w:p>
        </w:tc>
        <w:tc>
          <w:tcPr>
            <w:tcW w:w="1267" w:type="dxa"/>
            <w:tcBorders>
              <w:bottom w:val="single" w:sz="4" w:space="0" w:color="auto"/>
            </w:tcBorders>
            <w:shd w:val="clear" w:color="auto" w:fill="auto"/>
            <w:noWrap/>
            <w:hideMark/>
          </w:tcPr>
          <w:p w:rsidR="008E2F84" w:rsidRPr="002D0E6E" w:rsidRDefault="008E2F84" w:rsidP="005F7768">
            <w:pPr>
              <w:spacing w:before="120" w:after="120"/>
              <w:jc w:val="center"/>
              <w:rPr>
                <w:b/>
              </w:rPr>
            </w:pPr>
            <w:r w:rsidRPr="002D0E6E">
              <w:rPr>
                <w:b/>
              </w:rPr>
              <w:t>2019-20</w:t>
            </w:r>
          </w:p>
        </w:tc>
        <w:tc>
          <w:tcPr>
            <w:tcW w:w="1268" w:type="dxa"/>
            <w:tcBorders>
              <w:bottom w:val="single" w:sz="4" w:space="0" w:color="auto"/>
            </w:tcBorders>
            <w:shd w:val="clear" w:color="auto" w:fill="auto"/>
            <w:noWrap/>
            <w:hideMark/>
          </w:tcPr>
          <w:p w:rsidR="008E2F84" w:rsidRPr="002D0E6E" w:rsidRDefault="008E2F84" w:rsidP="005F7768">
            <w:pPr>
              <w:spacing w:before="120" w:after="120"/>
              <w:jc w:val="center"/>
              <w:rPr>
                <w:b/>
              </w:rPr>
            </w:pPr>
            <w:r w:rsidRPr="002D0E6E">
              <w:rPr>
                <w:b/>
              </w:rPr>
              <w:t>2020-21</w:t>
            </w:r>
          </w:p>
        </w:tc>
      </w:tr>
      <w:tr w:rsidR="008E2F84" w:rsidRPr="007079E5" w:rsidTr="00305D66">
        <w:trPr>
          <w:trHeight w:val="315"/>
        </w:trPr>
        <w:tc>
          <w:tcPr>
            <w:tcW w:w="2689" w:type="dxa"/>
            <w:tcBorders>
              <w:top w:val="single" w:sz="4" w:space="0" w:color="auto"/>
              <w:bottom w:val="single" w:sz="4" w:space="0" w:color="auto"/>
              <w:right w:val="single" w:sz="4" w:space="0" w:color="auto"/>
            </w:tcBorders>
            <w:noWrap/>
          </w:tcPr>
          <w:p w:rsidR="008E2F84" w:rsidRPr="005F7768" w:rsidRDefault="008E2F84" w:rsidP="005F7768">
            <w:pPr>
              <w:spacing w:before="120" w:after="120"/>
              <w:rPr>
                <w:b/>
                <w:bCs/>
                <w:iCs/>
              </w:rPr>
            </w:pPr>
            <w:r w:rsidRPr="005F7768">
              <w:rPr>
                <w:b/>
                <w:bCs/>
                <w:iCs/>
              </w:rPr>
              <w:t>Total Fee Revenue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E2F84" w:rsidRPr="007079E5" w:rsidRDefault="008E2F84" w:rsidP="005F7768">
            <w:pPr>
              <w:spacing w:before="120" w:after="120"/>
              <w:jc w:val="right"/>
              <w:rPr>
                <w:bCs/>
                <w:iCs/>
              </w:rPr>
            </w:pPr>
            <w:r w:rsidRPr="007079E5">
              <w:rPr>
                <w:bCs/>
                <w:iCs/>
                <w:color w:val="000000"/>
              </w:rPr>
              <w:t xml:space="preserve">2,320,480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E2F84" w:rsidRPr="007079E5" w:rsidRDefault="008E2F84">
            <w:pPr>
              <w:spacing w:before="120" w:after="120"/>
              <w:jc w:val="right"/>
              <w:rPr>
                <w:bCs/>
                <w:iCs/>
              </w:rPr>
            </w:pPr>
            <w:r w:rsidRPr="007079E5">
              <w:rPr>
                <w:bCs/>
                <w:iCs/>
                <w:color w:val="000000"/>
              </w:rPr>
              <w:t>2,</w:t>
            </w:r>
            <w:r w:rsidR="00314477">
              <w:rPr>
                <w:bCs/>
                <w:iCs/>
                <w:color w:val="000000"/>
              </w:rPr>
              <w:t>801,850</w:t>
            </w:r>
            <w:r w:rsidRPr="007079E5">
              <w:rPr>
                <w:bCs/>
                <w:iCs/>
                <w:color w:val="000000"/>
              </w:rPr>
              <w:t xml:space="preserve"> </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E2F84" w:rsidRPr="007079E5" w:rsidRDefault="00314477" w:rsidP="005F7768">
            <w:pPr>
              <w:spacing w:before="120" w:after="120"/>
              <w:jc w:val="right"/>
              <w:rPr>
                <w:bCs/>
                <w:iCs/>
              </w:rPr>
            </w:pPr>
            <w:r>
              <w:rPr>
                <w:bCs/>
                <w:iCs/>
                <w:color w:val="000000"/>
              </w:rPr>
              <w:t>5,136,750</w:t>
            </w:r>
            <w:r w:rsidR="008E2F84" w:rsidRPr="007079E5">
              <w:rPr>
                <w:bCs/>
                <w:iCs/>
                <w:color w:val="000000"/>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E2F84" w:rsidRPr="007079E5" w:rsidRDefault="00314477" w:rsidP="005F7768">
            <w:pPr>
              <w:spacing w:before="120" w:after="120"/>
              <w:jc w:val="right"/>
              <w:rPr>
                <w:bCs/>
                <w:iCs/>
              </w:rPr>
            </w:pPr>
            <w:r>
              <w:rPr>
                <w:bCs/>
                <w:iCs/>
                <w:color w:val="000000"/>
              </w:rPr>
              <w:t>5,216,250</w:t>
            </w:r>
            <w:r w:rsidR="008E2F84" w:rsidRPr="007079E5">
              <w:rPr>
                <w:bCs/>
                <w:iCs/>
                <w:color w:val="000000"/>
              </w:rPr>
              <w:t xml:space="preserve"> </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E2F84" w:rsidRPr="007079E5" w:rsidRDefault="00314477" w:rsidP="005F7768">
            <w:pPr>
              <w:spacing w:before="120" w:after="120"/>
              <w:jc w:val="right"/>
              <w:rPr>
                <w:bCs/>
                <w:iCs/>
              </w:rPr>
            </w:pPr>
            <w:r>
              <w:rPr>
                <w:bCs/>
                <w:iCs/>
                <w:color w:val="000000"/>
              </w:rPr>
              <w:t>5,300,700</w:t>
            </w:r>
            <w:r w:rsidR="008E2F84" w:rsidRPr="007079E5">
              <w:rPr>
                <w:bCs/>
                <w:iCs/>
                <w:color w:val="000000"/>
              </w:rPr>
              <w:t xml:space="preserve"> </w:t>
            </w:r>
          </w:p>
        </w:tc>
      </w:tr>
      <w:tr w:rsidR="008E2F84" w:rsidRPr="00361BEF" w:rsidTr="00305D66">
        <w:trPr>
          <w:trHeight w:val="315"/>
        </w:trPr>
        <w:tc>
          <w:tcPr>
            <w:tcW w:w="2689" w:type="dxa"/>
            <w:tcBorders>
              <w:top w:val="single" w:sz="4" w:space="0" w:color="auto"/>
              <w:bottom w:val="single" w:sz="4" w:space="0" w:color="auto"/>
            </w:tcBorders>
            <w:shd w:val="clear" w:color="auto" w:fill="98C49C"/>
            <w:noWrap/>
          </w:tcPr>
          <w:p w:rsidR="008E2F84" w:rsidRPr="005F7768" w:rsidRDefault="008E2F84" w:rsidP="005F7768">
            <w:pPr>
              <w:spacing w:before="120" w:after="120"/>
              <w:rPr>
                <w:b/>
                <w:bCs/>
                <w:iCs/>
              </w:rPr>
            </w:pPr>
            <w:r w:rsidRPr="005F7768">
              <w:rPr>
                <w:b/>
                <w:bCs/>
                <w:iCs/>
              </w:rPr>
              <w:t>Total Costs $</w:t>
            </w:r>
          </w:p>
        </w:tc>
        <w:tc>
          <w:tcPr>
            <w:tcW w:w="1267" w:type="dxa"/>
            <w:tcBorders>
              <w:top w:val="single" w:sz="4" w:space="0" w:color="auto"/>
              <w:bottom w:val="single" w:sz="4" w:space="0" w:color="auto"/>
            </w:tcBorders>
            <w:shd w:val="clear" w:color="auto" w:fill="98C49C"/>
            <w:vAlign w:val="center"/>
          </w:tcPr>
          <w:p w:rsidR="008E2F84" w:rsidRPr="00361BEF" w:rsidRDefault="008E2F84" w:rsidP="005F7768">
            <w:pPr>
              <w:spacing w:before="120" w:after="120"/>
              <w:jc w:val="right"/>
              <w:rPr>
                <w:bCs/>
                <w:iCs/>
              </w:rPr>
            </w:pPr>
            <w:r>
              <w:rPr>
                <w:bCs/>
                <w:iCs/>
              </w:rPr>
              <w:t>4,119,988</w:t>
            </w:r>
            <w:r w:rsidRPr="00361BEF">
              <w:rPr>
                <w:bCs/>
                <w:iCs/>
              </w:rPr>
              <w:t xml:space="preserve"> </w:t>
            </w:r>
          </w:p>
        </w:tc>
        <w:tc>
          <w:tcPr>
            <w:tcW w:w="1267" w:type="dxa"/>
            <w:tcBorders>
              <w:top w:val="single" w:sz="4" w:space="0" w:color="auto"/>
              <w:bottom w:val="single" w:sz="4" w:space="0" w:color="auto"/>
            </w:tcBorders>
            <w:shd w:val="clear" w:color="auto" w:fill="98C49C"/>
            <w:noWrap/>
            <w:vAlign w:val="center"/>
            <w:hideMark/>
          </w:tcPr>
          <w:p w:rsidR="008E2F84" w:rsidRPr="00361BEF" w:rsidRDefault="008E2F84" w:rsidP="005F7768">
            <w:pPr>
              <w:spacing w:before="120" w:after="120"/>
              <w:jc w:val="right"/>
              <w:rPr>
                <w:bCs/>
                <w:iCs/>
              </w:rPr>
            </w:pPr>
            <w:r>
              <w:rPr>
                <w:bCs/>
                <w:iCs/>
              </w:rPr>
              <w:t>4,511,896</w:t>
            </w:r>
            <w:r w:rsidRPr="00361BEF">
              <w:rPr>
                <w:bCs/>
                <w:iCs/>
              </w:rPr>
              <w:t xml:space="preserve"> </w:t>
            </w:r>
          </w:p>
        </w:tc>
        <w:tc>
          <w:tcPr>
            <w:tcW w:w="1268" w:type="dxa"/>
            <w:tcBorders>
              <w:top w:val="single" w:sz="4" w:space="0" w:color="auto"/>
              <w:bottom w:val="single" w:sz="4" w:space="0" w:color="auto"/>
            </w:tcBorders>
            <w:shd w:val="clear" w:color="auto" w:fill="98C49C"/>
            <w:noWrap/>
            <w:vAlign w:val="center"/>
            <w:hideMark/>
          </w:tcPr>
          <w:p w:rsidR="008E2F84" w:rsidRPr="00361BEF" w:rsidRDefault="008E2F84" w:rsidP="005F7768">
            <w:pPr>
              <w:spacing w:before="120" w:after="120"/>
              <w:jc w:val="right"/>
              <w:rPr>
                <w:bCs/>
                <w:iCs/>
              </w:rPr>
            </w:pPr>
            <w:r w:rsidRPr="00361BEF">
              <w:rPr>
                <w:bCs/>
                <w:iCs/>
              </w:rPr>
              <w:t>5,</w:t>
            </w:r>
            <w:r w:rsidR="00314477">
              <w:rPr>
                <w:bCs/>
                <w:iCs/>
              </w:rPr>
              <w:t>613,399</w:t>
            </w:r>
            <w:r w:rsidRPr="00361BEF">
              <w:rPr>
                <w:bCs/>
                <w:iCs/>
              </w:rPr>
              <w:t xml:space="preserve"> </w:t>
            </w:r>
          </w:p>
        </w:tc>
        <w:tc>
          <w:tcPr>
            <w:tcW w:w="1267" w:type="dxa"/>
            <w:tcBorders>
              <w:top w:val="single" w:sz="4" w:space="0" w:color="auto"/>
              <w:bottom w:val="single" w:sz="4" w:space="0" w:color="auto"/>
            </w:tcBorders>
            <w:shd w:val="clear" w:color="auto" w:fill="98C49C"/>
            <w:noWrap/>
            <w:vAlign w:val="center"/>
            <w:hideMark/>
          </w:tcPr>
          <w:p w:rsidR="008E2F84" w:rsidRPr="00361BEF" w:rsidRDefault="008E2F84" w:rsidP="005F7768">
            <w:pPr>
              <w:spacing w:before="120" w:after="120"/>
              <w:jc w:val="right"/>
              <w:rPr>
                <w:bCs/>
                <w:iCs/>
              </w:rPr>
            </w:pPr>
            <w:r w:rsidRPr="00361BEF">
              <w:rPr>
                <w:bCs/>
                <w:iCs/>
              </w:rPr>
              <w:t>5,</w:t>
            </w:r>
            <w:r w:rsidR="00314477">
              <w:rPr>
                <w:bCs/>
                <w:iCs/>
              </w:rPr>
              <w:t>769,323</w:t>
            </w:r>
            <w:r w:rsidRPr="00361BEF">
              <w:rPr>
                <w:bCs/>
                <w:iCs/>
              </w:rPr>
              <w:t xml:space="preserve"> </w:t>
            </w:r>
          </w:p>
        </w:tc>
        <w:tc>
          <w:tcPr>
            <w:tcW w:w="1268" w:type="dxa"/>
            <w:tcBorders>
              <w:top w:val="single" w:sz="4" w:space="0" w:color="auto"/>
              <w:bottom w:val="single" w:sz="4" w:space="0" w:color="auto"/>
            </w:tcBorders>
            <w:shd w:val="clear" w:color="auto" w:fill="98C49C"/>
            <w:noWrap/>
            <w:vAlign w:val="center"/>
            <w:hideMark/>
          </w:tcPr>
          <w:p w:rsidR="008E2F84" w:rsidRPr="00361BEF" w:rsidRDefault="008E2F84" w:rsidP="005F7768">
            <w:pPr>
              <w:spacing w:before="120" w:after="120"/>
              <w:jc w:val="right"/>
              <w:rPr>
                <w:bCs/>
                <w:iCs/>
              </w:rPr>
            </w:pPr>
            <w:r w:rsidRPr="00361BEF">
              <w:rPr>
                <w:bCs/>
                <w:iCs/>
              </w:rPr>
              <w:t>5,</w:t>
            </w:r>
            <w:r w:rsidR="00314477">
              <w:rPr>
                <w:bCs/>
                <w:iCs/>
              </w:rPr>
              <w:t>865,659</w:t>
            </w:r>
            <w:r w:rsidRPr="00361BEF">
              <w:rPr>
                <w:bCs/>
                <w:iCs/>
              </w:rPr>
              <w:t xml:space="preserve"> </w:t>
            </w:r>
          </w:p>
        </w:tc>
      </w:tr>
      <w:tr w:rsidR="008E2F84" w:rsidRPr="00361BEF" w:rsidTr="00305D66">
        <w:trPr>
          <w:trHeight w:val="315"/>
        </w:trPr>
        <w:tc>
          <w:tcPr>
            <w:tcW w:w="2689" w:type="dxa"/>
            <w:tcBorders>
              <w:top w:val="single" w:sz="4" w:space="0" w:color="auto"/>
            </w:tcBorders>
            <w:noWrap/>
          </w:tcPr>
          <w:p w:rsidR="008E2F84" w:rsidRPr="002D0E6E" w:rsidRDefault="008E2F84" w:rsidP="005F7768">
            <w:pPr>
              <w:spacing w:before="120" w:after="120"/>
              <w:rPr>
                <w:b/>
              </w:rPr>
            </w:pPr>
            <w:r w:rsidRPr="002D0E6E">
              <w:rPr>
                <w:b/>
              </w:rPr>
              <w:t>Cost Recovery Rate</w:t>
            </w:r>
          </w:p>
        </w:tc>
        <w:tc>
          <w:tcPr>
            <w:tcW w:w="1267" w:type="dxa"/>
            <w:tcBorders>
              <w:top w:val="single" w:sz="4" w:space="0" w:color="auto"/>
            </w:tcBorders>
            <w:vAlign w:val="center"/>
          </w:tcPr>
          <w:p w:rsidR="008E2F84" w:rsidRPr="00361BEF" w:rsidRDefault="008E2F84" w:rsidP="005F7768">
            <w:pPr>
              <w:spacing w:before="120" w:after="120"/>
              <w:jc w:val="center"/>
            </w:pPr>
            <w:r>
              <w:t>56.3%</w:t>
            </w:r>
          </w:p>
        </w:tc>
        <w:tc>
          <w:tcPr>
            <w:tcW w:w="1267" w:type="dxa"/>
            <w:tcBorders>
              <w:top w:val="single" w:sz="4" w:space="0" w:color="auto"/>
            </w:tcBorders>
            <w:noWrap/>
            <w:vAlign w:val="center"/>
          </w:tcPr>
          <w:p w:rsidR="008E2F84" w:rsidRPr="00361BEF" w:rsidRDefault="00314477" w:rsidP="005F7768">
            <w:pPr>
              <w:spacing w:before="120" w:after="120"/>
              <w:jc w:val="center"/>
            </w:pPr>
            <w:r>
              <w:t>62.1%</w:t>
            </w:r>
          </w:p>
        </w:tc>
        <w:tc>
          <w:tcPr>
            <w:tcW w:w="1268" w:type="dxa"/>
            <w:tcBorders>
              <w:top w:val="single" w:sz="4" w:space="0" w:color="auto"/>
            </w:tcBorders>
            <w:noWrap/>
            <w:vAlign w:val="center"/>
          </w:tcPr>
          <w:p w:rsidR="008E2F84" w:rsidRPr="00361BEF" w:rsidRDefault="00314477" w:rsidP="005F7768">
            <w:pPr>
              <w:spacing w:before="120" w:after="120"/>
              <w:jc w:val="center"/>
            </w:pPr>
            <w:r>
              <w:t>91.5</w:t>
            </w:r>
            <w:r w:rsidR="008E2F84">
              <w:t>%</w:t>
            </w:r>
          </w:p>
        </w:tc>
        <w:tc>
          <w:tcPr>
            <w:tcW w:w="1267" w:type="dxa"/>
            <w:tcBorders>
              <w:top w:val="single" w:sz="4" w:space="0" w:color="auto"/>
            </w:tcBorders>
            <w:noWrap/>
            <w:vAlign w:val="center"/>
          </w:tcPr>
          <w:p w:rsidR="008E2F84" w:rsidRPr="00361BEF" w:rsidRDefault="00314477" w:rsidP="005F7768">
            <w:pPr>
              <w:spacing w:before="120" w:after="120"/>
              <w:jc w:val="center"/>
            </w:pPr>
            <w:r>
              <w:t>90.4</w:t>
            </w:r>
            <w:r w:rsidR="008E2F84">
              <w:t>%</w:t>
            </w:r>
          </w:p>
        </w:tc>
        <w:tc>
          <w:tcPr>
            <w:tcW w:w="1268" w:type="dxa"/>
            <w:tcBorders>
              <w:top w:val="single" w:sz="4" w:space="0" w:color="auto"/>
            </w:tcBorders>
            <w:noWrap/>
            <w:vAlign w:val="center"/>
          </w:tcPr>
          <w:p w:rsidR="008E2F84" w:rsidRPr="00361BEF" w:rsidRDefault="00314477" w:rsidP="005F7768">
            <w:pPr>
              <w:spacing w:before="120" w:after="120"/>
              <w:jc w:val="center"/>
            </w:pPr>
            <w:r>
              <w:t>90.4</w:t>
            </w:r>
            <w:r w:rsidR="008E2F84">
              <w:t>%</w:t>
            </w:r>
          </w:p>
        </w:tc>
      </w:tr>
      <w:tr w:rsidR="008E2F84" w:rsidRPr="00361BEF" w:rsidTr="00305D66">
        <w:trPr>
          <w:trHeight w:val="315"/>
        </w:trPr>
        <w:tc>
          <w:tcPr>
            <w:tcW w:w="2689" w:type="dxa"/>
            <w:noWrap/>
          </w:tcPr>
          <w:p w:rsidR="008E2F84" w:rsidRPr="002D0E6E" w:rsidRDefault="008E2F84" w:rsidP="005F7768">
            <w:pPr>
              <w:spacing w:before="120" w:after="120"/>
              <w:rPr>
                <w:b/>
              </w:rPr>
            </w:pPr>
            <w:r w:rsidRPr="002D0E6E">
              <w:rPr>
                <w:b/>
              </w:rPr>
              <w:t xml:space="preserve">Registrations per year </w:t>
            </w:r>
          </w:p>
        </w:tc>
        <w:tc>
          <w:tcPr>
            <w:tcW w:w="1267" w:type="dxa"/>
            <w:tcBorders>
              <w:top w:val="single" w:sz="4" w:space="0" w:color="auto"/>
              <w:left w:val="nil"/>
              <w:bottom w:val="single" w:sz="4" w:space="0" w:color="auto"/>
              <w:right w:val="single" w:sz="4" w:space="0" w:color="auto"/>
            </w:tcBorders>
            <w:shd w:val="clear" w:color="auto" w:fill="auto"/>
            <w:vAlign w:val="bottom"/>
          </w:tcPr>
          <w:p w:rsidR="008E2F84" w:rsidRPr="00361BEF" w:rsidRDefault="008E2F84" w:rsidP="005F7768">
            <w:pPr>
              <w:spacing w:before="120" w:after="120"/>
              <w:jc w:val="center"/>
            </w:pPr>
            <w:r w:rsidRPr="00361BEF">
              <w:rPr>
                <w:color w:val="000000"/>
              </w:rPr>
              <w:t>5234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F84" w:rsidRPr="00361BEF" w:rsidRDefault="008E2F84" w:rsidP="005F7768">
            <w:pPr>
              <w:spacing w:before="120" w:after="120"/>
              <w:jc w:val="center"/>
            </w:pPr>
            <w:r w:rsidRPr="00361BEF">
              <w:rPr>
                <w:color w:val="000000"/>
              </w:rPr>
              <w:t>5</w:t>
            </w:r>
            <w:r>
              <w:rPr>
                <w:color w:val="000000"/>
              </w:rPr>
              <w:t>027</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F84" w:rsidRPr="00361BEF" w:rsidRDefault="00314477" w:rsidP="005F7768">
            <w:pPr>
              <w:spacing w:before="120" w:after="120"/>
              <w:jc w:val="center"/>
            </w:pPr>
            <w:r>
              <w:rPr>
                <w:color w:val="000000"/>
              </w:rPr>
              <w:t>8097</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F84" w:rsidRPr="00361BEF" w:rsidRDefault="00314477" w:rsidP="005F7768">
            <w:pPr>
              <w:spacing w:before="120" w:after="120"/>
              <w:jc w:val="center"/>
            </w:pPr>
            <w:r>
              <w:rPr>
                <w:color w:val="000000"/>
              </w:rPr>
              <w:t>8010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F84" w:rsidRPr="00361BEF" w:rsidRDefault="00314477" w:rsidP="005F7768">
            <w:pPr>
              <w:spacing w:before="120" w:after="120"/>
              <w:jc w:val="center"/>
            </w:pPr>
            <w:r>
              <w:rPr>
                <w:color w:val="000000"/>
              </w:rPr>
              <w:t>8157</w:t>
            </w:r>
          </w:p>
        </w:tc>
      </w:tr>
    </w:tbl>
    <w:p w:rsidR="00A926BF" w:rsidRDefault="00A926BF" w:rsidP="008276C4">
      <w:pPr>
        <w:pStyle w:val="Heading1"/>
      </w:pPr>
    </w:p>
    <w:p w:rsidR="00D567D6" w:rsidRPr="00D567D6" w:rsidRDefault="00D567D6" w:rsidP="00305D66">
      <w:r>
        <w:t xml:space="preserve">NOTE: Proposed regulation is subject to consultation. Estimated number of new products potentially subject to MEPS is estimated based on current information available. Forecasts will be reviewed following the Decision RIS for products.  </w:t>
      </w:r>
    </w:p>
    <w:p w:rsidR="00A926BF" w:rsidRDefault="00A926BF">
      <w:pPr>
        <w:spacing w:line="240" w:lineRule="auto"/>
        <w:rPr>
          <w:rFonts w:cs="Arial"/>
          <w:b/>
          <w:bCs/>
          <w:color w:val="4A7729"/>
          <w:kern w:val="32"/>
          <w:sz w:val="40"/>
          <w:szCs w:val="44"/>
        </w:rPr>
      </w:pPr>
      <w:r>
        <w:br w:type="page"/>
      </w:r>
    </w:p>
    <w:p w:rsidR="008E2F84" w:rsidRDefault="00F6749E" w:rsidP="008276C4">
      <w:pPr>
        <w:pStyle w:val="Heading1"/>
      </w:pPr>
      <w:bookmarkStart w:id="31" w:name="_Toc471476059"/>
      <w:r>
        <w:t>5.</w:t>
      </w:r>
      <w:r w:rsidR="008276C4">
        <w:t>0</w:t>
      </w:r>
      <w:r w:rsidR="00514B39" w:rsidRPr="00514B39">
        <w:t xml:space="preserve"> Options for a new model</w:t>
      </w:r>
      <w:bookmarkEnd w:id="31"/>
    </w:p>
    <w:p w:rsidR="00514B39" w:rsidRPr="00514B39" w:rsidRDefault="00F6749E" w:rsidP="005B71C1">
      <w:pPr>
        <w:pStyle w:val="Heading2"/>
      </w:pPr>
      <w:bookmarkStart w:id="32" w:name="_Toc471476060"/>
      <w:r>
        <w:t>5</w:t>
      </w:r>
      <w:r w:rsidR="008276C4">
        <w:t xml:space="preserve">.1 </w:t>
      </w:r>
      <w:r w:rsidR="00514B39" w:rsidRPr="00514B39">
        <w:t>Principles for the development of a new fee model</w:t>
      </w:r>
      <w:bookmarkEnd w:id="32"/>
      <w:r w:rsidR="00514B39" w:rsidRPr="00514B39">
        <w:t xml:space="preserve"> </w:t>
      </w:r>
    </w:p>
    <w:p w:rsidR="00514B39" w:rsidRDefault="00514B39" w:rsidP="00514B39">
      <w:r>
        <w:t>In considering the case for the refinement of the current model or the development of a new model for consideration, the fo</w:t>
      </w:r>
      <w:r w:rsidR="00A926BF">
        <w:t>llowing principles are proposed:</w:t>
      </w:r>
      <w:r>
        <w:t xml:space="preserve"> </w:t>
      </w:r>
    </w:p>
    <w:p w:rsidR="00514B39" w:rsidRPr="00514B39" w:rsidRDefault="00A926BF" w:rsidP="0063460C">
      <w:pPr>
        <w:pStyle w:val="ListParagraph"/>
        <w:numPr>
          <w:ilvl w:val="0"/>
          <w:numId w:val="12"/>
        </w:numPr>
        <w:spacing w:before="100" w:beforeAutospacing="1" w:after="100" w:afterAutospacing="1" w:line="300" w:lineRule="auto"/>
        <w:ind w:left="714" w:hanging="357"/>
        <w:rPr>
          <w:rFonts w:ascii="Arial" w:hAnsi="Arial"/>
          <w:color w:val="333333"/>
        </w:rPr>
      </w:pPr>
      <w:r>
        <w:rPr>
          <w:rFonts w:ascii="Arial" w:hAnsi="Arial"/>
          <w:color w:val="333333"/>
        </w:rPr>
        <w:t xml:space="preserve">that </w:t>
      </w:r>
      <w:r w:rsidR="00514B39" w:rsidRPr="00514B39">
        <w:rPr>
          <w:rFonts w:ascii="Arial" w:hAnsi="Arial"/>
          <w:color w:val="333333"/>
        </w:rPr>
        <w:t>GEMS move</w:t>
      </w:r>
      <w:r>
        <w:rPr>
          <w:rFonts w:ascii="Arial" w:hAnsi="Arial"/>
          <w:color w:val="333333"/>
        </w:rPr>
        <w:t>s</w:t>
      </w:r>
      <w:r w:rsidR="00514B39" w:rsidRPr="00514B39">
        <w:rPr>
          <w:rFonts w:ascii="Arial" w:hAnsi="Arial"/>
          <w:color w:val="333333"/>
        </w:rPr>
        <w:t xml:space="preserve"> to full cost</w:t>
      </w:r>
      <w:r w:rsidR="009D5266">
        <w:rPr>
          <w:rFonts w:ascii="Arial" w:hAnsi="Arial"/>
          <w:color w:val="333333"/>
        </w:rPr>
        <w:t>-</w:t>
      </w:r>
      <w:r>
        <w:rPr>
          <w:rFonts w:ascii="Arial" w:hAnsi="Arial"/>
          <w:color w:val="333333"/>
        </w:rPr>
        <w:t>recovery over time by 2020-21</w:t>
      </w:r>
    </w:p>
    <w:p w:rsidR="00514B39" w:rsidRPr="00514B39" w:rsidRDefault="00514B39" w:rsidP="0063460C">
      <w:pPr>
        <w:pStyle w:val="ListParagraph"/>
        <w:numPr>
          <w:ilvl w:val="0"/>
          <w:numId w:val="12"/>
        </w:numPr>
        <w:spacing w:before="100" w:beforeAutospacing="1" w:after="100" w:afterAutospacing="1" w:line="300" w:lineRule="auto"/>
        <w:ind w:left="714" w:hanging="357"/>
        <w:rPr>
          <w:rFonts w:ascii="Arial" w:hAnsi="Arial"/>
          <w:color w:val="333333"/>
        </w:rPr>
      </w:pPr>
      <w:r w:rsidRPr="00514B39">
        <w:rPr>
          <w:rFonts w:ascii="Arial" w:hAnsi="Arial"/>
          <w:color w:val="333333"/>
        </w:rPr>
        <w:t>cross-subsidisation</w:t>
      </w:r>
      <w:r w:rsidR="00A926BF">
        <w:rPr>
          <w:rFonts w:ascii="Arial" w:hAnsi="Arial"/>
          <w:color w:val="333333"/>
        </w:rPr>
        <w:t xml:space="preserve"> across fee bands is minimised</w:t>
      </w:r>
      <w:r w:rsidRPr="00514B39">
        <w:rPr>
          <w:rFonts w:ascii="Arial" w:hAnsi="Arial"/>
          <w:color w:val="333333"/>
        </w:rPr>
        <w:t xml:space="preserve"> </w:t>
      </w:r>
    </w:p>
    <w:p w:rsidR="00514B39" w:rsidRPr="00514B39" w:rsidRDefault="00514B39" w:rsidP="0063460C">
      <w:pPr>
        <w:pStyle w:val="ListParagraph"/>
        <w:numPr>
          <w:ilvl w:val="0"/>
          <w:numId w:val="12"/>
        </w:numPr>
        <w:spacing w:before="100" w:beforeAutospacing="1" w:after="100" w:afterAutospacing="1" w:line="300" w:lineRule="auto"/>
        <w:ind w:left="714" w:hanging="357"/>
        <w:rPr>
          <w:rFonts w:ascii="Arial" w:hAnsi="Arial"/>
          <w:color w:val="333333"/>
        </w:rPr>
      </w:pPr>
      <w:r w:rsidRPr="00514B39">
        <w:rPr>
          <w:rFonts w:ascii="Arial" w:hAnsi="Arial"/>
          <w:color w:val="333333"/>
        </w:rPr>
        <w:t>fee bands are developed according to an activity</w:t>
      </w:r>
      <w:r w:rsidR="00A926BF">
        <w:rPr>
          <w:rFonts w:ascii="Arial" w:hAnsi="Arial"/>
          <w:color w:val="333333"/>
        </w:rPr>
        <w:t xml:space="preserve"> based check testing cost model</w:t>
      </w:r>
      <w:r w:rsidRPr="00514B39">
        <w:rPr>
          <w:rFonts w:ascii="Arial" w:hAnsi="Arial"/>
          <w:color w:val="333333"/>
        </w:rPr>
        <w:t xml:space="preserve">  </w:t>
      </w:r>
    </w:p>
    <w:p w:rsidR="00514B39" w:rsidRPr="00514B39" w:rsidRDefault="00514B39" w:rsidP="0063460C">
      <w:pPr>
        <w:pStyle w:val="ListParagraph"/>
        <w:numPr>
          <w:ilvl w:val="0"/>
          <w:numId w:val="12"/>
        </w:numPr>
        <w:spacing w:before="100" w:beforeAutospacing="1" w:after="100" w:afterAutospacing="1" w:line="300" w:lineRule="auto"/>
        <w:ind w:left="714" w:hanging="357"/>
        <w:rPr>
          <w:rFonts w:ascii="Arial" w:hAnsi="Arial"/>
          <w:color w:val="333333"/>
        </w:rPr>
      </w:pPr>
      <w:proofErr w:type="gramStart"/>
      <w:r w:rsidRPr="00514B39">
        <w:rPr>
          <w:rFonts w:ascii="Arial" w:hAnsi="Arial"/>
          <w:color w:val="333333"/>
        </w:rPr>
        <w:t>registration</w:t>
      </w:r>
      <w:proofErr w:type="gramEnd"/>
      <w:r w:rsidRPr="00514B39">
        <w:rPr>
          <w:rFonts w:ascii="Arial" w:hAnsi="Arial"/>
          <w:color w:val="333333"/>
        </w:rPr>
        <w:t xml:space="preserve"> costs are the same across all product types ($420).</w:t>
      </w:r>
    </w:p>
    <w:p w:rsidR="00514B39" w:rsidRDefault="00514B39" w:rsidP="00514B39">
      <w:r>
        <w:t>In testing the current model</w:t>
      </w:r>
      <w:r w:rsidR="009D5266">
        <w:t>, the Regulator</w:t>
      </w:r>
      <w:r>
        <w:t xml:space="preserve"> </w:t>
      </w:r>
      <w:r w:rsidR="009D5266">
        <w:t>explored a</w:t>
      </w:r>
      <w:r>
        <w:t xml:space="preserve"> fee and levy model in which registrants would pay a five year registration fee and an annual compliance levy. While</w:t>
      </w:r>
      <w:r w:rsidR="009D5266">
        <w:t xml:space="preserve"> having some benefits</w:t>
      </w:r>
      <w:r>
        <w:t>, the fee and levy model would be more costly to administer due to the registration system changes required and additional staff to manage the yearly invoicing and maintenance of around 25,000 - 30,000 registrations. A movement to a fee and levy model would also require legislative</w:t>
      </w:r>
      <w:r w:rsidR="009D5266">
        <w:t xml:space="preserve"> change. T</w:t>
      </w:r>
      <w:r>
        <w:t xml:space="preserve">he current model </w:t>
      </w:r>
      <w:r w:rsidR="009D5266">
        <w:t xml:space="preserve">has an established registration process </w:t>
      </w:r>
      <w:r>
        <w:t>with one interactio</w:t>
      </w:r>
      <w:r w:rsidR="009D5266">
        <w:t>n per product every five years and i</w:t>
      </w:r>
      <w:r>
        <w:t>t is well understood by industry</w:t>
      </w:r>
      <w:r w:rsidR="009D5266">
        <w:t>.</w:t>
      </w:r>
      <w:r>
        <w:t xml:space="preserve"> The Regulator considers that the current fee model it is still appropriate.</w:t>
      </w:r>
    </w:p>
    <w:p w:rsidR="00514B39" w:rsidRDefault="00514B39" w:rsidP="00514B39"/>
    <w:p w:rsidR="00514B39" w:rsidRPr="00514B39" w:rsidRDefault="00514B39" w:rsidP="00514B39">
      <w:pPr>
        <w:pBdr>
          <w:top w:val="single" w:sz="4" w:space="1" w:color="auto"/>
          <w:left w:val="single" w:sz="4" w:space="4" w:color="auto"/>
          <w:bottom w:val="single" w:sz="4" w:space="1" w:color="auto"/>
          <w:right w:val="single" w:sz="4" w:space="4" w:color="auto"/>
        </w:pBdr>
        <w:rPr>
          <w:b/>
        </w:rPr>
      </w:pPr>
      <w:r w:rsidRPr="00514B39">
        <w:rPr>
          <w:b/>
        </w:rPr>
        <w:t>Recommendation 3</w:t>
      </w:r>
      <w:r w:rsidR="00BD3A9C">
        <w:rPr>
          <w:b/>
        </w:rPr>
        <w:t xml:space="preserve">: </w:t>
      </w:r>
      <w:r w:rsidRPr="00514B39">
        <w:t>The current fee model is maintained.</w:t>
      </w:r>
    </w:p>
    <w:p w:rsidR="00514B39" w:rsidRDefault="00514B39" w:rsidP="00514B39"/>
    <w:p w:rsidR="00514B39" w:rsidRDefault="00F6749E" w:rsidP="005B71C1">
      <w:pPr>
        <w:pStyle w:val="Heading2"/>
      </w:pPr>
      <w:bookmarkStart w:id="33" w:name="_Toc471476061"/>
      <w:r>
        <w:t>5</w:t>
      </w:r>
      <w:r w:rsidR="008276C4">
        <w:t xml:space="preserve">.2 </w:t>
      </w:r>
      <w:r w:rsidR="00514B39" w:rsidRPr="00514B39">
        <w:t>Fee band allocation</w:t>
      </w:r>
      <w:bookmarkEnd w:id="33"/>
    </w:p>
    <w:p w:rsidR="00514B39" w:rsidRDefault="00514B39" w:rsidP="00514B39">
      <w:r>
        <w:t xml:space="preserve">The Regulator considers it prudent to look at the allocation of products across all fee bands to minimise cross subsidisation </w:t>
      </w:r>
      <w:r w:rsidR="00BA27D1">
        <w:t xml:space="preserve">across </w:t>
      </w:r>
      <w:r>
        <w:t xml:space="preserve">product types. </w:t>
      </w:r>
    </w:p>
    <w:p w:rsidR="00514B39" w:rsidRDefault="00514B39" w:rsidP="00514B39"/>
    <w:p w:rsidR="00514B39" w:rsidRDefault="00514B39" w:rsidP="00514B39">
      <w:r>
        <w:t>The proposed new fee bands, represented by coloured boxes</w:t>
      </w:r>
      <w:r w:rsidR="00BD3A9C">
        <w:t>, are outlined below in Figure 2 and Table 6</w:t>
      </w:r>
      <w:r>
        <w:t xml:space="preserve"> below. The revised fee band allocation assumes that the cost of processing an application is the same for all registrations and compliance costs such as market surveillance, engagement and education are similar and shared across product types. The placement of products into specific fee bands is due to their check testing costs and check testing activity based on an intelligence led risk based approach to compliance.</w:t>
      </w:r>
    </w:p>
    <w:p w:rsidR="00514B39" w:rsidRDefault="00514B39" w:rsidP="00514B39"/>
    <w:p w:rsidR="00514B39" w:rsidRDefault="00514B39" w:rsidP="00514B39">
      <w:r>
        <w:t>Products that are proposed to be regulated in coming years are included in the list and have been incorporated into the modelling, this includes LEDs</w:t>
      </w:r>
      <w:r w:rsidR="00D567D6">
        <w:t>, non-integrated commercial luminaires</w:t>
      </w:r>
      <w:r w:rsidR="004A68A0">
        <w:t>,</w:t>
      </w:r>
      <w:r>
        <w:t xml:space="preserve"> pool pumps and non-domestic fans</w:t>
      </w:r>
      <w:r w:rsidR="004A68A0">
        <w:t xml:space="preserve">. </w:t>
      </w:r>
      <w:r>
        <w:t xml:space="preserve">There is uncertainty </w:t>
      </w:r>
      <w:r w:rsidR="004A68A0">
        <w:t>on</w:t>
      </w:r>
      <w:r>
        <w:t xml:space="preserve"> the numbers of LED</w:t>
      </w:r>
      <w:r w:rsidR="004A68A0">
        <w:t xml:space="preserve"> products</w:t>
      </w:r>
      <w:r>
        <w:t xml:space="preserve"> that will be regulated</w:t>
      </w:r>
      <w:r w:rsidR="004A68A0">
        <w:t xml:space="preserve">. The review has used the estimated number of LED and non-integrated commercial luminaire products identified in the Lighting Consultation RIS. </w:t>
      </w:r>
      <w:r>
        <w:t xml:space="preserve"> </w:t>
      </w:r>
      <w:r w:rsidR="004C3A55">
        <w:t xml:space="preserve">Fee band allocation will be confirmed following finalisation of the Decision RIS for each product.  </w:t>
      </w:r>
    </w:p>
    <w:p w:rsidR="004A68A0" w:rsidRDefault="004A68A0" w:rsidP="00514B39"/>
    <w:p w:rsidR="00514B39" w:rsidRDefault="00514B39" w:rsidP="00514B39">
      <w:r>
        <w:t xml:space="preserve">There is some </w:t>
      </w:r>
      <w:r w:rsidR="001E55E2">
        <w:t xml:space="preserve">proposed </w:t>
      </w:r>
      <w:r>
        <w:t xml:space="preserve">movement of products between bands. Lighting products have moved up two bands, while other products such as refrigerated display cabinets have gone down two fee bands. </w:t>
      </w:r>
    </w:p>
    <w:p w:rsidR="00514B39" w:rsidRDefault="00514B39" w:rsidP="00514B39"/>
    <w:p w:rsidR="00C95227" w:rsidRDefault="00514B39" w:rsidP="00514B39">
      <w:r>
        <w:t>With the</w:t>
      </w:r>
      <w:r w:rsidR="00563C71">
        <w:t xml:space="preserve"> proposed</w:t>
      </w:r>
      <w:r>
        <w:t xml:space="preserve"> new allocation, no products fall into fee band four. Lighting products have been incorporated within the one fee band</w:t>
      </w:r>
      <w:r w:rsidR="004A68A0">
        <w:t>. C</w:t>
      </w:r>
      <w:r>
        <w:t xml:space="preserve">heck testing costs and </w:t>
      </w:r>
      <w:r w:rsidR="00063427">
        <w:t xml:space="preserve">compliance </w:t>
      </w:r>
      <w:r>
        <w:t>activity for compact fluorescent, incandescent and linear fluorescent lamps are significantly higher than other products.</w:t>
      </w:r>
      <w:r w:rsidR="004A68A0">
        <w:t xml:space="preserve"> Due to the high number of LEDs expected to be registered, the high cost of compliance is spread across more products, reducing the activity based average check testing costs for lighting overall. </w:t>
      </w:r>
    </w:p>
    <w:p w:rsidR="004A68A0" w:rsidRDefault="004A68A0" w:rsidP="00514B39"/>
    <w:p w:rsidR="00C95227" w:rsidRDefault="00C95227" w:rsidP="00C95227">
      <w:r>
        <w:t xml:space="preserve">In Figure </w:t>
      </w:r>
      <w:r w:rsidR="00335CB8">
        <w:t>2</w:t>
      </w:r>
      <w:r>
        <w:t xml:space="preserve"> below, bl</w:t>
      </w:r>
      <w:r w:rsidRPr="00514B39">
        <w:t>ue represents fee band three, orange fee band two and green fee band one.</w:t>
      </w:r>
    </w:p>
    <w:p w:rsidR="00514B39" w:rsidRDefault="00514B39" w:rsidP="00514B39"/>
    <w:p w:rsidR="00514B39" w:rsidRDefault="00514B39" w:rsidP="00514B39">
      <w:pPr>
        <w:rPr>
          <w:i/>
        </w:rPr>
      </w:pPr>
      <w:r>
        <w:rPr>
          <w:i/>
        </w:rPr>
        <w:t xml:space="preserve">Figure </w:t>
      </w:r>
      <w:r w:rsidR="00335CB8">
        <w:rPr>
          <w:i/>
        </w:rPr>
        <w:t>2</w:t>
      </w:r>
      <w:r>
        <w:rPr>
          <w:i/>
        </w:rPr>
        <w:t>:</w:t>
      </w:r>
      <w:r w:rsidRPr="00514B39">
        <w:rPr>
          <w:i/>
        </w:rPr>
        <w:t xml:space="preserve"> Proposed new GEMS fee bands - based on an activity based check te</w:t>
      </w:r>
      <w:r>
        <w:rPr>
          <w:i/>
        </w:rPr>
        <w:t>st costs per year</w:t>
      </w:r>
    </w:p>
    <w:p w:rsidR="004163B1" w:rsidRDefault="004163B1" w:rsidP="00514B39">
      <w:pPr>
        <w:rPr>
          <w:i/>
        </w:rPr>
      </w:pPr>
    </w:p>
    <w:p w:rsidR="004163B1" w:rsidRDefault="004163B1" w:rsidP="00514B39">
      <w:pPr>
        <w:rPr>
          <w:i/>
        </w:rPr>
      </w:pPr>
    </w:p>
    <w:p w:rsidR="004163B1" w:rsidRDefault="004163B1" w:rsidP="00514B39">
      <w:pPr>
        <w:rPr>
          <w:i/>
        </w:rPr>
      </w:pPr>
      <w:r>
        <w:rPr>
          <w:noProof/>
          <w:lang w:eastAsia="en-AU"/>
        </w:rPr>
        <w:drawing>
          <wp:inline distT="0" distB="0" distL="0" distR="0" wp14:anchorId="5EC75896" wp14:editId="209E5939">
            <wp:extent cx="5617210" cy="3476625"/>
            <wp:effectExtent l="0" t="0" r="2540" b="9525"/>
            <wp:docPr id="5" name="Chart 5" descr="Chart detailing the Activity based average check testing cost per year between $0 - $7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63B1" w:rsidRDefault="004163B1" w:rsidP="00514B39">
      <w:pPr>
        <w:rPr>
          <w:i/>
        </w:rPr>
      </w:pPr>
    </w:p>
    <w:p w:rsidR="004163B1" w:rsidRDefault="004163B1" w:rsidP="00514B39">
      <w:pPr>
        <w:rPr>
          <w:i/>
        </w:rPr>
      </w:pPr>
    </w:p>
    <w:p w:rsidR="00514B39" w:rsidRDefault="00514B39" w:rsidP="00514B39"/>
    <w:p w:rsidR="004163B1" w:rsidRDefault="004163B1"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305D66" w:rsidRDefault="00305D66" w:rsidP="00514B39"/>
    <w:p w:rsidR="00514B39" w:rsidRDefault="00514B39" w:rsidP="00514B39"/>
    <w:p w:rsidR="00514B39" w:rsidRDefault="00C95227" w:rsidP="00514B39">
      <w:pPr>
        <w:rPr>
          <w:i/>
        </w:rPr>
      </w:pPr>
      <w:r>
        <w:rPr>
          <w:i/>
        </w:rPr>
        <w:t>T</w:t>
      </w:r>
      <w:r w:rsidR="00514B39">
        <w:rPr>
          <w:i/>
        </w:rPr>
        <w:t xml:space="preserve">able </w:t>
      </w:r>
      <w:r w:rsidR="00335CB8">
        <w:rPr>
          <w:i/>
        </w:rPr>
        <w:t>6</w:t>
      </w:r>
      <w:r w:rsidR="00514B39">
        <w:rPr>
          <w:i/>
        </w:rPr>
        <w:t>:</w:t>
      </w:r>
      <w:r w:rsidR="00514B39" w:rsidRPr="00514B39">
        <w:rPr>
          <w:i/>
        </w:rPr>
        <w:t xml:space="preserve"> Proposed new GEMS fee bands - based on activity </w:t>
      </w:r>
      <w:r w:rsidR="00514B39">
        <w:rPr>
          <w:i/>
        </w:rPr>
        <w:t>based check test costs per year</w:t>
      </w:r>
    </w:p>
    <w:tbl>
      <w:tblPr>
        <w:tblStyle w:val="TableGrid"/>
        <w:tblpPr w:leftFromText="180" w:rightFromText="180" w:vertAnchor="text" w:horzAnchor="margin" w:tblpY="168"/>
        <w:tblW w:w="9351" w:type="dxa"/>
        <w:tblLook w:val="04A0" w:firstRow="1" w:lastRow="0" w:firstColumn="1" w:lastColumn="0" w:noHBand="0" w:noVBand="1"/>
      </w:tblPr>
      <w:tblGrid>
        <w:gridCol w:w="1696"/>
        <w:gridCol w:w="7655"/>
      </w:tblGrid>
      <w:tr w:rsidR="0063460C" w:rsidRPr="0063460C" w:rsidTr="0063460C">
        <w:tc>
          <w:tcPr>
            <w:tcW w:w="1696" w:type="dxa"/>
            <w:shd w:val="clear" w:color="auto" w:fill="98C49C"/>
          </w:tcPr>
          <w:p w:rsidR="0063460C" w:rsidRPr="0063460C" w:rsidRDefault="0063460C" w:rsidP="0063460C">
            <w:pPr>
              <w:spacing w:before="120" w:after="120"/>
              <w:rPr>
                <w:b/>
                <w:bCs/>
              </w:rPr>
            </w:pPr>
            <w:r w:rsidRPr="0063460C">
              <w:rPr>
                <w:b/>
                <w:bCs/>
              </w:rPr>
              <w:t xml:space="preserve">Fee band </w:t>
            </w:r>
          </w:p>
        </w:tc>
        <w:tc>
          <w:tcPr>
            <w:tcW w:w="7655" w:type="dxa"/>
            <w:shd w:val="clear" w:color="auto" w:fill="98C49C"/>
          </w:tcPr>
          <w:p w:rsidR="0063460C" w:rsidRPr="0063460C" w:rsidRDefault="0063460C" w:rsidP="0063460C">
            <w:pPr>
              <w:spacing w:before="120" w:after="120"/>
              <w:ind w:left="720"/>
              <w:rPr>
                <w:b/>
                <w:bCs/>
              </w:rPr>
            </w:pPr>
            <w:r w:rsidRPr="0063460C">
              <w:rPr>
                <w:b/>
                <w:bCs/>
              </w:rPr>
              <w:t xml:space="preserve">Products </w:t>
            </w:r>
          </w:p>
        </w:tc>
      </w:tr>
      <w:tr w:rsidR="0063460C" w:rsidRPr="0063460C" w:rsidTr="0063460C">
        <w:trPr>
          <w:trHeight w:val="2253"/>
        </w:trPr>
        <w:tc>
          <w:tcPr>
            <w:tcW w:w="1696" w:type="dxa"/>
          </w:tcPr>
          <w:p w:rsidR="0063460C" w:rsidRPr="0063460C" w:rsidRDefault="0063460C" w:rsidP="0063460C">
            <w:pPr>
              <w:spacing w:before="120"/>
              <w:rPr>
                <w:bCs/>
              </w:rPr>
            </w:pPr>
            <w:r w:rsidRPr="0063460C">
              <w:rPr>
                <w:bCs/>
              </w:rPr>
              <w:t>Band 1</w:t>
            </w:r>
          </w:p>
          <w:p w:rsidR="0063460C" w:rsidRPr="0063460C" w:rsidRDefault="0063460C" w:rsidP="0063460C">
            <w:pPr>
              <w:rPr>
                <w:bCs/>
              </w:rPr>
            </w:pPr>
          </w:p>
        </w:tc>
        <w:tc>
          <w:tcPr>
            <w:tcW w:w="7655" w:type="dxa"/>
          </w:tcPr>
          <w:p w:rsidR="0063460C" w:rsidRPr="0063460C" w:rsidRDefault="0063460C" w:rsidP="0063460C">
            <w:pPr>
              <w:spacing w:before="120"/>
              <w:ind w:left="720"/>
              <w:rPr>
                <w:bCs/>
              </w:rPr>
            </w:pPr>
            <w:r w:rsidRPr="0063460C">
              <w:rPr>
                <w:bCs/>
              </w:rPr>
              <w:t>Computers</w:t>
            </w:r>
          </w:p>
          <w:p w:rsidR="0063460C" w:rsidRPr="0063460C" w:rsidRDefault="0063460C" w:rsidP="0063460C">
            <w:pPr>
              <w:ind w:left="720"/>
              <w:rPr>
                <w:bCs/>
              </w:rPr>
            </w:pPr>
            <w:r w:rsidRPr="0063460C">
              <w:rPr>
                <w:bCs/>
              </w:rPr>
              <w:t>Computer monitors</w:t>
            </w:r>
          </w:p>
          <w:p w:rsidR="0063460C" w:rsidRPr="0063460C" w:rsidRDefault="0063460C" w:rsidP="0063460C">
            <w:pPr>
              <w:ind w:left="720"/>
              <w:rPr>
                <w:bCs/>
              </w:rPr>
            </w:pPr>
            <w:r w:rsidRPr="0063460C">
              <w:rPr>
                <w:bCs/>
              </w:rPr>
              <w:t>Non-domestic fans</w:t>
            </w:r>
          </w:p>
          <w:p w:rsidR="0063460C" w:rsidRPr="0063460C" w:rsidRDefault="0063460C" w:rsidP="0063460C">
            <w:pPr>
              <w:ind w:left="720"/>
              <w:rPr>
                <w:bCs/>
              </w:rPr>
            </w:pPr>
            <w:r w:rsidRPr="0063460C">
              <w:rPr>
                <w:bCs/>
              </w:rPr>
              <w:t xml:space="preserve">Televisions </w:t>
            </w:r>
          </w:p>
          <w:p w:rsidR="0063460C" w:rsidRPr="0063460C" w:rsidRDefault="0063460C" w:rsidP="0063460C">
            <w:pPr>
              <w:ind w:left="720"/>
              <w:rPr>
                <w:bCs/>
              </w:rPr>
            </w:pPr>
            <w:r w:rsidRPr="0063460C">
              <w:rPr>
                <w:bCs/>
              </w:rPr>
              <w:t xml:space="preserve">External power supplies </w:t>
            </w:r>
          </w:p>
          <w:p w:rsidR="0063460C" w:rsidRPr="0063460C" w:rsidRDefault="0063460C" w:rsidP="0063460C">
            <w:pPr>
              <w:ind w:left="720"/>
              <w:rPr>
                <w:bCs/>
              </w:rPr>
            </w:pPr>
            <w:r w:rsidRPr="0063460C">
              <w:rPr>
                <w:bCs/>
              </w:rPr>
              <w:t xml:space="preserve">Distribution transformers </w:t>
            </w:r>
          </w:p>
          <w:p w:rsidR="0063460C" w:rsidRPr="0063460C" w:rsidRDefault="0063460C" w:rsidP="0063460C">
            <w:pPr>
              <w:ind w:left="720"/>
              <w:rPr>
                <w:bCs/>
              </w:rPr>
            </w:pPr>
            <w:r w:rsidRPr="0063460C">
              <w:rPr>
                <w:bCs/>
              </w:rPr>
              <w:t>Set Top Boxes</w:t>
            </w:r>
          </w:p>
        </w:tc>
      </w:tr>
      <w:tr w:rsidR="0063460C" w:rsidRPr="0063460C" w:rsidTr="0063460C">
        <w:tc>
          <w:tcPr>
            <w:tcW w:w="1696" w:type="dxa"/>
            <w:shd w:val="clear" w:color="auto" w:fill="98C49C"/>
          </w:tcPr>
          <w:p w:rsidR="0063460C" w:rsidRPr="0063460C" w:rsidRDefault="0063460C" w:rsidP="0063460C">
            <w:pPr>
              <w:spacing w:before="120"/>
              <w:rPr>
                <w:bCs/>
              </w:rPr>
            </w:pPr>
            <w:r w:rsidRPr="0063460C">
              <w:rPr>
                <w:bCs/>
              </w:rPr>
              <w:t>Band 2</w:t>
            </w:r>
          </w:p>
          <w:p w:rsidR="0063460C" w:rsidRPr="0063460C" w:rsidRDefault="0063460C" w:rsidP="0063460C">
            <w:pPr>
              <w:rPr>
                <w:bCs/>
              </w:rPr>
            </w:pPr>
          </w:p>
        </w:tc>
        <w:tc>
          <w:tcPr>
            <w:tcW w:w="7655" w:type="dxa"/>
            <w:shd w:val="clear" w:color="auto" w:fill="98C49C"/>
          </w:tcPr>
          <w:p w:rsidR="0063460C" w:rsidRPr="0063460C" w:rsidRDefault="0063460C" w:rsidP="0063460C">
            <w:pPr>
              <w:spacing w:before="120"/>
              <w:ind w:left="720"/>
              <w:rPr>
                <w:bCs/>
              </w:rPr>
            </w:pPr>
            <w:r w:rsidRPr="0063460C">
              <w:rPr>
                <w:bCs/>
              </w:rPr>
              <w:t>Clothes washers</w:t>
            </w:r>
          </w:p>
          <w:p w:rsidR="0063460C" w:rsidRPr="0063460C" w:rsidRDefault="0063460C" w:rsidP="0063460C">
            <w:pPr>
              <w:ind w:left="720"/>
              <w:rPr>
                <w:bCs/>
              </w:rPr>
            </w:pPr>
            <w:r w:rsidRPr="0063460C">
              <w:rPr>
                <w:bCs/>
              </w:rPr>
              <w:t xml:space="preserve">Pool pumps </w:t>
            </w:r>
          </w:p>
          <w:p w:rsidR="0063460C" w:rsidRPr="0063460C" w:rsidRDefault="0063460C" w:rsidP="0063460C">
            <w:pPr>
              <w:ind w:left="720"/>
              <w:rPr>
                <w:bCs/>
              </w:rPr>
            </w:pPr>
            <w:r w:rsidRPr="0063460C">
              <w:rPr>
                <w:bCs/>
              </w:rPr>
              <w:t>Refrigerators and freezers</w:t>
            </w:r>
          </w:p>
          <w:p w:rsidR="0063460C" w:rsidRPr="0063460C" w:rsidRDefault="0063460C" w:rsidP="0063460C">
            <w:pPr>
              <w:ind w:left="720"/>
              <w:rPr>
                <w:bCs/>
              </w:rPr>
            </w:pPr>
            <w:r w:rsidRPr="0063460C">
              <w:rPr>
                <w:bCs/>
              </w:rPr>
              <w:t xml:space="preserve">Electric motors </w:t>
            </w:r>
          </w:p>
          <w:p w:rsidR="0063460C" w:rsidRPr="0063460C" w:rsidRDefault="0063460C" w:rsidP="0063460C">
            <w:pPr>
              <w:ind w:left="720"/>
              <w:rPr>
                <w:bCs/>
              </w:rPr>
            </w:pPr>
            <w:r w:rsidRPr="0063460C">
              <w:rPr>
                <w:bCs/>
              </w:rPr>
              <w:t xml:space="preserve">Air conditioners </w:t>
            </w:r>
          </w:p>
          <w:p w:rsidR="0063460C" w:rsidRPr="0063460C" w:rsidRDefault="0063460C" w:rsidP="0063460C">
            <w:pPr>
              <w:ind w:left="720"/>
              <w:rPr>
                <w:bCs/>
              </w:rPr>
            </w:pPr>
            <w:r w:rsidRPr="0063460C">
              <w:rPr>
                <w:bCs/>
              </w:rPr>
              <w:t xml:space="preserve">Dishwashers </w:t>
            </w:r>
          </w:p>
          <w:p w:rsidR="0063460C" w:rsidRPr="0063460C" w:rsidRDefault="0063460C" w:rsidP="0063460C">
            <w:pPr>
              <w:ind w:left="720"/>
              <w:rPr>
                <w:bCs/>
              </w:rPr>
            </w:pPr>
            <w:r w:rsidRPr="0063460C">
              <w:rPr>
                <w:bCs/>
              </w:rPr>
              <w:t xml:space="preserve">Refrigerated display cabinets. </w:t>
            </w:r>
          </w:p>
          <w:p w:rsidR="0063460C" w:rsidRPr="0063460C" w:rsidRDefault="0063460C" w:rsidP="0063460C">
            <w:pPr>
              <w:ind w:left="720"/>
              <w:rPr>
                <w:bCs/>
              </w:rPr>
            </w:pPr>
            <w:r w:rsidRPr="0063460C">
              <w:rPr>
                <w:bCs/>
              </w:rPr>
              <w:t xml:space="preserve">Transformers and converters for halogens </w:t>
            </w:r>
          </w:p>
          <w:p w:rsidR="0063460C" w:rsidRPr="0063460C" w:rsidRDefault="0063460C" w:rsidP="0063460C">
            <w:pPr>
              <w:ind w:left="720"/>
              <w:rPr>
                <w:bCs/>
              </w:rPr>
            </w:pPr>
            <w:r w:rsidRPr="0063460C">
              <w:rPr>
                <w:bCs/>
              </w:rPr>
              <w:t>Chillers</w:t>
            </w:r>
          </w:p>
        </w:tc>
      </w:tr>
      <w:tr w:rsidR="0063460C" w:rsidRPr="0063460C" w:rsidTr="0063460C">
        <w:tc>
          <w:tcPr>
            <w:tcW w:w="1696" w:type="dxa"/>
          </w:tcPr>
          <w:p w:rsidR="0063460C" w:rsidRPr="0063460C" w:rsidRDefault="0063460C" w:rsidP="0063460C">
            <w:pPr>
              <w:spacing w:before="120"/>
              <w:rPr>
                <w:bCs/>
              </w:rPr>
            </w:pPr>
            <w:r w:rsidRPr="0063460C">
              <w:rPr>
                <w:bCs/>
              </w:rPr>
              <w:t>Band 3</w:t>
            </w:r>
          </w:p>
          <w:p w:rsidR="0063460C" w:rsidRPr="0063460C" w:rsidRDefault="0063460C" w:rsidP="0063460C">
            <w:pPr>
              <w:rPr>
                <w:bCs/>
              </w:rPr>
            </w:pPr>
          </w:p>
        </w:tc>
        <w:tc>
          <w:tcPr>
            <w:tcW w:w="7655" w:type="dxa"/>
          </w:tcPr>
          <w:p w:rsidR="0063460C" w:rsidRPr="0063460C" w:rsidRDefault="0063460C" w:rsidP="0063460C">
            <w:pPr>
              <w:spacing w:before="120"/>
              <w:ind w:left="720"/>
              <w:rPr>
                <w:bCs/>
              </w:rPr>
            </w:pPr>
            <w:r w:rsidRPr="0063460C">
              <w:rPr>
                <w:bCs/>
              </w:rPr>
              <w:t>Gas Water Heaters</w:t>
            </w:r>
          </w:p>
          <w:p w:rsidR="0063460C" w:rsidRPr="0063460C" w:rsidRDefault="0063460C" w:rsidP="0063460C">
            <w:pPr>
              <w:ind w:left="720"/>
              <w:rPr>
                <w:bCs/>
              </w:rPr>
            </w:pPr>
            <w:r w:rsidRPr="0063460C">
              <w:rPr>
                <w:bCs/>
              </w:rPr>
              <w:t>Electric water heaters</w:t>
            </w:r>
          </w:p>
          <w:p w:rsidR="0063460C" w:rsidRPr="0063460C" w:rsidRDefault="0063460C" w:rsidP="0063460C">
            <w:pPr>
              <w:ind w:left="720"/>
              <w:rPr>
                <w:bCs/>
              </w:rPr>
            </w:pPr>
            <w:r w:rsidRPr="0063460C">
              <w:rPr>
                <w:bCs/>
              </w:rPr>
              <w:t xml:space="preserve">Ballasts for fluorescent lamps </w:t>
            </w:r>
          </w:p>
          <w:p w:rsidR="0063460C" w:rsidRPr="0063460C" w:rsidRDefault="0063460C" w:rsidP="0063460C">
            <w:pPr>
              <w:ind w:left="720"/>
              <w:rPr>
                <w:bCs/>
              </w:rPr>
            </w:pPr>
            <w:r w:rsidRPr="0063460C">
              <w:rPr>
                <w:bCs/>
              </w:rPr>
              <w:t xml:space="preserve">Close control air conditioners </w:t>
            </w:r>
          </w:p>
          <w:p w:rsidR="0063460C" w:rsidRPr="0063460C" w:rsidRDefault="0063460C" w:rsidP="0063460C">
            <w:pPr>
              <w:ind w:left="720"/>
              <w:rPr>
                <w:bCs/>
              </w:rPr>
            </w:pPr>
            <w:r w:rsidRPr="0063460C">
              <w:rPr>
                <w:bCs/>
              </w:rPr>
              <w:t>Clothes dryers</w:t>
            </w:r>
          </w:p>
          <w:p w:rsidR="0063460C" w:rsidRPr="0063460C" w:rsidRDefault="0063460C" w:rsidP="0063460C">
            <w:pPr>
              <w:ind w:left="720"/>
              <w:rPr>
                <w:bCs/>
              </w:rPr>
            </w:pPr>
            <w:r w:rsidRPr="0063460C">
              <w:rPr>
                <w:bCs/>
              </w:rPr>
              <w:t xml:space="preserve">All lighting </w:t>
            </w:r>
          </w:p>
        </w:tc>
      </w:tr>
      <w:tr w:rsidR="0063460C" w:rsidRPr="0063460C" w:rsidTr="0063460C">
        <w:tc>
          <w:tcPr>
            <w:tcW w:w="1696" w:type="dxa"/>
            <w:shd w:val="clear" w:color="auto" w:fill="98C49C"/>
          </w:tcPr>
          <w:p w:rsidR="0063460C" w:rsidRPr="0063460C" w:rsidRDefault="0063460C" w:rsidP="0063460C">
            <w:pPr>
              <w:spacing w:before="120"/>
              <w:rPr>
                <w:bCs/>
              </w:rPr>
            </w:pPr>
            <w:r w:rsidRPr="0063460C">
              <w:rPr>
                <w:bCs/>
              </w:rPr>
              <w:t>Band 4</w:t>
            </w:r>
          </w:p>
          <w:p w:rsidR="0063460C" w:rsidRPr="0063460C" w:rsidRDefault="0063460C" w:rsidP="0063460C">
            <w:pPr>
              <w:rPr>
                <w:bCs/>
              </w:rPr>
            </w:pPr>
          </w:p>
        </w:tc>
        <w:tc>
          <w:tcPr>
            <w:tcW w:w="7655" w:type="dxa"/>
            <w:shd w:val="clear" w:color="auto" w:fill="98C49C"/>
          </w:tcPr>
          <w:p w:rsidR="0063460C" w:rsidRPr="0063460C" w:rsidRDefault="0063460C" w:rsidP="0063460C">
            <w:pPr>
              <w:spacing w:before="120"/>
            </w:pPr>
            <w:r w:rsidRPr="0063460C">
              <w:t xml:space="preserve">No products at present proposed </w:t>
            </w:r>
          </w:p>
        </w:tc>
      </w:tr>
    </w:tbl>
    <w:p w:rsidR="00514B39" w:rsidRPr="00514B39" w:rsidRDefault="00514B39" w:rsidP="00514B39"/>
    <w:p w:rsidR="0063460C" w:rsidRDefault="0063460C" w:rsidP="0063460C">
      <w:r>
        <w:t xml:space="preserve">The Regulator is currently considering three methods to reach full cost-recovery by 2020-2021. They all involve an increase in fees, but at different rates over the four year period. </w:t>
      </w:r>
    </w:p>
    <w:p w:rsidR="00680326" w:rsidRDefault="00680326" w:rsidP="0063460C"/>
    <w:p w:rsidR="005922D2" w:rsidRDefault="00F6749E" w:rsidP="005B71C1">
      <w:pPr>
        <w:pStyle w:val="Heading2"/>
      </w:pPr>
      <w:bookmarkStart w:id="34" w:name="_Toc471476062"/>
      <w:r>
        <w:t>5</w:t>
      </w:r>
      <w:r w:rsidR="00C42E00">
        <w:t xml:space="preserve">.3 </w:t>
      </w:r>
      <w:r w:rsidR="00680326" w:rsidRPr="00680326">
        <w:t>Fee increases to reach full cost recovery</w:t>
      </w:r>
      <w:bookmarkEnd w:id="34"/>
    </w:p>
    <w:p w:rsidR="00680326" w:rsidRDefault="00680326" w:rsidP="00680326">
      <w:r>
        <w:t>The options outlined below all show a movement to full cost recovery in 2020-21, bu</w:t>
      </w:r>
      <w:r w:rsidR="00C95227">
        <w:t xml:space="preserve">t in </w:t>
      </w:r>
      <w:r w:rsidR="00845304">
        <w:t xml:space="preserve">two </w:t>
      </w:r>
      <w:r w:rsidR="00C95227">
        <w:t>different ways. The R</w:t>
      </w:r>
      <w:r>
        <w:t xml:space="preserve">egulator recognises that there is some uncertainty in the projections in forward years, such as product registration numbers and when new products will be regulated. </w:t>
      </w:r>
    </w:p>
    <w:p w:rsidR="00680326" w:rsidRDefault="00680326" w:rsidP="00680326"/>
    <w:p w:rsidR="00680326" w:rsidRDefault="00680326" w:rsidP="00680326">
      <w:r>
        <w:t>The Government’s Cost Recovery Guidelines stipulate that cost recovered activities must have alignment between expenses and revenue over a reasonable period such as the business cycle of the activity. With all three options, if revenue exceeds costs over a business cycle then the government may suspend a rise in fees until revenue and costs balance out.</w:t>
      </w:r>
    </w:p>
    <w:p w:rsidR="00680326" w:rsidRDefault="00680326" w:rsidP="00680326"/>
    <w:p w:rsidR="00680326" w:rsidRDefault="00680326" w:rsidP="00680326">
      <w:r>
        <w:t>In 2018-19 a large number of registrations are expected as new products are regulated and there is a commensurate increase in fee revenue. It is possible that the cost recovery rate will be over 100 per</w:t>
      </w:r>
      <w:r w:rsidR="00EC515B">
        <w:t xml:space="preserve"> </w:t>
      </w:r>
      <w:r>
        <w:t>cent in 2018-19, but this is expected to balance out across the business cycle.</w:t>
      </w:r>
    </w:p>
    <w:p w:rsidR="00680326" w:rsidRDefault="00680326" w:rsidP="00680326"/>
    <w:p w:rsidR="00680326" w:rsidRDefault="00680326" w:rsidP="00F6749E">
      <w:pPr>
        <w:pStyle w:val="Heading3"/>
      </w:pPr>
      <w:bookmarkStart w:id="35" w:name="_Toc471476063"/>
      <w:r w:rsidRPr="00680326">
        <w:t xml:space="preserve">Option 1. Increase fees initially and then by </w:t>
      </w:r>
      <w:r w:rsidR="00514E9F">
        <w:t>seven</w:t>
      </w:r>
      <w:r w:rsidRPr="00680326">
        <w:t xml:space="preserve"> per</w:t>
      </w:r>
      <w:r w:rsidR="00EC515B">
        <w:t xml:space="preserve"> </w:t>
      </w:r>
      <w:r w:rsidRPr="00680326">
        <w:t>cent per year and reall</w:t>
      </w:r>
      <w:r>
        <w:t>ocate products to new fee bands</w:t>
      </w:r>
      <w:bookmarkEnd w:id="35"/>
    </w:p>
    <w:p w:rsidR="00680326" w:rsidRDefault="00680326" w:rsidP="00680326">
      <w:r w:rsidRPr="00680326">
        <w:t xml:space="preserve">The current structure of the model is maintained. To minimise cross-subsidisation products are reallocated to fee bands according to their check testing costs and proposed check testing activity over a seven year cycle. There is an initial increase to registration fees and to continue with the move to full cost recovery fees will be increased by </w:t>
      </w:r>
      <w:r w:rsidR="00514E9F">
        <w:t xml:space="preserve">seven </w:t>
      </w:r>
      <w:r w:rsidRPr="00680326">
        <w:t xml:space="preserve">per cent each year </w:t>
      </w:r>
      <w:r w:rsidRPr="008B22AD">
        <w:t xml:space="preserve">for three years. </w:t>
      </w:r>
      <w:r w:rsidR="00155652" w:rsidRPr="008B22AD">
        <w:t xml:space="preserve">The initial increase </w:t>
      </w:r>
      <w:r w:rsidR="00BA27D1" w:rsidRPr="008B22AD">
        <w:t xml:space="preserve">is to recalibrate the bands according to compliance activity costs </w:t>
      </w:r>
      <w:r w:rsidR="00155652" w:rsidRPr="008B22AD">
        <w:t>in forward years</w:t>
      </w:r>
      <w:r w:rsidR="00155652">
        <w:t xml:space="preserve">. </w:t>
      </w:r>
      <w:r w:rsidRPr="00680326">
        <w:t xml:space="preserve">This would be expected to start on 1 July 2017. This option provides a steady and even increase to the fees. The projections and new fee structure are outlined in Table </w:t>
      </w:r>
      <w:r w:rsidR="00BD3A9C">
        <w:t>7</w:t>
      </w:r>
      <w:r w:rsidRPr="00680326">
        <w:t xml:space="preserve"> (a) and (b).</w:t>
      </w:r>
    </w:p>
    <w:p w:rsidR="00680326" w:rsidRDefault="00680326" w:rsidP="00680326">
      <w:pPr>
        <w:spacing w:after="120"/>
        <w:rPr>
          <w:i/>
        </w:rPr>
      </w:pPr>
      <w:r w:rsidRPr="00680326">
        <w:rPr>
          <w:i/>
        </w:rPr>
        <w:t xml:space="preserve">Table </w:t>
      </w:r>
      <w:r w:rsidR="00335CB8">
        <w:rPr>
          <w:i/>
        </w:rPr>
        <w:t>7</w:t>
      </w:r>
      <w:r w:rsidRPr="00680326">
        <w:rPr>
          <w:i/>
        </w:rPr>
        <w:t>(a)</w:t>
      </w:r>
      <w:r w:rsidR="00335CB8">
        <w:rPr>
          <w:i/>
        </w:rPr>
        <w:t xml:space="preserve">: </w:t>
      </w:r>
      <w:r w:rsidRPr="00680326">
        <w:rPr>
          <w:i/>
        </w:rPr>
        <w:t>GEMS Projections with a fee increase and reallocation of products to new fee bands</w:t>
      </w:r>
      <w:r w:rsidR="00C95227">
        <w:rPr>
          <w:i/>
        </w:rPr>
        <w:t>; and n</w:t>
      </w:r>
      <w:r w:rsidRPr="00680326">
        <w:rPr>
          <w:i/>
        </w:rPr>
        <w:t xml:space="preserve">ew products regulated from 2018-19 as per </w:t>
      </w:r>
      <w:r w:rsidR="00C95227">
        <w:rPr>
          <w:i/>
        </w:rPr>
        <w:t xml:space="preserve">the </w:t>
      </w:r>
      <w:r w:rsidRPr="00680326">
        <w:rPr>
          <w:i/>
        </w:rPr>
        <w:t xml:space="preserve">E3 </w:t>
      </w:r>
      <w:r w:rsidR="00C95227">
        <w:rPr>
          <w:i/>
        </w:rPr>
        <w:t>P</w:t>
      </w:r>
      <w:r w:rsidRPr="00680326">
        <w:rPr>
          <w:i/>
        </w:rPr>
        <w:t xml:space="preserve">rioritisation </w:t>
      </w:r>
      <w:r w:rsidR="00C95227">
        <w:rPr>
          <w:i/>
        </w:rPr>
        <w:t>P</w:t>
      </w:r>
      <w:r w:rsidRPr="00680326">
        <w:rPr>
          <w:i/>
        </w:rPr>
        <w:t>lan</w:t>
      </w:r>
    </w:p>
    <w:tbl>
      <w:tblPr>
        <w:tblStyle w:val="TableGrid"/>
        <w:tblW w:w="9066" w:type="dxa"/>
        <w:tblLayout w:type="fixed"/>
        <w:tblLook w:val="04A0" w:firstRow="1" w:lastRow="0" w:firstColumn="1" w:lastColumn="0" w:noHBand="0" w:noVBand="1"/>
      </w:tblPr>
      <w:tblGrid>
        <w:gridCol w:w="2547"/>
        <w:gridCol w:w="1559"/>
        <w:gridCol w:w="1276"/>
        <w:gridCol w:w="1276"/>
        <w:gridCol w:w="1275"/>
        <w:gridCol w:w="1133"/>
      </w:tblGrid>
      <w:tr w:rsidR="00680326" w:rsidRPr="00680326" w:rsidTr="00FF1192">
        <w:trPr>
          <w:trHeight w:val="70"/>
        </w:trPr>
        <w:tc>
          <w:tcPr>
            <w:tcW w:w="9066" w:type="dxa"/>
            <w:gridSpan w:val="6"/>
            <w:shd w:val="clear" w:color="auto" w:fill="98C49C"/>
          </w:tcPr>
          <w:p w:rsidR="00680326" w:rsidRPr="00680326" w:rsidRDefault="00680326" w:rsidP="00FF1192">
            <w:pPr>
              <w:spacing w:before="120" w:after="120"/>
              <w:jc w:val="center"/>
              <w:rPr>
                <w:b/>
              </w:rPr>
            </w:pPr>
            <w:r w:rsidRPr="00680326">
              <w:rPr>
                <w:b/>
              </w:rPr>
              <w:t>Projections</w:t>
            </w:r>
          </w:p>
        </w:tc>
      </w:tr>
      <w:tr w:rsidR="00680326" w:rsidRPr="00680326" w:rsidTr="00FF1192">
        <w:trPr>
          <w:trHeight w:val="315"/>
        </w:trPr>
        <w:tc>
          <w:tcPr>
            <w:tcW w:w="2547" w:type="dxa"/>
            <w:shd w:val="clear" w:color="auto" w:fill="98C49C"/>
          </w:tcPr>
          <w:p w:rsidR="00680326" w:rsidRPr="00680326" w:rsidRDefault="00680326" w:rsidP="00FF1192">
            <w:pPr>
              <w:spacing w:before="120"/>
              <w:rPr>
                <w:b/>
              </w:rPr>
            </w:pPr>
            <w:r w:rsidRPr="00680326">
              <w:rPr>
                <w:b/>
              </w:rPr>
              <w:t>Year</w:t>
            </w:r>
          </w:p>
        </w:tc>
        <w:tc>
          <w:tcPr>
            <w:tcW w:w="1559" w:type="dxa"/>
            <w:shd w:val="clear" w:color="auto" w:fill="98C49C"/>
            <w:noWrap/>
            <w:hideMark/>
          </w:tcPr>
          <w:p w:rsidR="00680326" w:rsidRPr="00680326" w:rsidRDefault="00680326" w:rsidP="00FF1192">
            <w:pPr>
              <w:spacing w:before="120"/>
              <w:jc w:val="center"/>
              <w:rPr>
                <w:b/>
              </w:rPr>
            </w:pPr>
            <w:r w:rsidRPr="00680326">
              <w:rPr>
                <w:b/>
              </w:rPr>
              <w:t>2016-17</w:t>
            </w:r>
          </w:p>
        </w:tc>
        <w:tc>
          <w:tcPr>
            <w:tcW w:w="1276" w:type="dxa"/>
            <w:shd w:val="clear" w:color="auto" w:fill="98C49C"/>
            <w:noWrap/>
            <w:hideMark/>
          </w:tcPr>
          <w:p w:rsidR="00680326" w:rsidRPr="00680326" w:rsidRDefault="00680326" w:rsidP="00FF1192">
            <w:pPr>
              <w:spacing w:before="120"/>
              <w:jc w:val="center"/>
              <w:rPr>
                <w:b/>
              </w:rPr>
            </w:pPr>
            <w:r w:rsidRPr="00680326">
              <w:rPr>
                <w:b/>
              </w:rPr>
              <w:t>2017-18</w:t>
            </w:r>
          </w:p>
        </w:tc>
        <w:tc>
          <w:tcPr>
            <w:tcW w:w="1276" w:type="dxa"/>
            <w:shd w:val="clear" w:color="auto" w:fill="98C49C"/>
            <w:noWrap/>
            <w:hideMark/>
          </w:tcPr>
          <w:p w:rsidR="00680326" w:rsidRPr="00680326" w:rsidRDefault="00680326" w:rsidP="00FF1192">
            <w:pPr>
              <w:spacing w:before="120"/>
              <w:jc w:val="center"/>
              <w:rPr>
                <w:b/>
              </w:rPr>
            </w:pPr>
            <w:r w:rsidRPr="00680326">
              <w:rPr>
                <w:b/>
              </w:rPr>
              <w:t>2018-19</w:t>
            </w:r>
          </w:p>
        </w:tc>
        <w:tc>
          <w:tcPr>
            <w:tcW w:w="1275" w:type="dxa"/>
            <w:shd w:val="clear" w:color="auto" w:fill="98C49C"/>
            <w:noWrap/>
            <w:hideMark/>
          </w:tcPr>
          <w:p w:rsidR="00680326" w:rsidRPr="00680326" w:rsidRDefault="00680326" w:rsidP="00FF1192">
            <w:pPr>
              <w:spacing w:before="120"/>
              <w:jc w:val="center"/>
              <w:rPr>
                <w:b/>
              </w:rPr>
            </w:pPr>
            <w:r w:rsidRPr="00680326">
              <w:rPr>
                <w:b/>
              </w:rPr>
              <w:t>2019-20</w:t>
            </w:r>
          </w:p>
        </w:tc>
        <w:tc>
          <w:tcPr>
            <w:tcW w:w="1133" w:type="dxa"/>
            <w:shd w:val="clear" w:color="auto" w:fill="98C49C"/>
            <w:noWrap/>
            <w:hideMark/>
          </w:tcPr>
          <w:p w:rsidR="00680326" w:rsidRPr="00680326" w:rsidRDefault="00680326" w:rsidP="00FF1192">
            <w:pPr>
              <w:spacing w:before="120"/>
              <w:jc w:val="center"/>
              <w:rPr>
                <w:b/>
              </w:rPr>
            </w:pPr>
            <w:r w:rsidRPr="00680326">
              <w:rPr>
                <w:b/>
              </w:rPr>
              <w:t>2020-21</w:t>
            </w:r>
          </w:p>
        </w:tc>
      </w:tr>
      <w:tr w:rsidR="00680326" w:rsidRPr="00680326" w:rsidTr="00FF1192">
        <w:trPr>
          <w:trHeight w:val="462"/>
        </w:trPr>
        <w:tc>
          <w:tcPr>
            <w:tcW w:w="2547" w:type="dxa"/>
            <w:shd w:val="clear" w:color="auto" w:fill="98C49C"/>
          </w:tcPr>
          <w:p w:rsidR="00680326" w:rsidRPr="00680326" w:rsidRDefault="00680326" w:rsidP="00FF1192">
            <w:pPr>
              <w:spacing w:before="120"/>
              <w:rPr>
                <w:b/>
                <w:bCs/>
                <w:iCs/>
              </w:rPr>
            </w:pPr>
            <w:r w:rsidRPr="00680326">
              <w:rPr>
                <w:b/>
              </w:rPr>
              <w:t>Total Fee Revenue</w:t>
            </w:r>
            <w:r w:rsidR="00FF1192">
              <w:rPr>
                <w:b/>
              </w:rPr>
              <w:t xml:space="preserve"> $</w:t>
            </w:r>
            <w:r w:rsidRPr="00680326">
              <w:rPr>
                <w:b/>
              </w:rPr>
              <w:t xml:space="preserve"> </w:t>
            </w:r>
          </w:p>
        </w:tc>
        <w:tc>
          <w:tcPr>
            <w:tcW w:w="1559" w:type="dxa"/>
            <w:noWrap/>
          </w:tcPr>
          <w:p w:rsidR="00680326" w:rsidRPr="00680326" w:rsidRDefault="00680326" w:rsidP="00FF1192">
            <w:pPr>
              <w:spacing w:before="120"/>
              <w:jc w:val="right"/>
              <w:rPr>
                <w:bCs/>
                <w:iCs/>
              </w:rPr>
            </w:pPr>
            <w:r w:rsidRPr="00680326">
              <w:rPr>
                <w:bCs/>
                <w:iCs/>
              </w:rPr>
              <w:t>2,320,480</w:t>
            </w:r>
          </w:p>
        </w:tc>
        <w:tc>
          <w:tcPr>
            <w:tcW w:w="1276" w:type="dxa"/>
            <w:noWrap/>
          </w:tcPr>
          <w:p w:rsidR="00680326" w:rsidRPr="00680326" w:rsidRDefault="00680326" w:rsidP="00FF1192">
            <w:pPr>
              <w:spacing w:before="120"/>
              <w:jc w:val="right"/>
              <w:rPr>
                <w:bCs/>
                <w:iCs/>
              </w:rPr>
            </w:pPr>
            <w:r w:rsidRPr="00680326">
              <w:rPr>
                <w:bCs/>
                <w:iCs/>
              </w:rPr>
              <w:t>2,627,550</w:t>
            </w:r>
          </w:p>
        </w:tc>
        <w:tc>
          <w:tcPr>
            <w:tcW w:w="1276" w:type="dxa"/>
            <w:noWrap/>
          </w:tcPr>
          <w:p w:rsidR="00680326" w:rsidRPr="00680326" w:rsidRDefault="00514E9F" w:rsidP="00FF1192">
            <w:pPr>
              <w:spacing w:before="120"/>
              <w:jc w:val="right"/>
              <w:rPr>
                <w:bCs/>
                <w:iCs/>
              </w:rPr>
            </w:pPr>
            <w:r>
              <w:rPr>
                <w:bCs/>
                <w:iCs/>
              </w:rPr>
              <w:t>4,819,013</w:t>
            </w:r>
          </w:p>
        </w:tc>
        <w:tc>
          <w:tcPr>
            <w:tcW w:w="1275" w:type="dxa"/>
            <w:noWrap/>
          </w:tcPr>
          <w:p w:rsidR="00680326" w:rsidRPr="00680326" w:rsidRDefault="00514E9F" w:rsidP="00FF1192">
            <w:pPr>
              <w:spacing w:before="120"/>
              <w:jc w:val="right"/>
              <w:rPr>
                <w:bCs/>
                <w:iCs/>
              </w:rPr>
            </w:pPr>
            <w:r>
              <w:rPr>
                <w:bCs/>
                <w:iCs/>
              </w:rPr>
              <w:t>5,278,619</w:t>
            </w:r>
          </w:p>
        </w:tc>
        <w:tc>
          <w:tcPr>
            <w:tcW w:w="1133" w:type="dxa"/>
            <w:noWrap/>
          </w:tcPr>
          <w:p w:rsidR="00680326" w:rsidRPr="00680326" w:rsidRDefault="00680326" w:rsidP="00FF1192">
            <w:pPr>
              <w:spacing w:before="120"/>
              <w:jc w:val="right"/>
              <w:rPr>
                <w:bCs/>
                <w:iCs/>
              </w:rPr>
            </w:pPr>
            <w:r w:rsidRPr="00680326">
              <w:rPr>
                <w:bCs/>
                <w:iCs/>
              </w:rPr>
              <w:t>5,</w:t>
            </w:r>
            <w:r w:rsidR="00514E9F">
              <w:rPr>
                <w:bCs/>
                <w:iCs/>
              </w:rPr>
              <w:t>731,731</w:t>
            </w:r>
          </w:p>
        </w:tc>
      </w:tr>
      <w:tr w:rsidR="00514E9F" w:rsidRPr="00680326" w:rsidTr="00305D66">
        <w:trPr>
          <w:trHeight w:val="20"/>
        </w:trPr>
        <w:tc>
          <w:tcPr>
            <w:tcW w:w="2547" w:type="dxa"/>
            <w:shd w:val="clear" w:color="auto" w:fill="98C49C"/>
          </w:tcPr>
          <w:p w:rsidR="00514E9F" w:rsidRPr="00FF1192" w:rsidRDefault="00514E9F" w:rsidP="00514E9F">
            <w:pPr>
              <w:spacing w:before="120"/>
              <w:rPr>
                <w:b/>
              </w:rPr>
            </w:pPr>
            <w:r w:rsidRPr="00680326">
              <w:rPr>
                <w:b/>
              </w:rPr>
              <w:t xml:space="preserve">Total Costs </w:t>
            </w:r>
            <w:r>
              <w:rPr>
                <w:b/>
              </w:rPr>
              <w:t>$</w:t>
            </w:r>
          </w:p>
        </w:tc>
        <w:tc>
          <w:tcPr>
            <w:tcW w:w="1559" w:type="dxa"/>
            <w:tcBorders>
              <w:top w:val="single" w:sz="4" w:space="0" w:color="auto"/>
              <w:bottom w:val="single" w:sz="4" w:space="0" w:color="auto"/>
            </w:tcBorders>
            <w:shd w:val="clear" w:color="auto" w:fill="98C49C"/>
            <w:noWrap/>
            <w:vAlign w:val="center"/>
          </w:tcPr>
          <w:p w:rsidR="00514E9F" w:rsidRPr="00680326" w:rsidRDefault="00514E9F" w:rsidP="00514E9F">
            <w:pPr>
              <w:spacing w:before="120"/>
              <w:jc w:val="right"/>
              <w:rPr>
                <w:bCs/>
                <w:iCs/>
              </w:rPr>
            </w:pPr>
            <w:r>
              <w:rPr>
                <w:bCs/>
                <w:iCs/>
              </w:rPr>
              <w:t>4,119,988</w:t>
            </w:r>
            <w:r w:rsidRPr="00361BEF">
              <w:rPr>
                <w:bCs/>
                <w:iCs/>
              </w:rPr>
              <w:t xml:space="preserve"> </w:t>
            </w:r>
          </w:p>
        </w:tc>
        <w:tc>
          <w:tcPr>
            <w:tcW w:w="1276" w:type="dxa"/>
            <w:tcBorders>
              <w:top w:val="single" w:sz="4" w:space="0" w:color="auto"/>
              <w:bottom w:val="single" w:sz="4" w:space="0" w:color="auto"/>
            </w:tcBorders>
            <w:shd w:val="clear" w:color="auto" w:fill="98C49C"/>
            <w:noWrap/>
            <w:vAlign w:val="center"/>
          </w:tcPr>
          <w:p w:rsidR="00514E9F" w:rsidRPr="00680326" w:rsidRDefault="00514E9F" w:rsidP="00514E9F">
            <w:pPr>
              <w:spacing w:before="120"/>
              <w:jc w:val="right"/>
              <w:rPr>
                <w:bCs/>
                <w:iCs/>
              </w:rPr>
            </w:pPr>
            <w:r>
              <w:rPr>
                <w:bCs/>
                <w:iCs/>
              </w:rPr>
              <w:t>4,511,896</w:t>
            </w:r>
            <w:r w:rsidRPr="00361BEF">
              <w:rPr>
                <w:bCs/>
                <w:iCs/>
              </w:rPr>
              <w:t xml:space="preserve"> </w:t>
            </w:r>
          </w:p>
        </w:tc>
        <w:tc>
          <w:tcPr>
            <w:tcW w:w="1276" w:type="dxa"/>
            <w:tcBorders>
              <w:top w:val="single" w:sz="4" w:space="0" w:color="auto"/>
              <w:bottom w:val="single" w:sz="4" w:space="0" w:color="auto"/>
            </w:tcBorders>
            <w:shd w:val="clear" w:color="auto" w:fill="98C49C"/>
            <w:noWrap/>
            <w:vAlign w:val="center"/>
          </w:tcPr>
          <w:p w:rsidR="00514E9F" w:rsidRPr="00680326" w:rsidRDefault="00514E9F" w:rsidP="00514E9F">
            <w:pPr>
              <w:spacing w:before="120"/>
              <w:jc w:val="right"/>
              <w:rPr>
                <w:bCs/>
                <w:iCs/>
              </w:rPr>
            </w:pPr>
            <w:r w:rsidRPr="00361BEF">
              <w:rPr>
                <w:bCs/>
                <w:iCs/>
              </w:rPr>
              <w:t>5,</w:t>
            </w:r>
            <w:r>
              <w:rPr>
                <w:bCs/>
                <w:iCs/>
              </w:rPr>
              <w:t>613,399</w:t>
            </w:r>
            <w:r w:rsidRPr="00361BEF">
              <w:rPr>
                <w:bCs/>
                <w:iCs/>
              </w:rPr>
              <w:t xml:space="preserve"> </w:t>
            </w:r>
          </w:p>
        </w:tc>
        <w:tc>
          <w:tcPr>
            <w:tcW w:w="1275" w:type="dxa"/>
            <w:tcBorders>
              <w:top w:val="single" w:sz="4" w:space="0" w:color="auto"/>
              <w:bottom w:val="single" w:sz="4" w:space="0" w:color="auto"/>
            </w:tcBorders>
            <w:shd w:val="clear" w:color="auto" w:fill="98C49C"/>
            <w:noWrap/>
            <w:vAlign w:val="center"/>
          </w:tcPr>
          <w:p w:rsidR="00514E9F" w:rsidRPr="00680326" w:rsidRDefault="00514E9F" w:rsidP="00514E9F">
            <w:pPr>
              <w:spacing w:before="120"/>
              <w:jc w:val="right"/>
              <w:rPr>
                <w:bCs/>
                <w:iCs/>
              </w:rPr>
            </w:pPr>
            <w:r w:rsidRPr="00361BEF">
              <w:rPr>
                <w:bCs/>
                <w:iCs/>
              </w:rPr>
              <w:t>5,</w:t>
            </w:r>
            <w:r>
              <w:rPr>
                <w:bCs/>
                <w:iCs/>
              </w:rPr>
              <w:t>769,323</w:t>
            </w:r>
            <w:r w:rsidRPr="00361BEF">
              <w:rPr>
                <w:bCs/>
                <w:iCs/>
              </w:rPr>
              <w:t xml:space="preserve"> </w:t>
            </w:r>
          </w:p>
        </w:tc>
        <w:tc>
          <w:tcPr>
            <w:tcW w:w="1133" w:type="dxa"/>
            <w:tcBorders>
              <w:top w:val="single" w:sz="4" w:space="0" w:color="auto"/>
              <w:bottom w:val="single" w:sz="4" w:space="0" w:color="auto"/>
            </w:tcBorders>
            <w:shd w:val="clear" w:color="auto" w:fill="98C49C"/>
            <w:noWrap/>
            <w:vAlign w:val="center"/>
          </w:tcPr>
          <w:p w:rsidR="00514E9F" w:rsidRPr="00680326" w:rsidRDefault="00514E9F" w:rsidP="00514E9F">
            <w:pPr>
              <w:spacing w:before="120"/>
              <w:jc w:val="right"/>
              <w:rPr>
                <w:bCs/>
                <w:iCs/>
              </w:rPr>
            </w:pPr>
            <w:r w:rsidRPr="00361BEF">
              <w:rPr>
                <w:bCs/>
                <w:iCs/>
              </w:rPr>
              <w:t>5,</w:t>
            </w:r>
            <w:r>
              <w:rPr>
                <w:bCs/>
                <w:iCs/>
              </w:rPr>
              <w:t>865,659</w:t>
            </w:r>
            <w:r w:rsidRPr="00361BEF">
              <w:rPr>
                <w:bCs/>
                <w:iCs/>
              </w:rPr>
              <w:t xml:space="preserve"> </w:t>
            </w:r>
          </w:p>
        </w:tc>
      </w:tr>
      <w:tr w:rsidR="00514E9F" w:rsidRPr="00680326" w:rsidTr="00FF1192">
        <w:trPr>
          <w:trHeight w:val="431"/>
        </w:trPr>
        <w:tc>
          <w:tcPr>
            <w:tcW w:w="2547" w:type="dxa"/>
            <w:tcBorders>
              <w:bottom w:val="single" w:sz="4" w:space="0" w:color="auto"/>
            </w:tcBorders>
            <w:shd w:val="clear" w:color="auto" w:fill="98C49C"/>
          </w:tcPr>
          <w:p w:rsidR="00514E9F" w:rsidRPr="00680326" w:rsidRDefault="00514E9F" w:rsidP="00514E9F">
            <w:pPr>
              <w:spacing w:before="120"/>
              <w:rPr>
                <w:b/>
              </w:rPr>
            </w:pPr>
            <w:r w:rsidRPr="00680326">
              <w:rPr>
                <w:b/>
              </w:rPr>
              <w:t>Cost Recovery rate</w:t>
            </w:r>
          </w:p>
        </w:tc>
        <w:tc>
          <w:tcPr>
            <w:tcW w:w="1559" w:type="dxa"/>
            <w:noWrap/>
          </w:tcPr>
          <w:p w:rsidR="00514E9F" w:rsidRPr="00680326" w:rsidRDefault="00514E9F" w:rsidP="00514E9F">
            <w:pPr>
              <w:spacing w:before="120"/>
              <w:jc w:val="center"/>
            </w:pPr>
            <w:r w:rsidRPr="00680326">
              <w:t>56.3%</w:t>
            </w:r>
          </w:p>
        </w:tc>
        <w:tc>
          <w:tcPr>
            <w:tcW w:w="1276" w:type="dxa"/>
            <w:noWrap/>
          </w:tcPr>
          <w:p w:rsidR="00514E9F" w:rsidRPr="00680326" w:rsidRDefault="00514E9F" w:rsidP="00514E9F">
            <w:pPr>
              <w:spacing w:before="120"/>
              <w:jc w:val="center"/>
            </w:pPr>
            <w:r w:rsidRPr="00680326">
              <w:t>58.2%</w:t>
            </w:r>
          </w:p>
        </w:tc>
        <w:tc>
          <w:tcPr>
            <w:tcW w:w="1276" w:type="dxa"/>
            <w:noWrap/>
          </w:tcPr>
          <w:p w:rsidR="00514E9F" w:rsidRPr="00680326" w:rsidRDefault="00514E9F" w:rsidP="00514E9F">
            <w:pPr>
              <w:spacing w:before="120"/>
              <w:jc w:val="center"/>
            </w:pPr>
            <w:r>
              <w:t>85.8%</w:t>
            </w:r>
          </w:p>
        </w:tc>
        <w:tc>
          <w:tcPr>
            <w:tcW w:w="1275" w:type="dxa"/>
            <w:noWrap/>
          </w:tcPr>
          <w:p w:rsidR="00514E9F" w:rsidRPr="00680326" w:rsidRDefault="00514E9F" w:rsidP="00514E9F">
            <w:pPr>
              <w:spacing w:before="120"/>
              <w:jc w:val="center"/>
            </w:pPr>
            <w:r>
              <w:t>91.5</w:t>
            </w:r>
            <w:r w:rsidRPr="00680326">
              <w:t>%</w:t>
            </w:r>
          </w:p>
        </w:tc>
        <w:tc>
          <w:tcPr>
            <w:tcW w:w="1133" w:type="dxa"/>
            <w:noWrap/>
          </w:tcPr>
          <w:p w:rsidR="00514E9F" w:rsidRPr="00680326" w:rsidRDefault="00514E9F" w:rsidP="00514E9F">
            <w:pPr>
              <w:spacing w:before="120"/>
              <w:jc w:val="center"/>
            </w:pPr>
            <w:r w:rsidRPr="00680326">
              <w:t>9</w:t>
            </w:r>
            <w:r>
              <w:t>7.7</w:t>
            </w:r>
            <w:r w:rsidRPr="00680326">
              <w:t>%</w:t>
            </w:r>
          </w:p>
        </w:tc>
      </w:tr>
      <w:tr w:rsidR="00514E9F" w:rsidRPr="00680326" w:rsidTr="00305D66">
        <w:trPr>
          <w:trHeight w:val="424"/>
        </w:trPr>
        <w:tc>
          <w:tcPr>
            <w:tcW w:w="2547" w:type="dxa"/>
            <w:tcBorders>
              <w:top w:val="single" w:sz="4" w:space="0" w:color="auto"/>
              <w:left w:val="single" w:sz="4" w:space="0" w:color="auto"/>
              <w:bottom w:val="single" w:sz="4" w:space="0" w:color="auto"/>
              <w:right w:val="single" w:sz="4" w:space="0" w:color="auto"/>
            </w:tcBorders>
            <w:shd w:val="clear" w:color="auto" w:fill="98C49C"/>
          </w:tcPr>
          <w:p w:rsidR="00514E9F" w:rsidRPr="00680326" w:rsidRDefault="00514E9F" w:rsidP="00514E9F">
            <w:pPr>
              <w:spacing w:before="120" w:after="120"/>
            </w:pPr>
            <w:r w:rsidRPr="00680326">
              <w:rPr>
                <w:b/>
              </w:rPr>
              <w:t>Registrations per year</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14E9F" w:rsidRPr="00680326" w:rsidRDefault="00514E9F" w:rsidP="00514E9F">
            <w:pPr>
              <w:spacing w:before="120" w:after="120"/>
              <w:jc w:val="center"/>
            </w:pPr>
            <w:r w:rsidRPr="00361BEF">
              <w:rPr>
                <w:color w:val="000000"/>
              </w:rPr>
              <w:t>5234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680326" w:rsidRDefault="00514E9F" w:rsidP="00514E9F">
            <w:pPr>
              <w:spacing w:before="120" w:after="120"/>
              <w:jc w:val="center"/>
            </w:pPr>
            <w:r w:rsidRPr="00361BEF">
              <w:rPr>
                <w:color w:val="000000"/>
              </w:rPr>
              <w:t>5</w:t>
            </w:r>
            <w:r>
              <w:rPr>
                <w:color w:val="000000"/>
              </w:rPr>
              <w:t>027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680326" w:rsidRDefault="00514E9F" w:rsidP="00514E9F">
            <w:pPr>
              <w:spacing w:before="120" w:after="120"/>
              <w:jc w:val="center"/>
            </w:pPr>
            <w:r>
              <w:rPr>
                <w:color w:val="000000"/>
              </w:rPr>
              <w:t>8097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680326" w:rsidRDefault="00514E9F" w:rsidP="00514E9F">
            <w:pPr>
              <w:spacing w:before="120" w:after="120"/>
              <w:jc w:val="center"/>
            </w:pPr>
            <w:r>
              <w:rPr>
                <w:color w:val="000000"/>
              </w:rPr>
              <w:t>8010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680326" w:rsidRDefault="00514E9F" w:rsidP="00514E9F">
            <w:pPr>
              <w:spacing w:before="120" w:after="120"/>
              <w:jc w:val="center"/>
            </w:pPr>
            <w:r>
              <w:rPr>
                <w:color w:val="000000"/>
              </w:rPr>
              <w:t>8157</w:t>
            </w:r>
          </w:p>
        </w:tc>
      </w:tr>
    </w:tbl>
    <w:p w:rsidR="00FF1192" w:rsidRDefault="00FF1192" w:rsidP="00FF1192">
      <w:pPr>
        <w:spacing w:before="120" w:after="120"/>
        <w:rPr>
          <w:i/>
        </w:rPr>
      </w:pPr>
      <w:r w:rsidRPr="00FF1192">
        <w:rPr>
          <w:i/>
        </w:rPr>
        <w:t xml:space="preserve">Table </w:t>
      </w:r>
      <w:r w:rsidR="00335CB8">
        <w:rPr>
          <w:i/>
        </w:rPr>
        <w:t>7</w:t>
      </w:r>
      <w:r w:rsidRPr="00FF1192">
        <w:rPr>
          <w:i/>
        </w:rPr>
        <w:t>(b)</w:t>
      </w:r>
      <w:r w:rsidR="00335CB8">
        <w:rPr>
          <w:i/>
        </w:rPr>
        <w:t>:</w:t>
      </w:r>
      <w:r w:rsidRPr="00FF1192">
        <w:rPr>
          <w:i/>
        </w:rPr>
        <w:t xml:space="preserve"> </w:t>
      </w:r>
      <w:r w:rsidR="00335CB8">
        <w:rPr>
          <w:i/>
        </w:rPr>
        <w:t>P</w:t>
      </w:r>
      <w:r w:rsidRPr="00FF1192">
        <w:rPr>
          <w:i/>
        </w:rPr>
        <w:t>roposed new fee option</w:t>
      </w:r>
    </w:p>
    <w:tbl>
      <w:tblPr>
        <w:tblW w:w="9070" w:type="dxa"/>
        <w:tblLayout w:type="fixed"/>
        <w:tblCellMar>
          <w:left w:w="0" w:type="dxa"/>
          <w:right w:w="0" w:type="dxa"/>
        </w:tblCellMar>
        <w:tblLook w:val="04A0" w:firstRow="1" w:lastRow="0" w:firstColumn="1" w:lastColumn="0" w:noHBand="0" w:noVBand="1"/>
      </w:tblPr>
      <w:tblGrid>
        <w:gridCol w:w="4101"/>
        <w:gridCol w:w="1276"/>
        <w:gridCol w:w="1276"/>
        <w:gridCol w:w="1275"/>
        <w:gridCol w:w="1142"/>
      </w:tblGrid>
      <w:tr w:rsidR="00FF1192" w:rsidRPr="00FF1192" w:rsidTr="00FF1192">
        <w:tc>
          <w:tcPr>
            <w:tcW w:w="4101" w:type="dxa"/>
            <w:tcBorders>
              <w:top w:val="single" w:sz="8" w:space="0" w:color="auto"/>
              <w:left w:val="single" w:sz="8" w:space="0" w:color="auto"/>
              <w:bottom w:val="single" w:sz="8" w:space="0" w:color="auto"/>
              <w:right w:val="single" w:sz="8" w:space="0" w:color="auto"/>
            </w:tcBorders>
            <w:shd w:val="clear" w:color="auto" w:fill="98C49C"/>
            <w:tcMar>
              <w:top w:w="0" w:type="dxa"/>
              <w:left w:w="108" w:type="dxa"/>
              <w:bottom w:w="0" w:type="dxa"/>
              <w:right w:w="108" w:type="dxa"/>
            </w:tcMar>
            <w:hideMark/>
          </w:tcPr>
          <w:p w:rsidR="00FF1192" w:rsidRPr="00FF1192" w:rsidRDefault="00FF1192" w:rsidP="00FF1192">
            <w:pPr>
              <w:spacing w:before="120" w:after="120"/>
              <w:rPr>
                <w:b/>
              </w:rPr>
            </w:pPr>
            <w:r>
              <w:rPr>
                <w:b/>
              </w:rPr>
              <w:t>Fee</w:t>
            </w:r>
          </w:p>
        </w:tc>
        <w:tc>
          <w:tcPr>
            <w:tcW w:w="1276"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FF1192" w:rsidRPr="00FF1192" w:rsidRDefault="00FF1192" w:rsidP="00FF1192">
            <w:pPr>
              <w:spacing w:before="120" w:after="120"/>
              <w:jc w:val="center"/>
              <w:rPr>
                <w:b/>
              </w:rPr>
            </w:pPr>
            <w:r w:rsidRPr="00FF1192">
              <w:rPr>
                <w:b/>
              </w:rPr>
              <w:t xml:space="preserve">2017/18 </w:t>
            </w:r>
          </w:p>
        </w:tc>
        <w:tc>
          <w:tcPr>
            <w:tcW w:w="1276"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FF1192" w:rsidRPr="00FF1192" w:rsidRDefault="00FF1192" w:rsidP="00FF1192">
            <w:pPr>
              <w:spacing w:before="120" w:after="120"/>
              <w:jc w:val="center"/>
              <w:rPr>
                <w:b/>
              </w:rPr>
            </w:pPr>
            <w:r w:rsidRPr="00FF1192">
              <w:rPr>
                <w:b/>
              </w:rPr>
              <w:t>2018/19</w:t>
            </w:r>
          </w:p>
        </w:tc>
        <w:tc>
          <w:tcPr>
            <w:tcW w:w="1275"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FF1192" w:rsidRPr="00FF1192" w:rsidRDefault="00FF1192" w:rsidP="00FF1192">
            <w:pPr>
              <w:spacing w:before="120" w:after="120"/>
              <w:jc w:val="center"/>
              <w:rPr>
                <w:b/>
              </w:rPr>
            </w:pPr>
            <w:r w:rsidRPr="00FF1192">
              <w:rPr>
                <w:b/>
              </w:rPr>
              <w:t>2019/20</w:t>
            </w:r>
          </w:p>
        </w:tc>
        <w:tc>
          <w:tcPr>
            <w:tcW w:w="1142"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FF1192" w:rsidRPr="00FF1192" w:rsidRDefault="00FF1192" w:rsidP="00FF1192">
            <w:pPr>
              <w:spacing w:before="120" w:after="120"/>
              <w:jc w:val="center"/>
              <w:rPr>
                <w:b/>
              </w:rPr>
            </w:pPr>
            <w:r w:rsidRPr="00FF1192">
              <w:rPr>
                <w:b/>
              </w:rPr>
              <w:t>2020/21</w:t>
            </w:r>
          </w:p>
        </w:tc>
      </w:tr>
      <w:tr w:rsidR="00FF1192" w:rsidRPr="00FF1192" w:rsidTr="00FF1192">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pPr>
            <w:r w:rsidRPr="00FF1192">
              <w:t>Band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A60930" w:rsidRDefault="00FF1192" w:rsidP="00FF1192">
            <w:pPr>
              <w:spacing w:before="120" w:after="120"/>
              <w:jc w:val="right"/>
            </w:pPr>
            <w:r w:rsidRPr="00A60930">
              <w:t>$450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jc w:val="right"/>
            </w:pPr>
            <w:r w:rsidRPr="00FF1192">
              <w:t>$</w:t>
            </w:r>
            <w:r w:rsidR="00514E9F">
              <w:t>482</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FF1192" w:rsidRPr="00FF1192" w:rsidRDefault="00FF1192" w:rsidP="00FF1192">
            <w:pPr>
              <w:spacing w:before="120" w:after="120"/>
              <w:jc w:val="right"/>
            </w:pPr>
            <w:r w:rsidRPr="00FF1192">
              <w:t>$</w:t>
            </w:r>
            <w:r w:rsidR="00514E9F">
              <w:t>515</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jc w:val="right"/>
            </w:pPr>
            <w:r w:rsidRPr="00FF1192">
              <w:t>$</w:t>
            </w:r>
            <w:r w:rsidR="00514E9F">
              <w:t>551</w:t>
            </w:r>
          </w:p>
        </w:tc>
      </w:tr>
      <w:tr w:rsidR="00FF1192" w:rsidRPr="00FF1192" w:rsidTr="00FF1192">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pPr>
            <w:r w:rsidRPr="00FF1192">
              <w:t>Band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A60930" w:rsidRDefault="00FF1192" w:rsidP="00FF1192">
            <w:pPr>
              <w:spacing w:before="120" w:after="120"/>
              <w:jc w:val="right"/>
            </w:pPr>
            <w:r w:rsidRPr="00A60930">
              <w:t>$600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jc w:val="right"/>
            </w:pPr>
            <w:r w:rsidRPr="00FF1192">
              <w:t>$6</w:t>
            </w:r>
            <w:r w:rsidR="00514E9F">
              <w:t>42</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FF1192" w:rsidRPr="00FF1192" w:rsidRDefault="00FF1192" w:rsidP="00FF1192">
            <w:pPr>
              <w:spacing w:before="120" w:after="120"/>
              <w:jc w:val="right"/>
            </w:pPr>
            <w:r w:rsidRPr="00FF1192">
              <w:t>$</w:t>
            </w:r>
            <w:r w:rsidR="00514E9F">
              <w:t>687</w:t>
            </w: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FF1192" w:rsidRPr="00FF1192" w:rsidRDefault="00FF1192" w:rsidP="00FF1192">
            <w:pPr>
              <w:spacing w:before="120" w:after="120"/>
              <w:jc w:val="right"/>
            </w:pPr>
            <w:r w:rsidRPr="00FF1192">
              <w:t>$</w:t>
            </w:r>
            <w:r w:rsidR="00514E9F">
              <w:t>735</w:t>
            </w:r>
          </w:p>
        </w:tc>
      </w:tr>
      <w:tr w:rsidR="00FF1192" w:rsidRPr="00FF1192" w:rsidTr="00FF1192">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pPr>
            <w:r w:rsidRPr="00FF1192">
              <w:t>Band 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A60930" w:rsidRDefault="00FF1192" w:rsidP="00FF1192">
            <w:pPr>
              <w:spacing w:before="120" w:after="120"/>
              <w:jc w:val="right"/>
            </w:pPr>
            <w:r w:rsidRPr="00A60930">
              <w:t>$750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1192" w:rsidRPr="00FF1192" w:rsidRDefault="00FF1192" w:rsidP="00FF1192">
            <w:pPr>
              <w:spacing w:before="120" w:after="120"/>
              <w:jc w:val="right"/>
            </w:pPr>
            <w:r w:rsidRPr="00FF1192">
              <w:t>$8</w:t>
            </w:r>
            <w:r w:rsidR="00514E9F">
              <w:t>03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FF1192" w:rsidRPr="00FF1192" w:rsidRDefault="00FF1192" w:rsidP="00FF1192">
            <w:pPr>
              <w:spacing w:before="120" w:after="120"/>
              <w:jc w:val="right"/>
            </w:pPr>
            <w:r w:rsidRPr="00FF1192">
              <w:t>$</w:t>
            </w:r>
            <w:r w:rsidR="00514E9F">
              <w:t>859</w:t>
            </w: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FF1192" w:rsidRPr="00FF1192" w:rsidRDefault="00FF1192" w:rsidP="00FF1192">
            <w:pPr>
              <w:spacing w:before="120" w:after="120"/>
              <w:jc w:val="right"/>
            </w:pPr>
            <w:r w:rsidRPr="00FF1192">
              <w:t>$</w:t>
            </w:r>
            <w:r w:rsidR="00742B4D">
              <w:t>919</w:t>
            </w:r>
          </w:p>
        </w:tc>
      </w:tr>
    </w:tbl>
    <w:p w:rsidR="00FF1192" w:rsidRPr="00FF1192" w:rsidRDefault="00FF1192" w:rsidP="00680326"/>
    <w:p w:rsidR="00FF1192" w:rsidRDefault="00DC0BBC" w:rsidP="00F6749E">
      <w:pPr>
        <w:pStyle w:val="Heading3"/>
      </w:pPr>
      <w:bookmarkStart w:id="36" w:name="_Toc471476064"/>
      <w:r w:rsidRPr="00DC0BBC">
        <w:t>Option 2. Increase fees initially and then an annual increase increasing over time</w:t>
      </w:r>
      <w:r w:rsidR="00C95227">
        <w:t>, with p</w:t>
      </w:r>
      <w:r w:rsidRPr="00DC0BBC">
        <w:t xml:space="preserve">roducts </w:t>
      </w:r>
      <w:r>
        <w:t>reallocated to new fee bands</w:t>
      </w:r>
      <w:bookmarkEnd w:id="36"/>
    </w:p>
    <w:p w:rsidR="00DC0BBC" w:rsidRDefault="00DC0BBC" w:rsidP="00DC0BBC">
      <w:r w:rsidRPr="00DC0BBC">
        <w:t xml:space="preserve">The current structure of the model is maintained. To minimise cross-subsidisation products are reallocated to fee bands according to their check testing costs and proposed check testing activity over seven year cycle. To continue the move to full cost recovery, there will be an initial </w:t>
      </w:r>
      <w:r w:rsidRPr="008B22AD">
        <w:t>fee increase (as indicated below) followed by</w:t>
      </w:r>
      <w:r w:rsidR="00742B4D">
        <w:t xml:space="preserve"> a five </w:t>
      </w:r>
      <w:r w:rsidRPr="008B22AD">
        <w:t xml:space="preserve">per cent, </w:t>
      </w:r>
      <w:r w:rsidR="00742B4D">
        <w:t xml:space="preserve">seven </w:t>
      </w:r>
      <w:r w:rsidRPr="008B22AD">
        <w:t xml:space="preserve">per cent and </w:t>
      </w:r>
      <w:r w:rsidR="00742B4D">
        <w:t>nine</w:t>
      </w:r>
      <w:r w:rsidRPr="008B22AD">
        <w:t xml:space="preserve"> per cent increase in subsequent years. </w:t>
      </w:r>
      <w:r w:rsidR="00BA27D1" w:rsidRPr="008B22AD">
        <w:t xml:space="preserve">The initial increase is to recalibrate the bands according to compliance activity costs in forward years. </w:t>
      </w:r>
      <w:r w:rsidRPr="00DC0BBC">
        <w:t xml:space="preserve">This would be expected to start on </w:t>
      </w:r>
      <w:r w:rsidR="00063427">
        <w:br/>
      </w:r>
      <w:r w:rsidRPr="00DC0BBC">
        <w:t>1 July 2017. By increasing the percentage rise over time, there is a lowe</w:t>
      </w:r>
      <w:r w:rsidR="0025014C">
        <w:t>r fee increase in earlier years.</w:t>
      </w:r>
    </w:p>
    <w:p w:rsidR="00DC0BBC" w:rsidRDefault="00DC0BBC" w:rsidP="00DC0BBC"/>
    <w:p w:rsidR="00DC0BBC" w:rsidRDefault="00DC0BBC" w:rsidP="00DC0BBC">
      <w:pPr>
        <w:rPr>
          <w:i/>
        </w:rPr>
      </w:pPr>
      <w:r w:rsidRPr="00DC0BBC">
        <w:rPr>
          <w:i/>
        </w:rPr>
        <w:t xml:space="preserve">Table </w:t>
      </w:r>
      <w:r w:rsidR="00335CB8">
        <w:rPr>
          <w:i/>
        </w:rPr>
        <w:t>8</w:t>
      </w:r>
      <w:r w:rsidRPr="00DC0BBC">
        <w:rPr>
          <w:i/>
        </w:rPr>
        <w:t>(a)</w:t>
      </w:r>
      <w:r w:rsidR="00335CB8">
        <w:rPr>
          <w:i/>
        </w:rPr>
        <w:t>:</w:t>
      </w:r>
      <w:r w:rsidRPr="00DC0BBC">
        <w:rPr>
          <w:i/>
        </w:rPr>
        <w:t xml:space="preserve"> GEMS projections with a fee increase and reallocation of products to new fee bands</w:t>
      </w:r>
      <w:r w:rsidR="00C95227">
        <w:rPr>
          <w:i/>
        </w:rPr>
        <w:t>, with n</w:t>
      </w:r>
      <w:r w:rsidRPr="00DC0BBC">
        <w:rPr>
          <w:i/>
        </w:rPr>
        <w:t xml:space="preserve">ew products regulated from 2018-19 as per </w:t>
      </w:r>
      <w:r w:rsidR="00C95227">
        <w:rPr>
          <w:i/>
        </w:rPr>
        <w:t xml:space="preserve">the </w:t>
      </w:r>
      <w:r w:rsidRPr="00DC0BBC">
        <w:rPr>
          <w:i/>
        </w:rPr>
        <w:t xml:space="preserve">E3 </w:t>
      </w:r>
      <w:r w:rsidR="00C95227">
        <w:rPr>
          <w:i/>
        </w:rPr>
        <w:t>P</w:t>
      </w:r>
      <w:r w:rsidRPr="00DC0BBC">
        <w:rPr>
          <w:i/>
        </w:rPr>
        <w:t xml:space="preserve">rioritisation </w:t>
      </w:r>
      <w:r w:rsidR="00C95227">
        <w:rPr>
          <w:i/>
        </w:rPr>
        <w:t>P</w:t>
      </w:r>
      <w:r w:rsidRPr="00DC0BBC">
        <w:rPr>
          <w:i/>
        </w:rPr>
        <w:t>lan</w:t>
      </w:r>
    </w:p>
    <w:tbl>
      <w:tblPr>
        <w:tblStyle w:val="TableGrid"/>
        <w:tblpPr w:leftFromText="180" w:rightFromText="180" w:vertAnchor="text" w:tblpXSpec="center" w:tblpY="1"/>
        <w:tblOverlap w:val="never"/>
        <w:tblW w:w="8784" w:type="dxa"/>
        <w:jc w:val="center"/>
        <w:tblLayout w:type="fixed"/>
        <w:tblLook w:val="04A0" w:firstRow="1" w:lastRow="0" w:firstColumn="1" w:lastColumn="0" w:noHBand="0" w:noVBand="1"/>
      </w:tblPr>
      <w:tblGrid>
        <w:gridCol w:w="2419"/>
        <w:gridCol w:w="1559"/>
        <w:gridCol w:w="1276"/>
        <w:gridCol w:w="1275"/>
        <w:gridCol w:w="1134"/>
        <w:gridCol w:w="1121"/>
      </w:tblGrid>
      <w:tr w:rsidR="00DC0BBC" w:rsidRPr="00DC0BBC" w:rsidTr="00C95227">
        <w:trPr>
          <w:trHeight w:val="415"/>
          <w:jc w:val="center"/>
        </w:trPr>
        <w:tc>
          <w:tcPr>
            <w:tcW w:w="8784" w:type="dxa"/>
            <w:gridSpan w:val="6"/>
            <w:shd w:val="clear" w:color="auto" w:fill="98C49C"/>
            <w:vAlign w:val="center"/>
          </w:tcPr>
          <w:p w:rsidR="00DC0BBC" w:rsidRPr="00DC0BBC" w:rsidRDefault="00DC0BBC" w:rsidP="00836A7D">
            <w:pPr>
              <w:jc w:val="center"/>
              <w:rPr>
                <w:b/>
              </w:rPr>
            </w:pPr>
            <w:r w:rsidRPr="00DC0BBC">
              <w:rPr>
                <w:b/>
              </w:rPr>
              <w:t>Projections</w:t>
            </w:r>
          </w:p>
        </w:tc>
      </w:tr>
      <w:tr w:rsidR="00E96566" w:rsidRPr="00DC0BBC" w:rsidTr="00E96566">
        <w:trPr>
          <w:trHeight w:val="293"/>
          <w:jc w:val="center"/>
        </w:trPr>
        <w:tc>
          <w:tcPr>
            <w:tcW w:w="2419" w:type="dxa"/>
            <w:shd w:val="clear" w:color="auto" w:fill="98C49C"/>
            <w:vAlign w:val="center"/>
          </w:tcPr>
          <w:p w:rsidR="00DC0BBC" w:rsidRPr="00DC0BBC" w:rsidRDefault="00DC0BBC" w:rsidP="00836A7D">
            <w:pPr>
              <w:spacing w:before="40"/>
              <w:rPr>
                <w:b/>
              </w:rPr>
            </w:pPr>
            <w:r w:rsidRPr="00DC0BBC">
              <w:rPr>
                <w:b/>
              </w:rPr>
              <w:t>Year</w:t>
            </w:r>
          </w:p>
        </w:tc>
        <w:tc>
          <w:tcPr>
            <w:tcW w:w="1559" w:type="dxa"/>
            <w:shd w:val="clear" w:color="auto" w:fill="98C49C"/>
            <w:noWrap/>
            <w:vAlign w:val="center"/>
            <w:hideMark/>
          </w:tcPr>
          <w:p w:rsidR="00DC0BBC" w:rsidRPr="00DC0BBC" w:rsidRDefault="00DC0BBC" w:rsidP="00836A7D">
            <w:pPr>
              <w:spacing w:before="40"/>
              <w:jc w:val="center"/>
              <w:rPr>
                <w:b/>
              </w:rPr>
            </w:pPr>
            <w:r w:rsidRPr="00DC0BBC">
              <w:rPr>
                <w:b/>
              </w:rPr>
              <w:t>2016-17</w:t>
            </w:r>
          </w:p>
        </w:tc>
        <w:tc>
          <w:tcPr>
            <w:tcW w:w="1276" w:type="dxa"/>
            <w:shd w:val="clear" w:color="auto" w:fill="98C49C"/>
            <w:noWrap/>
            <w:vAlign w:val="center"/>
            <w:hideMark/>
          </w:tcPr>
          <w:p w:rsidR="00DC0BBC" w:rsidRPr="00DC0BBC" w:rsidRDefault="00DC0BBC" w:rsidP="00836A7D">
            <w:pPr>
              <w:spacing w:before="40"/>
              <w:jc w:val="center"/>
              <w:rPr>
                <w:b/>
              </w:rPr>
            </w:pPr>
            <w:r w:rsidRPr="00DC0BBC">
              <w:rPr>
                <w:b/>
              </w:rPr>
              <w:t>2017-18</w:t>
            </w:r>
          </w:p>
        </w:tc>
        <w:tc>
          <w:tcPr>
            <w:tcW w:w="1275" w:type="dxa"/>
            <w:shd w:val="clear" w:color="auto" w:fill="98C49C"/>
            <w:noWrap/>
            <w:vAlign w:val="center"/>
            <w:hideMark/>
          </w:tcPr>
          <w:p w:rsidR="00DC0BBC" w:rsidRPr="00DC0BBC" w:rsidRDefault="00DC0BBC" w:rsidP="00836A7D">
            <w:pPr>
              <w:spacing w:before="40"/>
              <w:jc w:val="center"/>
              <w:rPr>
                <w:b/>
              </w:rPr>
            </w:pPr>
            <w:r w:rsidRPr="00DC0BBC">
              <w:rPr>
                <w:b/>
              </w:rPr>
              <w:t>2018-19</w:t>
            </w:r>
          </w:p>
        </w:tc>
        <w:tc>
          <w:tcPr>
            <w:tcW w:w="1134" w:type="dxa"/>
            <w:shd w:val="clear" w:color="auto" w:fill="98C49C"/>
            <w:noWrap/>
            <w:vAlign w:val="center"/>
            <w:hideMark/>
          </w:tcPr>
          <w:p w:rsidR="00DC0BBC" w:rsidRPr="00DC0BBC" w:rsidRDefault="00DC0BBC" w:rsidP="00836A7D">
            <w:pPr>
              <w:spacing w:before="40"/>
              <w:jc w:val="center"/>
              <w:rPr>
                <w:b/>
              </w:rPr>
            </w:pPr>
            <w:r w:rsidRPr="00DC0BBC">
              <w:rPr>
                <w:b/>
              </w:rPr>
              <w:t>2019-20</w:t>
            </w:r>
          </w:p>
        </w:tc>
        <w:tc>
          <w:tcPr>
            <w:tcW w:w="1121" w:type="dxa"/>
            <w:shd w:val="clear" w:color="auto" w:fill="98C49C"/>
            <w:noWrap/>
            <w:vAlign w:val="center"/>
            <w:hideMark/>
          </w:tcPr>
          <w:p w:rsidR="00DC0BBC" w:rsidRPr="00DC0BBC" w:rsidRDefault="00DC0BBC" w:rsidP="00836A7D">
            <w:pPr>
              <w:spacing w:before="40"/>
              <w:jc w:val="center"/>
              <w:rPr>
                <w:b/>
              </w:rPr>
            </w:pPr>
            <w:r w:rsidRPr="00DC0BBC">
              <w:rPr>
                <w:b/>
              </w:rPr>
              <w:t>2020-21</w:t>
            </w:r>
          </w:p>
        </w:tc>
      </w:tr>
      <w:tr w:rsidR="00836A7D" w:rsidRPr="00DC0BBC" w:rsidTr="00E96566">
        <w:trPr>
          <w:trHeight w:val="548"/>
          <w:jc w:val="center"/>
        </w:trPr>
        <w:tc>
          <w:tcPr>
            <w:tcW w:w="2419" w:type="dxa"/>
            <w:shd w:val="clear" w:color="auto" w:fill="98C49C"/>
            <w:vAlign w:val="center"/>
          </w:tcPr>
          <w:p w:rsidR="00DC0BBC" w:rsidRPr="00DC0BBC" w:rsidRDefault="00DC0BBC" w:rsidP="00836A7D">
            <w:pPr>
              <w:rPr>
                <w:b/>
                <w:bCs/>
                <w:iCs/>
              </w:rPr>
            </w:pPr>
            <w:r w:rsidRPr="00DC0BBC">
              <w:rPr>
                <w:b/>
              </w:rPr>
              <w:t>Total Fee Revenue $</w:t>
            </w:r>
          </w:p>
        </w:tc>
        <w:tc>
          <w:tcPr>
            <w:tcW w:w="1559" w:type="dxa"/>
            <w:noWrap/>
            <w:vAlign w:val="center"/>
          </w:tcPr>
          <w:p w:rsidR="00DC0BBC" w:rsidRPr="00DC0BBC" w:rsidRDefault="00DC0BBC" w:rsidP="00836A7D">
            <w:pPr>
              <w:jc w:val="right"/>
              <w:rPr>
                <w:bCs/>
                <w:iCs/>
              </w:rPr>
            </w:pPr>
            <w:r w:rsidRPr="00DC0BBC">
              <w:rPr>
                <w:bCs/>
                <w:iCs/>
              </w:rPr>
              <w:t>2,320,480</w:t>
            </w:r>
          </w:p>
        </w:tc>
        <w:tc>
          <w:tcPr>
            <w:tcW w:w="1276" w:type="dxa"/>
            <w:noWrap/>
            <w:vAlign w:val="center"/>
          </w:tcPr>
          <w:p w:rsidR="00DC0BBC" w:rsidRPr="00DC0BBC" w:rsidRDefault="00DC0BBC" w:rsidP="00836A7D">
            <w:pPr>
              <w:jc w:val="right"/>
              <w:rPr>
                <w:bCs/>
                <w:iCs/>
              </w:rPr>
            </w:pPr>
            <w:r w:rsidRPr="00DC0BBC">
              <w:rPr>
                <w:bCs/>
                <w:iCs/>
              </w:rPr>
              <w:t>2,627,550</w:t>
            </w:r>
          </w:p>
        </w:tc>
        <w:tc>
          <w:tcPr>
            <w:tcW w:w="1275" w:type="dxa"/>
            <w:noWrap/>
            <w:vAlign w:val="center"/>
          </w:tcPr>
          <w:p w:rsidR="00DC0BBC" w:rsidRPr="00DC0BBC" w:rsidRDefault="00DC0BBC" w:rsidP="00836A7D">
            <w:pPr>
              <w:jc w:val="right"/>
              <w:rPr>
                <w:bCs/>
                <w:iCs/>
              </w:rPr>
            </w:pPr>
            <w:r w:rsidRPr="00DC0BBC">
              <w:rPr>
                <w:bCs/>
                <w:iCs/>
              </w:rPr>
              <w:t>4,7</w:t>
            </w:r>
            <w:r w:rsidR="00742B4D">
              <w:rPr>
                <w:bCs/>
                <w:iCs/>
              </w:rPr>
              <w:t>28</w:t>
            </w:r>
            <w:r w:rsidRPr="00DC0BBC">
              <w:rPr>
                <w:bCs/>
                <w:iCs/>
              </w:rPr>
              <w:t>,</w:t>
            </w:r>
            <w:r w:rsidR="00742B4D">
              <w:rPr>
                <w:bCs/>
                <w:iCs/>
              </w:rPr>
              <w:t>938</w:t>
            </w:r>
          </w:p>
        </w:tc>
        <w:tc>
          <w:tcPr>
            <w:tcW w:w="1134" w:type="dxa"/>
            <w:noWrap/>
            <w:vAlign w:val="center"/>
          </w:tcPr>
          <w:p w:rsidR="00DC0BBC" w:rsidRPr="00DC0BBC" w:rsidRDefault="00742B4D" w:rsidP="00836A7D">
            <w:pPr>
              <w:jc w:val="right"/>
              <w:rPr>
                <w:bCs/>
                <w:iCs/>
              </w:rPr>
            </w:pPr>
            <w:r>
              <w:rPr>
                <w:bCs/>
                <w:iCs/>
              </w:rPr>
              <w:t>5,179,953</w:t>
            </w:r>
          </w:p>
        </w:tc>
        <w:tc>
          <w:tcPr>
            <w:tcW w:w="1121" w:type="dxa"/>
            <w:noWrap/>
            <w:vAlign w:val="center"/>
          </w:tcPr>
          <w:p w:rsidR="00DC0BBC" w:rsidRPr="00DC0BBC" w:rsidRDefault="00DC0BBC" w:rsidP="00836A7D">
            <w:pPr>
              <w:jc w:val="right"/>
              <w:rPr>
                <w:bCs/>
                <w:iCs/>
              </w:rPr>
            </w:pPr>
            <w:r w:rsidRPr="00DC0BBC">
              <w:rPr>
                <w:bCs/>
                <w:iCs/>
              </w:rPr>
              <w:t>5,</w:t>
            </w:r>
            <w:r w:rsidR="00742B4D">
              <w:rPr>
                <w:bCs/>
                <w:iCs/>
              </w:rPr>
              <w:t>729</w:t>
            </w:r>
            <w:r w:rsidRPr="00DC0BBC">
              <w:rPr>
                <w:bCs/>
                <w:iCs/>
              </w:rPr>
              <w:t>,</w:t>
            </w:r>
            <w:r w:rsidR="00742B4D">
              <w:rPr>
                <w:bCs/>
                <w:iCs/>
              </w:rPr>
              <w:t>729</w:t>
            </w:r>
          </w:p>
        </w:tc>
      </w:tr>
      <w:tr w:rsidR="00514E9F" w:rsidRPr="00DC0BBC" w:rsidTr="00305D66">
        <w:trPr>
          <w:trHeight w:val="548"/>
          <w:jc w:val="center"/>
        </w:trPr>
        <w:tc>
          <w:tcPr>
            <w:tcW w:w="2419" w:type="dxa"/>
            <w:shd w:val="clear" w:color="auto" w:fill="98C49C"/>
            <w:vAlign w:val="center"/>
          </w:tcPr>
          <w:p w:rsidR="00514E9F" w:rsidRPr="00836A7D" w:rsidRDefault="00514E9F" w:rsidP="00514E9F">
            <w:pPr>
              <w:rPr>
                <w:b/>
              </w:rPr>
            </w:pPr>
            <w:r w:rsidRPr="00DC0BBC">
              <w:rPr>
                <w:b/>
              </w:rPr>
              <w:t>Total Costs $</w:t>
            </w:r>
          </w:p>
        </w:tc>
        <w:tc>
          <w:tcPr>
            <w:tcW w:w="1559" w:type="dxa"/>
            <w:tcBorders>
              <w:top w:val="single" w:sz="4" w:space="0" w:color="auto"/>
              <w:bottom w:val="single" w:sz="4" w:space="0" w:color="auto"/>
            </w:tcBorders>
            <w:shd w:val="clear" w:color="auto" w:fill="98C49C"/>
            <w:noWrap/>
            <w:vAlign w:val="center"/>
          </w:tcPr>
          <w:p w:rsidR="00514E9F" w:rsidRPr="00DC0BBC" w:rsidRDefault="00514E9F" w:rsidP="00514E9F">
            <w:pPr>
              <w:jc w:val="right"/>
              <w:rPr>
                <w:bCs/>
                <w:iCs/>
              </w:rPr>
            </w:pPr>
            <w:r>
              <w:rPr>
                <w:bCs/>
                <w:iCs/>
              </w:rPr>
              <w:t>4,119,988</w:t>
            </w:r>
            <w:r w:rsidRPr="00361BEF">
              <w:rPr>
                <w:bCs/>
                <w:iCs/>
              </w:rPr>
              <w:t xml:space="preserve"> </w:t>
            </w:r>
          </w:p>
        </w:tc>
        <w:tc>
          <w:tcPr>
            <w:tcW w:w="1276" w:type="dxa"/>
            <w:tcBorders>
              <w:top w:val="single" w:sz="4" w:space="0" w:color="auto"/>
              <w:bottom w:val="single" w:sz="4" w:space="0" w:color="auto"/>
            </w:tcBorders>
            <w:shd w:val="clear" w:color="auto" w:fill="98C49C"/>
            <w:noWrap/>
            <w:vAlign w:val="center"/>
          </w:tcPr>
          <w:p w:rsidR="00514E9F" w:rsidRPr="00DC0BBC" w:rsidRDefault="00514E9F" w:rsidP="00514E9F">
            <w:pPr>
              <w:jc w:val="right"/>
              <w:rPr>
                <w:bCs/>
                <w:iCs/>
              </w:rPr>
            </w:pPr>
            <w:r>
              <w:rPr>
                <w:bCs/>
                <w:iCs/>
              </w:rPr>
              <w:t>4,511,896</w:t>
            </w:r>
            <w:r w:rsidRPr="00361BEF">
              <w:rPr>
                <w:bCs/>
                <w:iCs/>
              </w:rPr>
              <w:t xml:space="preserve"> </w:t>
            </w:r>
          </w:p>
        </w:tc>
        <w:tc>
          <w:tcPr>
            <w:tcW w:w="1275" w:type="dxa"/>
            <w:tcBorders>
              <w:top w:val="single" w:sz="4" w:space="0" w:color="auto"/>
              <w:bottom w:val="single" w:sz="4" w:space="0" w:color="auto"/>
            </w:tcBorders>
            <w:shd w:val="clear" w:color="auto" w:fill="98C49C"/>
            <w:noWrap/>
            <w:vAlign w:val="center"/>
          </w:tcPr>
          <w:p w:rsidR="00514E9F" w:rsidRPr="00DC0BBC" w:rsidRDefault="00514E9F" w:rsidP="00514E9F">
            <w:pPr>
              <w:jc w:val="right"/>
              <w:rPr>
                <w:bCs/>
                <w:iCs/>
              </w:rPr>
            </w:pPr>
            <w:r w:rsidRPr="00361BEF">
              <w:rPr>
                <w:bCs/>
                <w:iCs/>
              </w:rPr>
              <w:t>5,</w:t>
            </w:r>
            <w:r>
              <w:rPr>
                <w:bCs/>
                <w:iCs/>
              </w:rPr>
              <w:t>613,399</w:t>
            </w:r>
            <w:r w:rsidRPr="00361BEF">
              <w:rPr>
                <w:bCs/>
                <w:iCs/>
              </w:rPr>
              <w:t xml:space="preserve"> </w:t>
            </w:r>
          </w:p>
        </w:tc>
        <w:tc>
          <w:tcPr>
            <w:tcW w:w="1134" w:type="dxa"/>
            <w:tcBorders>
              <w:top w:val="single" w:sz="4" w:space="0" w:color="auto"/>
              <w:bottom w:val="single" w:sz="4" w:space="0" w:color="auto"/>
            </w:tcBorders>
            <w:shd w:val="clear" w:color="auto" w:fill="98C49C"/>
            <w:noWrap/>
            <w:vAlign w:val="center"/>
          </w:tcPr>
          <w:p w:rsidR="00514E9F" w:rsidRPr="00DC0BBC" w:rsidRDefault="00514E9F" w:rsidP="00514E9F">
            <w:pPr>
              <w:jc w:val="right"/>
              <w:rPr>
                <w:bCs/>
                <w:iCs/>
              </w:rPr>
            </w:pPr>
            <w:r w:rsidRPr="00361BEF">
              <w:rPr>
                <w:bCs/>
                <w:iCs/>
              </w:rPr>
              <w:t>5,</w:t>
            </w:r>
            <w:r>
              <w:rPr>
                <w:bCs/>
                <w:iCs/>
              </w:rPr>
              <w:t>769,323</w:t>
            </w:r>
            <w:r w:rsidRPr="00361BEF">
              <w:rPr>
                <w:bCs/>
                <w:iCs/>
              </w:rPr>
              <w:t xml:space="preserve"> </w:t>
            </w:r>
          </w:p>
        </w:tc>
        <w:tc>
          <w:tcPr>
            <w:tcW w:w="1121" w:type="dxa"/>
            <w:tcBorders>
              <w:top w:val="single" w:sz="4" w:space="0" w:color="auto"/>
              <w:bottom w:val="single" w:sz="4" w:space="0" w:color="auto"/>
            </w:tcBorders>
            <w:shd w:val="clear" w:color="auto" w:fill="98C49C"/>
            <w:noWrap/>
            <w:vAlign w:val="center"/>
          </w:tcPr>
          <w:p w:rsidR="00514E9F" w:rsidRPr="00DC0BBC" w:rsidRDefault="00514E9F" w:rsidP="00514E9F">
            <w:pPr>
              <w:jc w:val="right"/>
              <w:rPr>
                <w:bCs/>
                <w:iCs/>
              </w:rPr>
            </w:pPr>
            <w:r w:rsidRPr="00361BEF">
              <w:rPr>
                <w:bCs/>
                <w:iCs/>
              </w:rPr>
              <w:t>5,</w:t>
            </w:r>
            <w:r>
              <w:rPr>
                <w:bCs/>
                <w:iCs/>
              </w:rPr>
              <w:t>865,659</w:t>
            </w:r>
            <w:r w:rsidRPr="00361BEF">
              <w:rPr>
                <w:bCs/>
                <w:iCs/>
              </w:rPr>
              <w:t xml:space="preserve"> </w:t>
            </w:r>
          </w:p>
        </w:tc>
      </w:tr>
      <w:tr w:rsidR="00514E9F" w:rsidRPr="00DC0BBC" w:rsidTr="00E96566">
        <w:trPr>
          <w:trHeight w:val="548"/>
          <w:jc w:val="center"/>
        </w:trPr>
        <w:tc>
          <w:tcPr>
            <w:tcW w:w="2419" w:type="dxa"/>
            <w:tcBorders>
              <w:bottom w:val="single" w:sz="4" w:space="0" w:color="auto"/>
            </w:tcBorders>
            <w:shd w:val="clear" w:color="auto" w:fill="98C49C"/>
            <w:vAlign w:val="center"/>
          </w:tcPr>
          <w:p w:rsidR="00514E9F" w:rsidRPr="00DC0BBC" w:rsidRDefault="00514E9F" w:rsidP="00514E9F">
            <w:pPr>
              <w:rPr>
                <w:b/>
              </w:rPr>
            </w:pPr>
            <w:r w:rsidRPr="00DC0BBC">
              <w:rPr>
                <w:b/>
              </w:rPr>
              <w:t>Cost Recovery rate</w:t>
            </w:r>
          </w:p>
        </w:tc>
        <w:tc>
          <w:tcPr>
            <w:tcW w:w="1559" w:type="dxa"/>
            <w:noWrap/>
            <w:vAlign w:val="center"/>
          </w:tcPr>
          <w:p w:rsidR="00514E9F" w:rsidRPr="00DC0BBC" w:rsidRDefault="00514E9F" w:rsidP="00514E9F">
            <w:pPr>
              <w:jc w:val="center"/>
            </w:pPr>
            <w:r w:rsidRPr="00DC0BBC">
              <w:t>56.3%</w:t>
            </w:r>
          </w:p>
        </w:tc>
        <w:tc>
          <w:tcPr>
            <w:tcW w:w="1276" w:type="dxa"/>
            <w:noWrap/>
            <w:vAlign w:val="center"/>
          </w:tcPr>
          <w:p w:rsidR="00514E9F" w:rsidRPr="00DC0BBC" w:rsidRDefault="00514E9F" w:rsidP="00514E9F">
            <w:pPr>
              <w:jc w:val="center"/>
            </w:pPr>
            <w:r w:rsidRPr="00DC0BBC">
              <w:t>58.2%</w:t>
            </w:r>
          </w:p>
        </w:tc>
        <w:tc>
          <w:tcPr>
            <w:tcW w:w="1275" w:type="dxa"/>
            <w:noWrap/>
            <w:vAlign w:val="center"/>
          </w:tcPr>
          <w:p w:rsidR="00514E9F" w:rsidRPr="00DC0BBC" w:rsidRDefault="00514E9F" w:rsidP="00514E9F">
            <w:pPr>
              <w:jc w:val="center"/>
            </w:pPr>
            <w:r w:rsidRPr="00DC0BBC">
              <w:t>8</w:t>
            </w:r>
            <w:r w:rsidR="00742B4D">
              <w:t>4.2</w:t>
            </w:r>
            <w:r w:rsidRPr="00DC0BBC">
              <w:t>%</w:t>
            </w:r>
          </w:p>
        </w:tc>
        <w:tc>
          <w:tcPr>
            <w:tcW w:w="1134" w:type="dxa"/>
            <w:noWrap/>
            <w:vAlign w:val="center"/>
          </w:tcPr>
          <w:p w:rsidR="00514E9F" w:rsidRPr="00DC0BBC" w:rsidRDefault="00514E9F" w:rsidP="00514E9F">
            <w:pPr>
              <w:jc w:val="center"/>
            </w:pPr>
            <w:r w:rsidRPr="00DC0BBC">
              <w:t>8</w:t>
            </w:r>
            <w:r w:rsidR="00742B4D">
              <w:t>9.8</w:t>
            </w:r>
            <w:r w:rsidRPr="00DC0BBC">
              <w:t>%</w:t>
            </w:r>
          </w:p>
        </w:tc>
        <w:tc>
          <w:tcPr>
            <w:tcW w:w="1121" w:type="dxa"/>
            <w:noWrap/>
            <w:vAlign w:val="center"/>
          </w:tcPr>
          <w:p w:rsidR="00514E9F" w:rsidRPr="00DC0BBC" w:rsidRDefault="00514E9F" w:rsidP="00514E9F">
            <w:pPr>
              <w:jc w:val="center"/>
            </w:pPr>
            <w:r w:rsidRPr="00DC0BBC">
              <w:t>9</w:t>
            </w:r>
            <w:r w:rsidR="00742B4D">
              <w:t>7.7</w:t>
            </w:r>
            <w:r w:rsidRPr="00DC0BBC">
              <w:t>%</w:t>
            </w:r>
          </w:p>
        </w:tc>
      </w:tr>
      <w:tr w:rsidR="00514E9F" w:rsidRPr="00DC0BBC" w:rsidTr="00305D66">
        <w:trPr>
          <w:trHeight w:val="548"/>
          <w:jc w:val="center"/>
        </w:trPr>
        <w:tc>
          <w:tcPr>
            <w:tcW w:w="2419" w:type="dxa"/>
            <w:tcBorders>
              <w:top w:val="single" w:sz="4" w:space="0" w:color="auto"/>
              <w:left w:val="single" w:sz="4" w:space="0" w:color="auto"/>
              <w:bottom w:val="single" w:sz="4" w:space="0" w:color="auto"/>
              <w:right w:val="single" w:sz="4" w:space="0" w:color="auto"/>
            </w:tcBorders>
            <w:shd w:val="clear" w:color="auto" w:fill="98C49C"/>
            <w:vAlign w:val="center"/>
          </w:tcPr>
          <w:p w:rsidR="00514E9F" w:rsidRPr="00DC0BBC" w:rsidRDefault="00514E9F" w:rsidP="00514E9F">
            <w:r w:rsidRPr="00DC0BBC">
              <w:rPr>
                <w:b/>
              </w:rPr>
              <w:t>Registrations per year</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14E9F" w:rsidRPr="00DC0BBC" w:rsidRDefault="00514E9F" w:rsidP="00514E9F">
            <w:pPr>
              <w:jc w:val="center"/>
            </w:pPr>
            <w:r w:rsidRPr="00361BEF">
              <w:rPr>
                <w:color w:val="000000"/>
              </w:rPr>
              <w:t>5234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DC0BBC" w:rsidRDefault="00514E9F" w:rsidP="00514E9F">
            <w:pPr>
              <w:jc w:val="center"/>
            </w:pPr>
            <w:r w:rsidRPr="00361BEF">
              <w:rPr>
                <w:color w:val="000000"/>
              </w:rPr>
              <w:t>5</w:t>
            </w:r>
            <w:r>
              <w:rPr>
                <w:color w:val="000000"/>
              </w:rPr>
              <w:t>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DC0BBC" w:rsidRDefault="00514E9F" w:rsidP="00514E9F">
            <w:pPr>
              <w:jc w:val="center"/>
            </w:pPr>
            <w:r>
              <w:rPr>
                <w:color w:val="000000"/>
              </w:rPr>
              <w:t>8097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DC0BBC" w:rsidRDefault="00514E9F" w:rsidP="00514E9F">
            <w:pPr>
              <w:jc w:val="center"/>
            </w:pPr>
            <w:r>
              <w:rPr>
                <w:color w:val="000000"/>
              </w:rPr>
              <w:t>8010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E9F" w:rsidRPr="00DC0BBC" w:rsidRDefault="00514E9F" w:rsidP="00514E9F">
            <w:pPr>
              <w:jc w:val="center"/>
            </w:pPr>
            <w:r>
              <w:rPr>
                <w:color w:val="000000"/>
              </w:rPr>
              <w:t>8157</w:t>
            </w:r>
          </w:p>
        </w:tc>
      </w:tr>
    </w:tbl>
    <w:p w:rsidR="00302CB0" w:rsidRDefault="00302CB0" w:rsidP="00836A7D">
      <w:pPr>
        <w:spacing w:after="120"/>
        <w:rPr>
          <w:i/>
        </w:rPr>
      </w:pPr>
    </w:p>
    <w:p w:rsidR="00DC0BBC" w:rsidRDefault="00836A7D" w:rsidP="00836A7D">
      <w:pPr>
        <w:spacing w:after="120"/>
        <w:rPr>
          <w:i/>
        </w:rPr>
      </w:pPr>
      <w:r w:rsidRPr="00836A7D">
        <w:rPr>
          <w:i/>
        </w:rPr>
        <w:t xml:space="preserve">Table </w:t>
      </w:r>
      <w:r w:rsidR="00335CB8">
        <w:rPr>
          <w:i/>
        </w:rPr>
        <w:t>8</w:t>
      </w:r>
      <w:r w:rsidRPr="00836A7D">
        <w:rPr>
          <w:i/>
        </w:rPr>
        <w:t>(b)</w:t>
      </w:r>
      <w:r w:rsidR="00335CB8">
        <w:rPr>
          <w:i/>
        </w:rPr>
        <w:t>:</w:t>
      </w:r>
      <w:r w:rsidRPr="00836A7D">
        <w:rPr>
          <w:i/>
        </w:rPr>
        <w:t xml:space="preserve"> </w:t>
      </w:r>
      <w:r w:rsidR="00335CB8">
        <w:rPr>
          <w:i/>
        </w:rPr>
        <w:t>P</w:t>
      </w:r>
      <w:r w:rsidRPr="00836A7D">
        <w:rPr>
          <w:i/>
        </w:rPr>
        <w:t>roposed new fee option</w:t>
      </w:r>
    </w:p>
    <w:tbl>
      <w:tblPr>
        <w:tblW w:w="0" w:type="auto"/>
        <w:tblInd w:w="-294" w:type="dxa"/>
        <w:tblCellMar>
          <w:left w:w="0" w:type="dxa"/>
          <w:right w:w="0" w:type="dxa"/>
        </w:tblCellMar>
        <w:tblLook w:val="04A0" w:firstRow="1" w:lastRow="0" w:firstColumn="1" w:lastColumn="0" w:noHBand="0" w:noVBand="1"/>
      </w:tblPr>
      <w:tblGrid>
        <w:gridCol w:w="3970"/>
        <w:gridCol w:w="1276"/>
        <w:gridCol w:w="1275"/>
        <w:gridCol w:w="1120"/>
        <w:gridCol w:w="939"/>
      </w:tblGrid>
      <w:tr w:rsidR="00836A7D" w:rsidRPr="00836A7D" w:rsidTr="00A60930">
        <w:tc>
          <w:tcPr>
            <w:tcW w:w="3970" w:type="dxa"/>
            <w:tcBorders>
              <w:top w:val="single" w:sz="8" w:space="0" w:color="auto"/>
              <w:left w:val="single" w:sz="8" w:space="0" w:color="auto"/>
              <w:bottom w:val="single" w:sz="8" w:space="0" w:color="auto"/>
              <w:right w:val="single" w:sz="8" w:space="0" w:color="auto"/>
            </w:tcBorders>
            <w:shd w:val="clear" w:color="auto" w:fill="98C49C"/>
            <w:tcMar>
              <w:top w:w="0" w:type="dxa"/>
              <w:left w:w="108" w:type="dxa"/>
              <w:bottom w:w="0" w:type="dxa"/>
              <w:right w:w="108" w:type="dxa"/>
            </w:tcMar>
            <w:hideMark/>
          </w:tcPr>
          <w:p w:rsidR="00836A7D" w:rsidRPr="00836A7D" w:rsidRDefault="00836A7D" w:rsidP="00836A7D">
            <w:pPr>
              <w:spacing w:before="120" w:after="120"/>
              <w:rPr>
                <w:b/>
              </w:rPr>
            </w:pPr>
            <w:r>
              <w:rPr>
                <w:b/>
              </w:rPr>
              <w:t>Fee</w:t>
            </w:r>
          </w:p>
        </w:tc>
        <w:tc>
          <w:tcPr>
            <w:tcW w:w="1276"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836A7D" w:rsidRPr="00836A7D" w:rsidRDefault="00836A7D" w:rsidP="00836A7D">
            <w:pPr>
              <w:spacing w:before="120" w:after="120"/>
              <w:jc w:val="center"/>
              <w:rPr>
                <w:b/>
              </w:rPr>
            </w:pPr>
            <w:r w:rsidRPr="00836A7D">
              <w:rPr>
                <w:b/>
              </w:rPr>
              <w:t>2017/18</w:t>
            </w:r>
          </w:p>
        </w:tc>
        <w:tc>
          <w:tcPr>
            <w:tcW w:w="1275"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836A7D" w:rsidRPr="00836A7D" w:rsidRDefault="00836A7D" w:rsidP="00836A7D">
            <w:pPr>
              <w:spacing w:before="120" w:after="120"/>
              <w:jc w:val="center"/>
              <w:rPr>
                <w:b/>
              </w:rPr>
            </w:pPr>
            <w:r w:rsidRPr="00836A7D">
              <w:rPr>
                <w:b/>
              </w:rPr>
              <w:t>2018/19</w:t>
            </w:r>
          </w:p>
        </w:tc>
        <w:tc>
          <w:tcPr>
            <w:tcW w:w="1120"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836A7D" w:rsidRPr="00836A7D" w:rsidRDefault="00836A7D" w:rsidP="00836A7D">
            <w:pPr>
              <w:spacing w:before="120" w:after="120"/>
              <w:jc w:val="center"/>
              <w:rPr>
                <w:b/>
              </w:rPr>
            </w:pPr>
            <w:r w:rsidRPr="00836A7D">
              <w:rPr>
                <w:b/>
              </w:rPr>
              <w:t>2019/20</w:t>
            </w:r>
          </w:p>
        </w:tc>
        <w:tc>
          <w:tcPr>
            <w:tcW w:w="939"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836A7D" w:rsidRPr="00836A7D" w:rsidRDefault="00836A7D" w:rsidP="00836A7D">
            <w:pPr>
              <w:spacing w:before="120" w:after="120"/>
              <w:jc w:val="center"/>
              <w:rPr>
                <w:b/>
              </w:rPr>
            </w:pPr>
            <w:r w:rsidRPr="00836A7D">
              <w:rPr>
                <w:b/>
              </w:rPr>
              <w:t>2020/21</w:t>
            </w:r>
          </w:p>
        </w:tc>
      </w:tr>
      <w:tr w:rsidR="00836A7D" w:rsidRPr="00836A7D" w:rsidTr="00A60930">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pPr>
            <w:r w:rsidRPr="00836A7D">
              <w:t>Band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jc w:val="center"/>
            </w:pPr>
            <w:r w:rsidRPr="00836A7D">
              <w:t>$450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$4</w:t>
            </w:r>
            <w:r w:rsidR="00742B4D">
              <w:t>73</w:t>
            </w:r>
          </w:p>
        </w:tc>
        <w:tc>
          <w:tcPr>
            <w:tcW w:w="1120"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$5</w:t>
            </w:r>
            <w:r w:rsidR="00742B4D">
              <w:t>06</w:t>
            </w: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551</w:t>
            </w:r>
          </w:p>
        </w:tc>
      </w:tr>
      <w:tr w:rsidR="00836A7D" w:rsidRPr="00836A7D" w:rsidTr="00A60930">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pPr>
            <w:r w:rsidRPr="00836A7D">
              <w:t>Band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jc w:val="center"/>
            </w:pPr>
            <w:r w:rsidRPr="00836A7D">
              <w:t>$600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$6</w:t>
            </w:r>
            <w:r w:rsidR="00742B4D">
              <w:t>30</w:t>
            </w:r>
          </w:p>
        </w:tc>
        <w:tc>
          <w:tcPr>
            <w:tcW w:w="1120"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674</w:t>
            </w: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735</w:t>
            </w:r>
          </w:p>
        </w:tc>
      </w:tr>
      <w:tr w:rsidR="00836A7D" w:rsidRPr="00836A7D" w:rsidTr="00A60930">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pPr>
            <w:r w:rsidRPr="00836A7D">
              <w:t>Band 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36A7D" w:rsidRPr="00836A7D" w:rsidRDefault="00836A7D" w:rsidP="00836A7D">
            <w:pPr>
              <w:spacing w:before="120" w:after="120"/>
              <w:jc w:val="center"/>
            </w:pPr>
            <w:r w:rsidRPr="00836A7D">
              <w:t>$750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788</w:t>
            </w:r>
          </w:p>
        </w:tc>
        <w:tc>
          <w:tcPr>
            <w:tcW w:w="1120"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843</w:t>
            </w: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836A7D" w:rsidRPr="00836A7D" w:rsidRDefault="00836A7D" w:rsidP="00836A7D">
            <w:pPr>
              <w:spacing w:before="120" w:after="120"/>
              <w:jc w:val="center"/>
            </w:pPr>
            <w:r w:rsidRPr="00836A7D">
              <w:t>$</w:t>
            </w:r>
            <w:r w:rsidR="00742B4D">
              <w:t>918</w:t>
            </w:r>
          </w:p>
        </w:tc>
      </w:tr>
    </w:tbl>
    <w:p w:rsidR="00836A7D" w:rsidRPr="00836A7D" w:rsidRDefault="00836A7D" w:rsidP="00DC0BBC"/>
    <w:p w:rsidR="00836A7D" w:rsidRDefault="00836A7D" w:rsidP="00E96566"/>
    <w:p w:rsidR="00E96566" w:rsidRDefault="00F6749E" w:rsidP="00F6749E">
      <w:pPr>
        <w:pStyle w:val="Heading1"/>
      </w:pPr>
      <w:bookmarkStart w:id="37" w:name="_Toc471476066"/>
      <w:r>
        <w:t>6</w:t>
      </w:r>
      <w:r w:rsidR="006B1A8C">
        <w:t xml:space="preserve">.0 </w:t>
      </w:r>
      <w:r w:rsidR="00F22C0E" w:rsidRPr="00F22C0E">
        <w:t>Other Charges and Registration Period</w:t>
      </w:r>
      <w:bookmarkEnd w:id="37"/>
    </w:p>
    <w:p w:rsidR="00F22C0E" w:rsidRDefault="00F6749E" w:rsidP="005B71C1">
      <w:pPr>
        <w:pStyle w:val="Heading2"/>
      </w:pPr>
      <w:bookmarkStart w:id="38" w:name="_Toc471476067"/>
      <w:r>
        <w:t>6</w:t>
      </w:r>
      <w:r w:rsidR="006B1A8C">
        <w:t xml:space="preserve">.1 </w:t>
      </w:r>
      <w:r w:rsidR="00691D48">
        <w:t>Charging for other p</w:t>
      </w:r>
      <w:r w:rsidR="00F22C0E" w:rsidRPr="00F22C0E">
        <w:t>rocesses</w:t>
      </w:r>
      <w:bookmarkEnd w:id="38"/>
    </w:p>
    <w:p w:rsidR="00F22C0E" w:rsidRDefault="00F22C0E" w:rsidP="00F22C0E">
      <w:r>
        <w:t>Currently, the only fees payable under GEMS are for new registrations and variations to existing registrations t</w:t>
      </w:r>
      <w:r w:rsidR="00BD3A9C">
        <w:t>o add an additional model. The r</w:t>
      </w:r>
      <w:r>
        <w:t xml:space="preserve">eview considered whether charges should also be payable for other registration-related processes. Requests for exemption are the only process which warrants consideration, as they are relatively simple for an applicant to lodge yet take considerable time for the Regulator to determine.  </w:t>
      </w:r>
    </w:p>
    <w:p w:rsidR="00F22C0E" w:rsidRDefault="00F22C0E" w:rsidP="00F22C0E"/>
    <w:p w:rsidR="00F22C0E" w:rsidRDefault="00F22C0E" w:rsidP="00F22C0E">
      <w:r>
        <w:t>The time taken to process an application for exempt</w:t>
      </w:r>
      <w:r w:rsidR="00691D48">
        <w:t xml:space="preserve">ion depends on its complexity. </w:t>
      </w:r>
      <w:r>
        <w:t xml:space="preserve">On average, it takes around 12 hours to complete the process, spread over a period of between two weeks to three months. It is estimated that the cost of processing each application is approximately $950. </w:t>
      </w:r>
    </w:p>
    <w:p w:rsidR="00F22C0E" w:rsidRDefault="00F22C0E" w:rsidP="00F22C0E"/>
    <w:p w:rsidR="00F22C0E" w:rsidRDefault="00F22C0E" w:rsidP="00F22C0E">
      <w:r>
        <w:t>Currently, no fee is specified for processing such an instrument, although paragraph 37(4</w:t>
      </w:r>
      <w:proofErr w:type="gramStart"/>
      <w:r>
        <w:t>)(</w:t>
      </w:r>
      <w:proofErr w:type="gramEnd"/>
      <w:r>
        <w:t xml:space="preserve">c) of the GEMS Act allows for the Regulator to specify a fee to accompany an application for exemption. </w:t>
      </w:r>
    </w:p>
    <w:p w:rsidR="00F22C0E" w:rsidRDefault="00F22C0E" w:rsidP="00F22C0E"/>
    <w:p w:rsidR="00F22C0E" w:rsidRDefault="00F22C0E" w:rsidP="00F22C0E">
      <w:r>
        <w:t>At the end of 2015, 21 exemption requests were received and closed. Of these requests, 18 exemptions were granted, one was refused and two were closed without proceeding to a decision. To date in 2016</w:t>
      </w:r>
      <w:r w:rsidR="00112161">
        <w:t>-</w:t>
      </w:r>
      <w:r w:rsidR="008B22AD">
        <w:t>17</w:t>
      </w:r>
      <w:r w:rsidR="00112161">
        <w:t xml:space="preserve"> </w:t>
      </w:r>
      <w:r>
        <w:t>we have received eight applications for exemption. Imposing an exemption application fee could have a number of benefits for the schemes. However, a cost recovery charge needs to be linked to the cost of providing the service. It could potentially be an unreasonable expense and in most cases the cost to submit an exemption would be higher than a registration fee. This may be a barrier for applicants to seek an exemption or contact the Regulator as required.</w:t>
      </w:r>
    </w:p>
    <w:p w:rsidR="00AD14AF" w:rsidRDefault="00AD14AF" w:rsidP="00F22C0E"/>
    <w:p w:rsidR="00AD14AF" w:rsidRPr="0025014C" w:rsidRDefault="00AD14AF" w:rsidP="00AD14AF">
      <w:pPr>
        <w:rPr>
          <w:color w:val="auto"/>
        </w:rPr>
      </w:pPr>
      <w:r>
        <w:rPr>
          <w:color w:val="auto"/>
        </w:rPr>
        <w:t>Depending on the product type and the determination definition for a family of models, registrants are able to add a</w:t>
      </w:r>
      <w:r w:rsidR="00563C71">
        <w:rPr>
          <w:color w:val="auto"/>
        </w:rPr>
        <w:t xml:space="preserve"> </w:t>
      </w:r>
      <w:r>
        <w:rPr>
          <w:color w:val="auto"/>
        </w:rPr>
        <w:t xml:space="preserve">model to a registration via a variation. The current change is $250. Due to the low number of add a model variations processed by the Regulator throughout the year, it is not feasible to increase these fees. </w:t>
      </w:r>
    </w:p>
    <w:p w:rsidR="00F22C0E" w:rsidRDefault="00F22C0E" w:rsidP="00F22C0E"/>
    <w:p w:rsidR="00F22C0E" w:rsidRDefault="00F22C0E" w:rsidP="0025014C">
      <w:pPr>
        <w:pBdr>
          <w:top w:val="single" w:sz="4" w:space="1" w:color="auto"/>
          <w:left w:val="single" w:sz="4" w:space="4" w:color="auto"/>
          <w:bottom w:val="single" w:sz="4" w:space="1" w:color="auto"/>
          <w:right w:val="single" w:sz="4" w:space="4" w:color="auto"/>
        </w:pBdr>
      </w:pPr>
      <w:r w:rsidRPr="00F22C0E">
        <w:rPr>
          <w:b/>
        </w:rPr>
        <w:t>Recommendation 4</w:t>
      </w:r>
      <w:r w:rsidR="00BD3A9C">
        <w:rPr>
          <w:b/>
        </w:rPr>
        <w:t xml:space="preserve">: </w:t>
      </w:r>
      <w:r w:rsidRPr="00F22C0E">
        <w:t xml:space="preserve">Do not impose an administrative charge on applications for </w:t>
      </w:r>
      <w:r w:rsidR="0025014C">
        <w:t xml:space="preserve">an exemption. </w:t>
      </w:r>
    </w:p>
    <w:p w:rsidR="0025014C" w:rsidRDefault="0025014C" w:rsidP="005B71C1">
      <w:pPr>
        <w:pStyle w:val="Heading2"/>
      </w:pPr>
      <w:bookmarkStart w:id="39" w:name="_Toc471476068"/>
    </w:p>
    <w:p w:rsidR="00F22C0E" w:rsidRDefault="00F6749E" w:rsidP="005B71C1">
      <w:pPr>
        <w:pStyle w:val="Heading2"/>
      </w:pPr>
      <w:r>
        <w:t>6</w:t>
      </w:r>
      <w:r w:rsidR="00F22C0E" w:rsidRPr="00F22C0E">
        <w:t>.</w:t>
      </w:r>
      <w:r w:rsidR="00391F0C">
        <w:t>2</w:t>
      </w:r>
      <w:r w:rsidR="00691D48">
        <w:t xml:space="preserve"> Providing alternative payment m</w:t>
      </w:r>
      <w:r w:rsidR="00F22C0E" w:rsidRPr="00F22C0E">
        <w:t>echanisms</w:t>
      </w:r>
      <w:bookmarkEnd w:id="39"/>
    </w:p>
    <w:p w:rsidR="00F22C0E" w:rsidRDefault="00F22C0E" w:rsidP="00F22C0E">
      <w:r>
        <w:t xml:space="preserve">Currently, the only payment options available to registrants are Visa and MasterCard. The decision to offer only limited payment options was taken at the outset of GEMS to maximise efficiency and minimise the time taken to approve payments and process applications. However, industry stakeholders have requested further options, including American Express (AMEX), Diners and EFTPOS, as not all businesses operate using Visa and MasterCard. </w:t>
      </w:r>
    </w:p>
    <w:p w:rsidR="00F22C0E" w:rsidRDefault="00F22C0E" w:rsidP="00F22C0E">
      <w:r>
        <w:t>Currently, payments are made through the GEMS registration system via the Government IP Payment Systems, which is managed by the Reserve Bank of Australia (RBA). This process is immediate and confirms to the applicant that the application has been submitted – or that it has not. Only once the payment is confirmed will the application proceed to the queuing system to be assessed by a Technical Assessment Officer.</w:t>
      </w:r>
    </w:p>
    <w:p w:rsidR="00BD3A9C" w:rsidRDefault="00BD3A9C" w:rsidP="00F22C0E"/>
    <w:p w:rsidR="00F22C0E" w:rsidRPr="0037147F" w:rsidRDefault="00691D48" w:rsidP="0037147F">
      <w:pPr>
        <w:spacing w:after="120"/>
        <w:rPr>
          <w:b/>
        </w:rPr>
      </w:pPr>
      <w:r>
        <w:rPr>
          <w:b/>
        </w:rPr>
        <w:t>Electronic f</w:t>
      </w:r>
      <w:r w:rsidR="00F22C0E" w:rsidRPr="0037147F">
        <w:rPr>
          <w:b/>
        </w:rPr>
        <w:t>unds transfer (EFT) and American Express (AMEX)</w:t>
      </w:r>
    </w:p>
    <w:p w:rsidR="00F22C0E" w:rsidRDefault="00F22C0E" w:rsidP="00F22C0E">
      <w:r>
        <w:t>Offering AMEX would be feasible without adding significant costs. There are a number of issues in regards to the introduction of EFT facilities. The introduction of EFT payments would mean that registrations would not be submitted to the Regulator immediately. This will cause delays to a registration being processed and approval certificate being correctly provided to an applicant. An EFT system would require additional resources to manually check the EFT transfers every day and confirm before processing. This would be resource intensive and would require an additional staff member to manage on a daily basis. It was also noted that the system enhancement to have EFT introduced would add significant costs and potential upward pressure to the registration fees.</w:t>
      </w:r>
    </w:p>
    <w:p w:rsidR="008A1488" w:rsidRDefault="008A1488" w:rsidP="00F22C0E"/>
    <w:p w:rsidR="00F22C0E" w:rsidRDefault="00F22C0E" w:rsidP="00F22C0E">
      <w:r>
        <w:t>While the addition of AMEX would require some programming changes to the registration system, these are feasible without significantly adding to the scheme’s cost base.</w:t>
      </w:r>
    </w:p>
    <w:p w:rsidR="008A1488" w:rsidRDefault="008A1488" w:rsidP="00F22C0E"/>
    <w:p w:rsidR="008A1488" w:rsidRPr="00BD3A9C" w:rsidRDefault="008A1488" w:rsidP="008A1488">
      <w:pPr>
        <w:pBdr>
          <w:top w:val="single" w:sz="4" w:space="1" w:color="auto"/>
          <w:left w:val="single" w:sz="4" w:space="4" w:color="auto"/>
          <w:bottom w:val="single" w:sz="4" w:space="1" w:color="auto"/>
          <w:right w:val="single" w:sz="4" w:space="4" w:color="auto"/>
        </w:pBdr>
        <w:rPr>
          <w:b/>
        </w:rPr>
      </w:pPr>
      <w:r w:rsidRPr="008A1488">
        <w:rPr>
          <w:b/>
        </w:rPr>
        <w:t>Recommendation 5</w:t>
      </w:r>
      <w:r w:rsidR="00BD3A9C">
        <w:rPr>
          <w:b/>
        </w:rPr>
        <w:t xml:space="preserve">: </w:t>
      </w:r>
      <w:r w:rsidRPr="008A1488">
        <w:t xml:space="preserve">Add AMEX as an additional payment option and require those registrants using AMEX to pay the relevant surcharge. </w:t>
      </w:r>
    </w:p>
    <w:p w:rsidR="008A1488" w:rsidRDefault="008A1488" w:rsidP="00F22C0E"/>
    <w:p w:rsidR="008A1488" w:rsidRDefault="00F6749E" w:rsidP="005B71C1">
      <w:pPr>
        <w:pStyle w:val="Heading2"/>
      </w:pPr>
      <w:bookmarkStart w:id="40" w:name="_Toc471476069"/>
      <w:r>
        <w:t>6</w:t>
      </w:r>
      <w:r w:rsidR="008A1488" w:rsidRPr="008A1488">
        <w:t>.</w:t>
      </w:r>
      <w:r w:rsidR="00391F0C">
        <w:t>3</w:t>
      </w:r>
      <w:r w:rsidR="00691D48">
        <w:t xml:space="preserve"> Registration p</w:t>
      </w:r>
      <w:r w:rsidR="008A1488" w:rsidRPr="008A1488">
        <w:t>eriod</w:t>
      </w:r>
      <w:bookmarkEnd w:id="40"/>
      <w:r w:rsidR="008A1488" w:rsidRPr="008A1488">
        <w:t xml:space="preserve"> </w:t>
      </w:r>
    </w:p>
    <w:p w:rsidR="008A1488" w:rsidRDefault="008A1488" w:rsidP="008A1488">
      <w:r>
        <w:t>Currently, all GEMS registrations are for a standard five year term. Registrations of a standard length were implemented because they were considered simple to administer, straightforward for registrants, and economical in terms of the ongoing monitoring for both registrants and the Regulator.</w:t>
      </w:r>
    </w:p>
    <w:p w:rsidR="008A1488" w:rsidRDefault="008A1488" w:rsidP="008A1488"/>
    <w:p w:rsidR="008A1488" w:rsidRDefault="008A1488" w:rsidP="008A1488">
      <w:r>
        <w:t xml:space="preserve">Through the </w:t>
      </w:r>
      <w:r w:rsidR="00BD3A9C">
        <w:t xml:space="preserve">2015 </w:t>
      </w:r>
      <w:r>
        <w:t>GEMS Review</w:t>
      </w:r>
      <w:r w:rsidR="00BD3A9C">
        <w:t xml:space="preserve">, </w:t>
      </w:r>
      <w:r>
        <w:t xml:space="preserve">stakeholders asked the Regulator to consider the potential for registration periods shorter or longer than the standard five year period, based on the expected shelf life of a product type. This issue has also been raised by other industry groups at various times since the commencement of the GEMS Act.  </w:t>
      </w:r>
    </w:p>
    <w:p w:rsidR="008A1488" w:rsidRDefault="008A1488" w:rsidP="008A1488"/>
    <w:p w:rsidR="008A1488" w:rsidRDefault="008A1488" w:rsidP="008A1488">
      <w:r>
        <w:t>The length of a registration period, and the level of the registration fee, has a bearing on the ability of a cost recovery system to be responsive to fluctuations in demand or the costs of administering the system. Longer registration periods are likely to make it more difficult to maintain alignment between revenue and expenses over time, and be responsive to fluctuations in registration numbers or administration costs. Any change from a standard registration period that applies to all products will add complexity to both scheme administration and the management of cost recovery going forward.</w:t>
      </w:r>
    </w:p>
    <w:p w:rsidR="008A1488" w:rsidRDefault="008A1488" w:rsidP="008A1488"/>
    <w:p w:rsidR="008A1488" w:rsidRDefault="008A1488" w:rsidP="008A1488">
      <w:r>
        <w:t xml:space="preserve">The current fee structure, and options provided for future </w:t>
      </w:r>
      <w:r w:rsidR="008B22AD">
        <w:t xml:space="preserve">fee structures </w:t>
      </w:r>
      <w:r>
        <w:t>with the same registration period for all products, and fee band groupings based on products with similar costs, aim to be practical and easy to understand, and minimise volatility. The five year period attempts to strike a middle ground, balancing flexibility and the need to minimise volatility.</w:t>
      </w:r>
    </w:p>
    <w:p w:rsidR="00391F0C" w:rsidRDefault="00391F0C" w:rsidP="008A1488"/>
    <w:p w:rsidR="008A1488" w:rsidRDefault="008A1488" w:rsidP="008A1488">
      <w:r>
        <w:t>With 22 product types currently regulated, a cost recovery model based on registration periods of varying lengths would be more complex to administer.</w:t>
      </w:r>
      <w:r w:rsidR="00BD3A9C">
        <w:t xml:space="preserve"> </w:t>
      </w:r>
      <w:r w:rsidRPr="008A1488">
        <w:t>On balance, the five year registration period appears to be the appropriate balance between these conflicting considerations from both parties’ perspective.</w:t>
      </w:r>
    </w:p>
    <w:p w:rsidR="008A1488" w:rsidRDefault="008A1488" w:rsidP="008A1488"/>
    <w:p w:rsidR="008A1488" w:rsidRPr="008A1488" w:rsidRDefault="008A1488" w:rsidP="008A1488">
      <w:pPr>
        <w:pBdr>
          <w:top w:val="single" w:sz="4" w:space="1" w:color="auto"/>
          <w:left w:val="single" w:sz="4" w:space="4" w:color="auto"/>
          <w:bottom w:val="single" w:sz="4" w:space="1" w:color="auto"/>
          <w:right w:val="single" w:sz="4" w:space="4" w:color="auto"/>
        </w:pBdr>
        <w:rPr>
          <w:b/>
        </w:rPr>
      </w:pPr>
      <w:r w:rsidRPr="008A1488">
        <w:rPr>
          <w:b/>
        </w:rPr>
        <w:t>Recommendation 6</w:t>
      </w:r>
    </w:p>
    <w:p w:rsidR="008A1488" w:rsidRDefault="008A1488" w:rsidP="008A1488">
      <w:pPr>
        <w:pBdr>
          <w:top w:val="single" w:sz="4" w:space="1" w:color="auto"/>
          <w:left w:val="single" w:sz="4" w:space="4" w:color="auto"/>
          <w:bottom w:val="single" w:sz="4" w:space="1" w:color="auto"/>
          <w:right w:val="single" w:sz="4" w:space="4" w:color="auto"/>
        </w:pBdr>
      </w:pPr>
      <w:r w:rsidRPr="008A1488">
        <w:t>Retain the standard five year period for all registrations.</w:t>
      </w:r>
    </w:p>
    <w:p w:rsidR="00F6749E" w:rsidRDefault="00F6749E">
      <w:pPr>
        <w:spacing w:line="240" w:lineRule="auto"/>
      </w:pPr>
      <w:r>
        <w:br w:type="page"/>
      </w:r>
    </w:p>
    <w:p w:rsidR="008A1488" w:rsidRDefault="00F6749E" w:rsidP="00F6749E">
      <w:pPr>
        <w:pStyle w:val="Heading1"/>
      </w:pPr>
      <w:bookmarkStart w:id="41" w:name="_Toc471476070"/>
      <w:r>
        <w:t>7</w:t>
      </w:r>
      <w:r w:rsidR="008A1488" w:rsidRPr="008A1488">
        <w:t>.0 Consultation</w:t>
      </w:r>
      <w:bookmarkEnd w:id="41"/>
    </w:p>
    <w:p w:rsidR="001C262D" w:rsidRDefault="001C262D" w:rsidP="00045367"/>
    <w:p w:rsidR="001C262D" w:rsidRPr="005E3012" w:rsidRDefault="001C262D" w:rsidP="001C262D">
      <w:pPr>
        <w:rPr>
          <w:rFonts w:eastAsiaTheme="minorHAnsi" w:cs="Arial"/>
          <w:color w:val="auto"/>
          <w:lang w:val="en"/>
        </w:rPr>
      </w:pPr>
      <w:r w:rsidRPr="005E3012">
        <w:rPr>
          <w:rFonts w:cs="Arial"/>
          <w:color w:val="auto"/>
        </w:rPr>
        <w:t xml:space="preserve">The Department of Environment and Energy invites stakeholders to take part in consultation on the proposed fees to recover the costs associated with the delivery of services under </w:t>
      </w:r>
      <w:r w:rsidRPr="005E3012">
        <w:rPr>
          <w:rFonts w:cs="Arial"/>
          <w:color w:val="auto"/>
          <w:lang w:val="en"/>
        </w:rPr>
        <w:t xml:space="preserve">the </w:t>
      </w:r>
      <w:r w:rsidRPr="005E3012">
        <w:rPr>
          <w:rFonts w:cs="Arial"/>
          <w:i/>
          <w:iCs/>
          <w:color w:val="auto"/>
          <w:lang w:val="en"/>
        </w:rPr>
        <w:t>Greenhouse and Energy Minimum Standards (GEMS) Act 2012</w:t>
      </w:r>
      <w:r w:rsidRPr="005E3012">
        <w:rPr>
          <w:rFonts w:cs="Arial"/>
          <w:color w:val="auto"/>
          <w:lang w:val="en"/>
        </w:rPr>
        <w:t xml:space="preserve">. </w:t>
      </w:r>
    </w:p>
    <w:p w:rsidR="001C262D" w:rsidRPr="005E3012" w:rsidRDefault="001C262D" w:rsidP="001C262D">
      <w:pPr>
        <w:rPr>
          <w:rFonts w:cs="Arial"/>
          <w:color w:val="auto"/>
          <w:lang w:val="en"/>
        </w:rPr>
      </w:pPr>
    </w:p>
    <w:p w:rsidR="001C262D" w:rsidRPr="005E3012" w:rsidRDefault="001C262D" w:rsidP="001C262D">
      <w:pPr>
        <w:rPr>
          <w:rFonts w:cs="Arial"/>
          <w:b/>
          <w:bCs/>
          <w:color w:val="auto"/>
        </w:rPr>
      </w:pPr>
      <w:r w:rsidRPr="005E3012">
        <w:rPr>
          <w:rFonts w:cs="Arial"/>
          <w:b/>
          <w:bCs/>
          <w:color w:val="auto"/>
        </w:rPr>
        <w:t>Stakeholders are specifically invited to comment on:</w:t>
      </w:r>
    </w:p>
    <w:p w:rsidR="001C262D" w:rsidRPr="005E3012" w:rsidRDefault="001C262D" w:rsidP="0025014C">
      <w:pPr>
        <w:pStyle w:val="ListParagraph"/>
        <w:numPr>
          <w:ilvl w:val="0"/>
          <w:numId w:val="17"/>
        </w:numPr>
        <w:spacing w:after="120"/>
        <w:contextualSpacing w:val="0"/>
        <w:rPr>
          <w:rFonts w:ascii="Arial" w:hAnsi="Arial" w:cs="Arial"/>
        </w:rPr>
      </w:pPr>
      <w:r w:rsidRPr="005E3012">
        <w:rPr>
          <w:rFonts w:ascii="Arial" w:hAnsi="Arial" w:cs="Arial"/>
        </w:rPr>
        <w:t>the proposed recommendations</w:t>
      </w:r>
    </w:p>
    <w:p w:rsidR="001C262D" w:rsidRPr="005E3012" w:rsidRDefault="001C262D" w:rsidP="0025014C">
      <w:pPr>
        <w:pStyle w:val="ListNumber"/>
        <w:numPr>
          <w:ilvl w:val="0"/>
          <w:numId w:val="17"/>
        </w:numPr>
        <w:spacing w:after="120" w:line="240" w:lineRule="auto"/>
        <w:ind w:left="714" w:hanging="357"/>
        <w:rPr>
          <w:rFonts w:cs="Arial"/>
          <w:color w:val="auto"/>
        </w:rPr>
      </w:pPr>
      <w:r w:rsidRPr="005E3012">
        <w:rPr>
          <w:rFonts w:cs="Arial"/>
          <w:color w:val="auto"/>
        </w:rPr>
        <w:t>their preferred method to reach full cost recovery</w:t>
      </w:r>
    </w:p>
    <w:p w:rsidR="001C262D" w:rsidRPr="005E3012" w:rsidRDefault="001C262D" w:rsidP="0025014C">
      <w:pPr>
        <w:pStyle w:val="ListNumber"/>
        <w:numPr>
          <w:ilvl w:val="0"/>
          <w:numId w:val="17"/>
        </w:numPr>
        <w:spacing w:after="120" w:line="240" w:lineRule="auto"/>
        <w:ind w:left="714" w:hanging="357"/>
        <w:rPr>
          <w:rFonts w:cs="Arial"/>
          <w:color w:val="auto"/>
        </w:rPr>
      </w:pPr>
      <w:r w:rsidRPr="005E3012">
        <w:rPr>
          <w:rFonts w:cs="Arial"/>
          <w:color w:val="auto"/>
        </w:rPr>
        <w:t xml:space="preserve">the level of fee increase and </w:t>
      </w:r>
    </w:p>
    <w:p w:rsidR="001C262D" w:rsidRPr="005E3012" w:rsidRDefault="001C262D" w:rsidP="0025014C">
      <w:pPr>
        <w:pStyle w:val="ListNumber"/>
        <w:numPr>
          <w:ilvl w:val="0"/>
          <w:numId w:val="17"/>
        </w:numPr>
        <w:spacing w:after="120" w:line="240" w:lineRule="auto"/>
        <w:ind w:left="714" w:hanging="357"/>
        <w:rPr>
          <w:rFonts w:cs="Arial"/>
          <w:color w:val="auto"/>
        </w:rPr>
      </w:pPr>
      <w:proofErr w:type="gramStart"/>
      <w:r w:rsidRPr="005E3012">
        <w:rPr>
          <w:rFonts w:cs="Arial"/>
          <w:color w:val="auto"/>
        </w:rPr>
        <w:t>the</w:t>
      </w:r>
      <w:proofErr w:type="gramEnd"/>
      <w:r w:rsidRPr="005E3012">
        <w:rPr>
          <w:rFonts w:cs="Arial"/>
          <w:color w:val="auto"/>
        </w:rPr>
        <w:t xml:space="preserve"> notice period for a fee increase or changes.</w:t>
      </w:r>
    </w:p>
    <w:p w:rsidR="001C262D" w:rsidRPr="005E3012" w:rsidRDefault="001C262D" w:rsidP="001C262D">
      <w:pPr>
        <w:pStyle w:val="ListNumber"/>
        <w:numPr>
          <w:ilvl w:val="0"/>
          <w:numId w:val="0"/>
        </w:numPr>
        <w:tabs>
          <w:tab w:val="left" w:pos="720"/>
        </w:tabs>
        <w:spacing w:before="100" w:beforeAutospacing="1" w:after="100" w:afterAutospacing="1"/>
        <w:rPr>
          <w:rFonts w:cs="Arial"/>
          <w:color w:val="auto"/>
        </w:rPr>
      </w:pPr>
      <w:r w:rsidRPr="005E3012">
        <w:rPr>
          <w:rFonts w:cs="Arial"/>
          <w:color w:val="auto"/>
        </w:rPr>
        <w:t xml:space="preserve">Stakeholders may also provide comment on other fee and cost recovery related issues. </w:t>
      </w:r>
    </w:p>
    <w:p w:rsidR="001C262D" w:rsidRPr="005E3012" w:rsidRDefault="001C262D" w:rsidP="001C262D">
      <w:pPr>
        <w:rPr>
          <w:rFonts w:cs="Arial"/>
          <w:color w:val="auto"/>
        </w:rPr>
      </w:pPr>
      <w:r w:rsidRPr="005E3012">
        <w:rPr>
          <w:rFonts w:cs="Arial"/>
          <w:color w:val="auto"/>
        </w:rPr>
        <w:t xml:space="preserve">We invite stakeholders invited to submit written submissions to this consultation paper by 5pm </w:t>
      </w:r>
      <w:r w:rsidRPr="005E3012">
        <w:rPr>
          <w:rFonts w:cs="Arial"/>
          <w:color w:val="auto"/>
        </w:rPr>
        <w:br/>
      </w:r>
      <w:r w:rsidR="007A3D5C">
        <w:rPr>
          <w:rFonts w:cs="Arial"/>
          <w:color w:val="auto"/>
        </w:rPr>
        <w:t>14</w:t>
      </w:r>
      <w:r w:rsidR="00507FB4" w:rsidRPr="00507FB4">
        <w:rPr>
          <w:rFonts w:cs="Arial"/>
          <w:color w:val="auto"/>
        </w:rPr>
        <w:t xml:space="preserve"> March </w:t>
      </w:r>
      <w:r w:rsidRPr="00507FB4">
        <w:rPr>
          <w:rFonts w:cs="Arial"/>
          <w:color w:val="auto"/>
        </w:rPr>
        <w:t xml:space="preserve">2017 via </w:t>
      </w:r>
      <w:hyperlink r:id="rId17" w:history="1">
        <w:r w:rsidRPr="00507FB4">
          <w:rPr>
            <w:rStyle w:val="Hyperlink"/>
            <w:rFonts w:cs="Arial"/>
            <w:color w:val="auto"/>
          </w:rPr>
          <w:t>energyrating@environment.gov.au</w:t>
        </w:r>
      </w:hyperlink>
      <w:r w:rsidRPr="005E3012">
        <w:rPr>
          <w:rFonts w:cs="Arial"/>
          <w:color w:val="auto"/>
        </w:rPr>
        <w:t xml:space="preserve">. </w:t>
      </w:r>
    </w:p>
    <w:p w:rsidR="001C262D" w:rsidRPr="005E3012" w:rsidRDefault="001C262D" w:rsidP="001C262D">
      <w:pPr>
        <w:rPr>
          <w:rFonts w:cs="Arial"/>
          <w:color w:val="auto"/>
          <w:lang w:val="en"/>
        </w:rPr>
      </w:pPr>
    </w:p>
    <w:p w:rsidR="001C262D" w:rsidRPr="005E3012" w:rsidRDefault="001C262D" w:rsidP="001C262D">
      <w:pPr>
        <w:rPr>
          <w:rFonts w:cs="Arial"/>
          <w:color w:val="auto"/>
        </w:rPr>
      </w:pPr>
      <w:r w:rsidRPr="005E3012">
        <w:rPr>
          <w:rFonts w:cs="Arial"/>
          <w:color w:val="auto"/>
        </w:rPr>
        <w:t xml:space="preserve">If you have a question about this review please send an email to </w:t>
      </w:r>
      <w:hyperlink r:id="rId18" w:history="1">
        <w:r w:rsidRPr="005E3012">
          <w:rPr>
            <w:rStyle w:val="Hyperlink"/>
            <w:rFonts w:cs="Arial"/>
            <w:color w:val="auto"/>
          </w:rPr>
          <w:t>energyrating@environment.gov.au</w:t>
        </w:r>
      </w:hyperlink>
      <w:r w:rsidRPr="005E3012">
        <w:rPr>
          <w:rFonts w:cs="Arial"/>
          <w:color w:val="auto"/>
        </w:rPr>
        <w:t xml:space="preserve">.  </w:t>
      </w:r>
    </w:p>
    <w:p w:rsidR="001C262D" w:rsidRPr="005E3012" w:rsidRDefault="001C262D" w:rsidP="001C262D">
      <w:pPr>
        <w:rPr>
          <w:rFonts w:cs="Arial"/>
          <w:color w:val="auto"/>
        </w:rPr>
      </w:pPr>
    </w:p>
    <w:p w:rsidR="001C262D" w:rsidRPr="00922B31" w:rsidRDefault="00922B31" w:rsidP="00045367">
      <w:pPr>
        <w:rPr>
          <w:rFonts w:cs="Arial"/>
          <w:color w:val="auto"/>
        </w:rPr>
      </w:pPr>
      <w:r w:rsidRPr="00922B31">
        <w:rPr>
          <w:rFonts w:cs="Arial"/>
        </w:rPr>
        <w:t xml:space="preserve">Note: Submissions will be published on the Energy Rating website, as will the names of all stakeholders who have made submissions. If you do not want your submission to be published, please </w:t>
      </w:r>
      <w:proofErr w:type="gramStart"/>
      <w:r w:rsidRPr="00922B31">
        <w:rPr>
          <w:rFonts w:cs="Arial"/>
        </w:rPr>
        <w:t>advise</w:t>
      </w:r>
      <w:proofErr w:type="gramEnd"/>
      <w:r w:rsidRPr="00922B31">
        <w:rPr>
          <w:rFonts w:cs="Arial"/>
        </w:rPr>
        <w:t xml:space="preserve"> in the covering email that the submission is to be treated as confidential.</w:t>
      </w:r>
    </w:p>
    <w:sectPr w:rsidR="001C262D" w:rsidRPr="00922B31" w:rsidSect="001444B0">
      <w:headerReference w:type="even" r:id="rId19"/>
      <w:headerReference w:type="default" r:id="rId20"/>
      <w:headerReference w:type="first" r:id="rId21"/>
      <w:type w:val="continuous"/>
      <w:pgSz w:w="11906" w:h="16838" w:code="9"/>
      <w:pgMar w:top="1627" w:right="1800" w:bottom="1276" w:left="1800" w:header="706" w:footer="706"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3D" w:rsidRDefault="00490B3D" w:rsidP="00D469C0">
      <w:r>
        <w:separator/>
      </w:r>
    </w:p>
    <w:p w:rsidR="00490B3D" w:rsidRDefault="00490B3D" w:rsidP="00D469C0"/>
  </w:endnote>
  <w:endnote w:type="continuationSeparator" w:id="0">
    <w:p w:rsidR="00490B3D" w:rsidRDefault="00490B3D" w:rsidP="00D469C0">
      <w:r>
        <w:continuationSeparator/>
      </w:r>
    </w:p>
    <w:p w:rsidR="00490B3D" w:rsidRDefault="00490B3D" w:rsidP="00D46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rsidP="00D469C0">
    <w:pPr>
      <w:rPr>
        <w:rStyle w:val="PageNumber"/>
      </w:rPr>
    </w:pPr>
    <w:r>
      <w:rPr>
        <w:rStyle w:val="PageNumber"/>
      </w:rPr>
      <w:fldChar w:fldCharType="begin"/>
    </w:r>
    <w:r>
      <w:rPr>
        <w:rStyle w:val="PageNumber"/>
      </w:rPr>
      <w:instrText xml:space="preserve">PAGE  </w:instrText>
    </w:r>
    <w:r>
      <w:rPr>
        <w:rStyle w:val="PageNumber"/>
      </w:rPr>
      <w:fldChar w:fldCharType="end"/>
    </w:r>
  </w:p>
  <w:p w:rsidR="00490B3D" w:rsidRDefault="00490B3D" w:rsidP="00D469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Pr="00F37189" w:rsidRDefault="00490B3D" w:rsidP="009676E3">
    <w:pPr>
      <w:pStyle w:val="DIISRTEFOOTER"/>
    </w:pPr>
    <w:r>
      <w:t>2016-17 GEMS Fees Review - Consultation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3D" w:rsidRDefault="00490B3D" w:rsidP="00D469C0">
      <w:r>
        <w:separator/>
      </w:r>
    </w:p>
    <w:p w:rsidR="00490B3D" w:rsidRDefault="00490B3D" w:rsidP="00D469C0"/>
  </w:footnote>
  <w:footnote w:type="continuationSeparator" w:id="0">
    <w:p w:rsidR="00490B3D" w:rsidRDefault="00490B3D" w:rsidP="00D469C0">
      <w:r>
        <w:continuationSeparator/>
      </w:r>
    </w:p>
    <w:p w:rsidR="00490B3D" w:rsidRDefault="00490B3D" w:rsidP="00D469C0"/>
  </w:footnote>
  <w:footnote w:id="1">
    <w:p w:rsidR="00490B3D" w:rsidRPr="00305D66" w:rsidRDefault="00490B3D">
      <w:pPr>
        <w:pStyle w:val="FootnoteText"/>
        <w:rPr>
          <w:sz w:val="18"/>
          <w:szCs w:val="18"/>
        </w:rPr>
      </w:pPr>
      <w:r w:rsidRPr="00305D66">
        <w:rPr>
          <w:rStyle w:val="FootnoteReference"/>
          <w:sz w:val="18"/>
          <w:szCs w:val="18"/>
        </w:rPr>
        <w:footnoteRef/>
      </w:r>
      <w:r w:rsidRPr="00305D66">
        <w:rPr>
          <w:sz w:val="18"/>
          <w:szCs w:val="18"/>
        </w:rPr>
        <w:t xml:space="preserve"> With the exception of traditional lighting products, see 4.7 below.</w:t>
      </w:r>
    </w:p>
  </w:footnote>
  <w:footnote w:id="2">
    <w:p w:rsidR="00490B3D" w:rsidRDefault="00490B3D">
      <w:pPr>
        <w:pStyle w:val="FootnoteText"/>
      </w:pPr>
      <w:r>
        <w:rPr>
          <w:rStyle w:val="FootnoteReference"/>
        </w:rPr>
        <w:footnoteRef/>
      </w:r>
      <w:r>
        <w:t xml:space="preserve"> </w:t>
      </w:r>
      <w:r w:rsidRPr="00305D66">
        <w:rPr>
          <w:sz w:val="18"/>
          <w:szCs w:val="18"/>
        </w:rPr>
        <w:t>With the exception of traditional lighting products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pPr>
      <w:pStyle w:val="Header"/>
      <w:jc w:val="right"/>
    </w:pPr>
    <w:sdt>
      <w:sdtPr>
        <w:id w:val="5629186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72B1">
          <w:rPr>
            <w:noProof/>
          </w:rPr>
          <w:t>2</w:t>
        </w:r>
        <w:r>
          <w:rPr>
            <w:noProof/>
          </w:rPr>
          <w:fldChar w:fldCharType="end"/>
        </w:r>
      </w:sdtContent>
    </w:sdt>
  </w:p>
  <w:p w:rsidR="00490B3D" w:rsidRDefault="00490B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rsidP="00D469C0">
    <w:pPr>
      <w:pStyle w:val="Header"/>
    </w:pPr>
    <w:r>
      <w:rPr>
        <w:noProof/>
        <w:lang w:eastAsia="en-AU"/>
      </w:rPr>
      <w:drawing>
        <wp:anchor distT="0" distB="0" distL="114300" distR="114300" simplePos="0" relativeHeight="251659264" behindDoc="1" locked="0" layoutInCell="1" allowOverlap="1" wp14:anchorId="4009CA3E" wp14:editId="52A07D25">
          <wp:simplePos x="0" y="0"/>
          <wp:positionH relativeFrom="column">
            <wp:posOffset>-914400</wp:posOffset>
          </wp:positionH>
          <wp:positionV relativeFrom="paragraph">
            <wp:posOffset>-457345</wp:posOffset>
          </wp:positionV>
          <wp:extent cx="7592058" cy="10735569"/>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8" cy="10735569"/>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rsidP="00D469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D" w:rsidRDefault="00490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2CEA636"/>
    <w:lvl w:ilvl="0">
      <w:start w:val="1"/>
      <w:numFmt w:val="decimal"/>
      <w:lvlText w:val="%1."/>
      <w:lvlJc w:val="left"/>
      <w:pPr>
        <w:tabs>
          <w:tab w:val="num" w:pos="360"/>
        </w:tabs>
        <w:ind w:left="360" w:hanging="360"/>
      </w:pPr>
    </w:lvl>
  </w:abstractNum>
  <w:abstractNum w:abstractNumId="1" w15:restartNumberingAfterBreak="0">
    <w:nsid w:val="0B7944BF"/>
    <w:multiLevelType w:val="hybridMultilevel"/>
    <w:tmpl w:val="3E5A4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368F2"/>
    <w:multiLevelType w:val="hybridMultilevel"/>
    <w:tmpl w:val="2F6A3F14"/>
    <w:lvl w:ilvl="0" w:tplc="5AD8A1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A3271"/>
    <w:multiLevelType w:val="multilevel"/>
    <w:tmpl w:val="041CEC7A"/>
    <w:lvl w:ilvl="0">
      <w:start w:val="1"/>
      <w:numFmt w:val="bullet"/>
      <w:lvlText w:val=""/>
      <w:lvlJc w:val="left"/>
      <w:pPr>
        <w:ind w:left="738" w:hanging="369"/>
      </w:pPr>
      <w:rPr>
        <w:rFonts w:ascii="Symbol" w:hAnsi="Symbol" w:hint="default"/>
      </w:rPr>
    </w:lvl>
    <w:lvl w:ilvl="1">
      <w:start w:val="1"/>
      <w:numFmt w:val="bullet"/>
      <w:lvlText w:val="o"/>
      <w:lvlJc w:val="left"/>
      <w:pPr>
        <w:ind w:left="1106" w:hanging="368"/>
      </w:pPr>
      <w:rPr>
        <w:rFonts w:ascii="Courier New" w:hAnsi="Courier New" w:cs="Courier New"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4" w15:restartNumberingAfterBreak="0">
    <w:nsid w:val="155F0515"/>
    <w:multiLevelType w:val="hybridMultilevel"/>
    <w:tmpl w:val="3B882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3231B"/>
    <w:multiLevelType w:val="hybridMultilevel"/>
    <w:tmpl w:val="00C26D0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31182D68"/>
    <w:multiLevelType w:val="hybridMultilevel"/>
    <w:tmpl w:val="F7A891A8"/>
    <w:lvl w:ilvl="0" w:tplc="81D64C2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04C1D"/>
    <w:multiLevelType w:val="hybridMultilevel"/>
    <w:tmpl w:val="8E3279C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64B0E"/>
    <w:multiLevelType w:val="hybridMultilevel"/>
    <w:tmpl w:val="5F78D99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3246327"/>
    <w:multiLevelType w:val="multilevel"/>
    <w:tmpl w:val="2FA41C00"/>
    <w:lvl w:ilvl="0">
      <w:start w:val="1"/>
      <w:numFmt w:val="bullet"/>
      <w:lvlText w:val=""/>
      <w:lvlJc w:val="left"/>
      <w:pPr>
        <w:ind w:left="738" w:hanging="369"/>
      </w:pPr>
      <w:rPr>
        <w:rFonts w:ascii="Symbol" w:hAnsi="Symbol" w:hint="default"/>
      </w:rPr>
    </w:lvl>
    <w:lvl w:ilvl="1">
      <w:start w:val="1"/>
      <w:numFmt w:val="bullet"/>
      <w:pStyle w:val="ListBullet"/>
      <w:lvlText w:val=""/>
      <w:lvlJc w:val="left"/>
      <w:pPr>
        <w:ind w:left="1106" w:hanging="368"/>
      </w:pPr>
      <w:rPr>
        <w:rFonts w:ascii="Symbol" w:hAnsi="Symbol"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2" w15:restartNumberingAfterBreak="0">
    <w:nsid w:val="54812452"/>
    <w:multiLevelType w:val="multilevel"/>
    <w:tmpl w:val="1BAC05D4"/>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3" w15:restartNumberingAfterBreak="0">
    <w:nsid w:val="60584FCB"/>
    <w:multiLevelType w:val="hybridMultilevel"/>
    <w:tmpl w:val="742C3CF4"/>
    <w:lvl w:ilvl="0" w:tplc="C11E3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354A8C"/>
    <w:multiLevelType w:val="hybridMultilevel"/>
    <w:tmpl w:val="327C18F0"/>
    <w:lvl w:ilvl="0" w:tplc="2DAA3C84">
      <w:start w:val="1"/>
      <w:numFmt w:val="decimal"/>
      <w:pStyle w:val="ListNumb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FE3E90"/>
    <w:multiLevelType w:val="hybridMultilevel"/>
    <w:tmpl w:val="BF34D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5"/>
  </w:num>
  <w:num w:numId="5">
    <w:abstractNumId w:val="9"/>
  </w:num>
  <w:num w:numId="6">
    <w:abstractNumId w:val="2"/>
  </w:num>
  <w:num w:numId="7">
    <w:abstractNumId w:val="7"/>
  </w:num>
  <w:num w:numId="8">
    <w:abstractNumId w:val="12"/>
  </w:num>
  <w:num w:numId="9">
    <w:abstractNumId w:val="8"/>
  </w:num>
  <w:num w:numId="10">
    <w:abstractNumId w:val="15"/>
  </w:num>
  <w:num w:numId="11">
    <w:abstractNumId w:val="4"/>
  </w:num>
  <w:num w:numId="12">
    <w:abstractNumId w:val="1"/>
  </w:num>
  <w:num w:numId="13">
    <w:abstractNumId w:val="3"/>
  </w:num>
  <w:num w:numId="14">
    <w:abstractNumId w:val="13"/>
  </w:num>
  <w:num w:numId="15">
    <w:abstractNumId w:val="11"/>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97"/>
    <w:rsid w:val="00025F00"/>
    <w:rsid w:val="00034EFF"/>
    <w:rsid w:val="000369C9"/>
    <w:rsid w:val="00044F77"/>
    <w:rsid w:val="00045367"/>
    <w:rsid w:val="00051011"/>
    <w:rsid w:val="00057BA8"/>
    <w:rsid w:val="00063427"/>
    <w:rsid w:val="00063B2F"/>
    <w:rsid w:val="0007360D"/>
    <w:rsid w:val="000746D1"/>
    <w:rsid w:val="00081325"/>
    <w:rsid w:val="0009209B"/>
    <w:rsid w:val="000C42CC"/>
    <w:rsid w:val="000C716F"/>
    <w:rsid w:val="000D5A7D"/>
    <w:rsid w:val="000E086A"/>
    <w:rsid w:val="000E2801"/>
    <w:rsid w:val="000F4E9C"/>
    <w:rsid w:val="00112161"/>
    <w:rsid w:val="001132D8"/>
    <w:rsid w:val="00125006"/>
    <w:rsid w:val="001261B6"/>
    <w:rsid w:val="001272D8"/>
    <w:rsid w:val="0013501F"/>
    <w:rsid w:val="001374FF"/>
    <w:rsid w:val="001444B0"/>
    <w:rsid w:val="00144526"/>
    <w:rsid w:val="00146E9E"/>
    <w:rsid w:val="00155652"/>
    <w:rsid w:val="00157234"/>
    <w:rsid w:val="00163F93"/>
    <w:rsid w:val="00170A23"/>
    <w:rsid w:val="00172AB6"/>
    <w:rsid w:val="001803A4"/>
    <w:rsid w:val="00181C19"/>
    <w:rsid w:val="00184141"/>
    <w:rsid w:val="00184F28"/>
    <w:rsid w:val="00197FDD"/>
    <w:rsid w:val="001A210D"/>
    <w:rsid w:val="001A7C6C"/>
    <w:rsid w:val="001B16BF"/>
    <w:rsid w:val="001C0ADC"/>
    <w:rsid w:val="001C1094"/>
    <w:rsid w:val="001C1902"/>
    <w:rsid w:val="001C262D"/>
    <w:rsid w:val="001D54D0"/>
    <w:rsid w:val="001E55E2"/>
    <w:rsid w:val="001F42F4"/>
    <w:rsid w:val="002160E0"/>
    <w:rsid w:val="00216F0B"/>
    <w:rsid w:val="0022565F"/>
    <w:rsid w:val="0022587B"/>
    <w:rsid w:val="00226D9E"/>
    <w:rsid w:val="002278A8"/>
    <w:rsid w:val="0023207D"/>
    <w:rsid w:val="00235ECC"/>
    <w:rsid w:val="00241EAD"/>
    <w:rsid w:val="0025014C"/>
    <w:rsid w:val="0025594E"/>
    <w:rsid w:val="00270D67"/>
    <w:rsid w:val="002753DC"/>
    <w:rsid w:val="00282C47"/>
    <w:rsid w:val="00291A1A"/>
    <w:rsid w:val="002A3AAD"/>
    <w:rsid w:val="002A730D"/>
    <w:rsid w:val="002B1647"/>
    <w:rsid w:val="002B42ED"/>
    <w:rsid w:val="002C7F8B"/>
    <w:rsid w:val="002D2FD6"/>
    <w:rsid w:val="002E0342"/>
    <w:rsid w:val="002F1A60"/>
    <w:rsid w:val="002F2452"/>
    <w:rsid w:val="002F5B84"/>
    <w:rsid w:val="002F7116"/>
    <w:rsid w:val="00302CB0"/>
    <w:rsid w:val="00305D66"/>
    <w:rsid w:val="00314477"/>
    <w:rsid w:val="003168EF"/>
    <w:rsid w:val="003177AB"/>
    <w:rsid w:val="00322245"/>
    <w:rsid w:val="00325354"/>
    <w:rsid w:val="00335ADA"/>
    <w:rsid w:val="00335CB8"/>
    <w:rsid w:val="00336284"/>
    <w:rsid w:val="00350277"/>
    <w:rsid w:val="00351F52"/>
    <w:rsid w:val="003547CB"/>
    <w:rsid w:val="00357300"/>
    <w:rsid w:val="00363BC8"/>
    <w:rsid w:val="0037147F"/>
    <w:rsid w:val="003772EA"/>
    <w:rsid w:val="00387D24"/>
    <w:rsid w:val="00390032"/>
    <w:rsid w:val="00391F0C"/>
    <w:rsid w:val="003A437A"/>
    <w:rsid w:val="003B4E14"/>
    <w:rsid w:val="003D3D75"/>
    <w:rsid w:val="003D5D38"/>
    <w:rsid w:val="003D6692"/>
    <w:rsid w:val="003E2D79"/>
    <w:rsid w:val="003F72F6"/>
    <w:rsid w:val="00401F16"/>
    <w:rsid w:val="00405A3C"/>
    <w:rsid w:val="0040760F"/>
    <w:rsid w:val="004134CB"/>
    <w:rsid w:val="004163B1"/>
    <w:rsid w:val="004172AC"/>
    <w:rsid w:val="00422ABF"/>
    <w:rsid w:val="00450197"/>
    <w:rsid w:val="0046092B"/>
    <w:rsid w:val="00464302"/>
    <w:rsid w:val="00490B3D"/>
    <w:rsid w:val="004A2D56"/>
    <w:rsid w:val="004A68A0"/>
    <w:rsid w:val="004B52C1"/>
    <w:rsid w:val="004B72ED"/>
    <w:rsid w:val="004C0380"/>
    <w:rsid w:val="004C3A55"/>
    <w:rsid w:val="004C770F"/>
    <w:rsid w:val="004D0124"/>
    <w:rsid w:val="004D530F"/>
    <w:rsid w:val="004D62BA"/>
    <w:rsid w:val="004D72E5"/>
    <w:rsid w:val="004F2C77"/>
    <w:rsid w:val="004F58DC"/>
    <w:rsid w:val="004F5E76"/>
    <w:rsid w:val="00507FB4"/>
    <w:rsid w:val="00511A0B"/>
    <w:rsid w:val="00514B39"/>
    <w:rsid w:val="00514E9F"/>
    <w:rsid w:val="005253F9"/>
    <w:rsid w:val="00527712"/>
    <w:rsid w:val="00534920"/>
    <w:rsid w:val="00555F14"/>
    <w:rsid w:val="00563C71"/>
    <w:rsid w:val="00567DC3"/>
    <w:rsid w:val="00570C6E"/>
    <w:rsid w:val="00574FAC"/>
    <w:rsid w:val="0057509D"/>
    <w:rsid w:val="00580C97"/>
    <w:rsid w:val="005844BE"/>
    <w:rsid w:val="005922D2"/>
    <w:rsid w:val="00593A1C"/>
    <w:rsid w:val="00596CA3"/>
    <w:rsid w:val="005975A8"/>
    <w:rsid w:val="005A7A0D"/>
    <w:rsid w:val="005B6C00"/>
    <w:rsid w:val="005B71C1"/>
    <w:rsid w:val="005C2E17"/>
    <w:rsid w:val="005D0333"/>
    <w:rsid w:val="005D1556"/>
    <w:rsid w:val="005E18ED"/>
    <w:rsid w:val="005E3012"/>
    <w:rsid w:val="005E4FCD"/>
    <w:rsid w:val="005F7768"/>
    <w:rsid w:val="0060798A"/>
    <w:rsid w:val="006119BF"/>
    <w:rsid w:val="00624188"/>
    <w:rsid w:val="006258CE"/>
    <w:rsid w:val="0063460C"/>
    <w:rsid w:val="0064389C"/>
    <w:rsid w:val="00647FE9"/>
    <w:rsid w:val="0065127B"/>
    <w:rsid w:val="0065165E"/>
    <w:rsid w:val="00660288"/>
    <w:rsid w:val="00666C56"/>
    <w:rsid w:val="006707FC"/>
    <w:rsid w:val="00680326"/>
    <w:rsid w:val="00683997"/>
    <w:rsid w:val="0068514F"/>
    <w:rsid w:val="00691D48"/>
    <w:rsid w:val="006B1A8C"/>
    <w:rsid w:val="006D69AF"/>
    <w:rsid w:val="006D6F21"/>
    <w:rsid w:val="006E154A"/>
    <w:rsid w:val="006E3637"/>
    <w:rsid w:val="006E44AA"/>
    <w:rsid w:val="006F08AE"/>
    <w:rsid w:val="00707F59"/>
    <w:rsid w:val="00717E58"/>
    <w:rsid w:val="00721FA0"/>
    <w:rsid w:val="00722659"/>
    <w:rsid w:val="00727A4D"/>
    <w:rsid w:val="00733D0C"/>
    <w:rsid w:val="00735347"/>
    <w:rsid w:val="00735E43"/>
    <w:rsid w:val="00740BE1"/>
    <w:rsid w:val="00742B4D"/>
    <w:rsid w:val="00763D7B"/>
    <w:rsid w:val="007652EE"/>
    <w:rsid w:val="00775A63"/>
    <w:rsid w:val="00785A84"/>
    <w:rsid w:val="007A1977"/>
    <w:rsid w:val="007A3852"/>
    <w:rsid w:val="007A3D5C"/>
    <w:rsid w:val="007A5265"/>
    <w:rsid w:val="007A6E89"/>
    <w:rsid w:val="007C0AA3"/>
    <w:rsid w:val="007C5149"/>
    <w:rsid w:val="007C7BA2"/>
    <w:rsid w:val="007D3B52"/>
    <w:rsid w:val="007D497E"/>
    <w:rsid w:val="007E6344"/>
    <w:rsid w:val="007E7AB7"/>
    <w:rsid w:val="007F104C"/>
    <w:rsid w:val="00803425"/>
    <w:rsid w:val="00803A99"/>
    <w:rsid w:val="0081513E"/>
    <w:rsid w:val="0081549C"/>
    <w:rsid w:val="008207F9"/>
    <w:rsid w:val="008227F3"/>
    <w:rsid w:val="008276C4"/>
    <w:rsid w:val="00834FEB"/>
    <w:rsid w:val="008361A1"/>
    <w:rsid w:val="00836A7D"/>
    <w:rsid w:val="008413B8"/>
    <w:rsid w:val="00845304"/>
    <w:rsid w:val="00851A68"/>
    <w:rsid w:val="00862C4C"/>
    <w:rsid w:val="0086497D"/>
    <w:rsid w:val="0087052E"/>
    <w:rsid w:val="00871DA1"/>
    <w:rsid w:val="00874D58"/>
    <w:rsid w:val="00881E6E"/>
    <w:rsid w:val="00883845"/>
    <w:rsid w:val="008841FD"/>
    <w:rsid w:val="008853B5"/>
    <w:rsid w:val="00893AB0"/>
    <w:rsid w:val="008A1488"/>
    <w:rsid w:val="008B0FE4"/>
    <w:rsid w:val="008B22AD"/>
    <w:rsid w:val="008B4D03"/>
    <w:rsid w:val="008C68D8"/>
    <w:rsid w:val="008D14BB"/>
    <w:rsid w:val="008E2F84"/>
    <w:rsid w:val="008E33C8"/>
    <w:rsid w:val="008F02D0"/>
    <w:rsid w:val="008F0BDB"/>
    <w:rsid w:val="0090032C"/>
    <w:rsid w:val="009013F7"/>
    <w:rsid w:val="009014EB"/>
    <w:rsid w:val="0090273F"/>
    <w:rsid w:val="00904D3E"/>
    <w:rsid w:val="0090582F"/>
    <w:rsid w:val="00907F72"/>
    <w:rsid w:val="00914317"/>
    <w:rsid w:val="00915465"/>
    <w:rsid w:val="009175A0"/>
    <w:rsid w:val="00922B31"/>
    <w:rsid w:val="00924A08"/>
    <w:rsid w:val="009311B4"/>
    <w:rsid w:val="0093453D"/>
    <w:rsid w:val="00935C24"/>
    <w:rsid w:val="00943848"/>
    <w:rsid w:val="00945A4C"/>
    <w:rsid w:val="0094658C"/>
    <w:rsid w:val="00946954"/>
    <w:rsid w:val="00950B31"/>
    <w:rsid w:val="009572B1"/>
    <w:rsid w:val="00966B89"/>
    <w:rsid w:val="009676E3"/>
    <w:rsid w:val="00972EA5"/>
    <w:rsid w:val="00973519"/>
    <w:rsid w:val="0097579E"/>
    <w:rsid w:val="009866F9"/>
    <w:rsid w:val="00992581"/>
    <w:rsid w:val="00995B0D"/>
    <w:rsid w:val="009A0BB0"/>
    <w:rsid w:val="009A1192"/>
    <w:rsid w:val="009B4953"/>
    <w:rsid w:val="009C09E3"/>
    <w:rsid w:val="009D4C6A"/>
    <w:rsid w:val="009D5266"/>
    <w:rsid w:val="009F39CE"/>
    <w:rsid w:val="009F7D2E"/>
    <w:rsid w:val="00A0459A"/>
    <w:rsid w:val="00A049EB"/>
    <w:rsid w:val="00A064C3"/>
    <w:rsid w:val="00A13BAB"/>
    <w:rsid w:val="00A13CCE"/>
    <w:rsid w:val="00A33059"/>
    <w:rsid w:val="00A45651"/>
    <w:rsid w:val="00A5173B"/>
    <w:rsid w:val="00A57E48"/>
    <w:rsid w:val="00A60930"/>
    <w:rsid w:val="00A620B0"/>
    <w:rsid w:val="00A64B6E"/>
    <w:rsid w:val="00A766A6"/>
    <w:rsid w:val="00A77A90"/>
    <w:rsid w:val="00A8093A"/>
    <w:rsid w:val="00A87457"/>
    <w:rsid w:val="00A926BF"/>
    <w:rsid w:val="00A93246"/>
    <w:rsid w:val="00AA2752"/>
    <w:rsid w:val="00AA7182"/>
    <w:rsid w:val="00AB35D7"/>
    <w:rsid w:val="00AB3B25"/>
    <w:rsid w:val="00AC0884"/>
    <w:rsid w:val="00AC4C3F"/>
    <w:rsid w:val="00AC678C"/>
    <w:rsid w:val="00AD14AF"/>
    <w:rsid w:val="00AD27B1"/>
    <w:rsid w:val="00AD2EA4"/>
    <w:rsid w:val="00AD4927"/>
    <w:rsid w:val="00AD5454"/>
    <w:rsid w:val="00B00FC4"/>
    <w:rsid w:val="00B1220C"/>
    <w:rsid w:val="00B15EB5"/>
    <w:rsid w:val="00B23C49"/>
    <w:rsid w:val="00B27CBE"/>
    <w:rsid w:val="00B3645E"/>
    <w:rsid w:val="00B37488"/>
    <w:rsid w:val="00B4362E"/>
    <w:rsid w:val="00B45458"/>
    <w:rsid w:val="00B454B7"/>
    <w:rsid w:val="00B5648A"/>
    <w:rsid w:val="00B7195C"/>
    <w:rsid w:val="00B761FC"/>
    <w:rsid w:val="00B85973"/>
    <w:rsid w:val="00B8625F"/>
    <w:rsid w:val="00B86EE3"/>
    <w:rsid w:val="00B9455C"/>
    <w:rsid w:val="00B9776D"/>
    <w:rsid w:val="00BA27D1"/>
    <w:rsid w:val="00BA550C"/>
    <w:rsid w:val="00BB2258"/>
    <w:rsid w:val="00BB2F5F"/>
    <w:rsid w:val="00BC2CF0"/>
    <w:rsid w:val="00BC4289"/>
    <w:rsid w:val="00BD3A9C"/>
    <w:rsid w:val="00BD7AE5"/>
    <w:rsid w:val="00BE2E1F"/>
    <w:rsid w:val="00BE3720"/>
    <w:rsid w:val="00BE3C23"/>
    <w:rsid w:val="00BF119A"/>
    <w:rsid w:val="00BF39E4"/>
    <w:rsid w:val="00BF6D71"/>
    <w:rsid w:val="00BF7116"/>
    <w:rsid w:val="00BF71DD"/>
    <w:rsid w:val="00C02A61"/>
    <w:rsid w:val="00C030DD"/>
    <w:rsid w:val="00C06BA6"/>
    <w:rsid w:val="00C12BF4"/>
    <w:rsid w:val="00C149F1"/>
    <w:rsid w:val="00C30560"/>
    <w:rsid w:val="00C307A1"/>
    <w:rsid w:val="00C317C5"/>
    <w:rsid w:val="00C36C3A"/>
    <w:rsid w:val="00C401C8"/>
    <w:rsid w:val="00C42E00"/>
    <w:rsid w:val="00C51013"/>
    <w:rsid w:val="00C53761"/>
    <w:rsid w:val="00C57763"/>
    <w:rsid w:val="00C60E79"/>
    <w:rsid w:val="00C70B0E"/>
    <w:rsid w:val="00C70E9B"/>
    <w:rsid w:val="00C7268D"/>
    <w:rsid w:val="00C75A36"/>
    <w:rsid w:val="00C76FB8"/>
    <w:rsid w:val="00C95227"/>
    <w:rsid w:val="00C95EAD"/>
    <w:rsid w:val="00CA34A5"/>
    <w:rsid w:val="00CB44C7"/>
    <w:rsid w:val="00CB5B62"/>
    <w:rsid w:val="00CB63D2"/>
    <w:rsid w:val="00CC1289"/>
    <w:rsid w:val="00CE77A2"/>
    <w:rsid w:val="00D052DB"/>
    <w:rsid w:val="00D11678"/>
    <w:rsid w:val="00D12B41"/>
    <w:rsid w:val="00D317E1"/>
    <w:rsid w:val="00D32748"/>
    <w:rsid w:val="00D459A6"/>
    <w:rsid w:val="00D469C0"/>
    <w:rsid w:val="00D50A47"/>
    <w:rsid w:val="00D525E2"/>
    <w:rsid w:val="00D564D3"/>
    <w:rsid w:val="00D567D6"/>
    <w:rsid w:val="00D574DD"/>
    <w:rsid w:val="00D637A0"/>
    <w:rsid w:val="00D6644E"/>
    <w:rsid w:val="00D74399"/>
    <w:rsid w:val="00D76D67"/>
    <w:rsid w:val="00D8333E"/>
    <w:rsid w:val="00D87555"/>
    <w:rsid w:val="00D953F3"/>
    <w:rsid w:val="00D96CBE"/>
    <w:rsid w:val="00DA21C2"/>
    <w:rsid w:val="00DA4220"/>
    <w:rsid w:val="00DB03D5"/>
    <w:rsid w:val="00DB6720"/>
    <w:rsid w:val="00DC0323"/>
    <w:rsid w:val="00DC0BBC"/>
    <w:rsid w:val="00DC66E1"/>
    <w:rsid w:val="00DC7A73"/>
    <w:rsid w:val="00DD3DF9"/>
    <w:rsid w:val="00DD5459"/>
    <w:rsid w:val="00DD62D8"/>
    <w:rsid w:val="00DD630F"/>
    <w:rsid w:val="00DD6691"/>
    <w:rsid w:val="00E03755"/>
    <w:rsid w:val="00E13EC6"/>
    <w:rsid w:val="00E2147D"/>
    <w:rsid w:val="00E33790"/>
    <w:rsid w:val="00E450DE"/>
    <w:rsid w:val="00E5310B"/>
    <w:rsid w:val="00E54FFB"/>
    <w:rsid w:val="00E5602A"/>
    <w:rsid w:val="00E61784"/>
    <w:rsid w:val="00E6602A"/>
    <w:rsid w:val="00E74F3F"/>
    <w:rsid w:val="00E779D9"/>
    <w:rsid w:val="00E826E7"/>
    <w:rsid w:val="00E83E86"/>
    <w:rsid w:val="00E841FC"/>
    <w:rsid w:val="00E92AAA"/>
    <w:rsid w:val="00E96566"/>
    <w:rsid w:val="00EB47F0"/>
    <w:rsid w:val="00EC515B"/>
    <w:rsid w:val="00EC7C2D"/>
    <w:rsid w:val="00EE2E18"/>
    <w:rsid w:val="00EF0695"/>
    <w:rsid w:val="00F01731"/>
    <w:rsid w:val="00F22C0E"/>
    <w:rsid w:val="00F2758C"/>
    <w:rsid w:val="00F37189"/>
    <w:rsid w:val="00F41D06"/>
    <w:rsid w:val="00F43404"/>
    <w:rsid w:val="00F45626"/>
    <w:rsid w:val="00F457F8"/>
    <w:rsid w:val="00F6749E"/>
    <w:rsid w:val="00F72D61"/>
    <w:rsid w:val="00FA4415"/>
    <w:rsid w:val="00FA4479"/>
    <w:rsid w:val="00FB1516"/>
    <w:rsid w:val="00FC4C52"/>
    <w:rsid w:val="00FD0A8D"/>
    <w:rsid w:val="00FD1923"/>
    <w:rsid w:val="00FD2F2D"/>
    <w:rsid w:val="00FF0999"/>
    <w:rsid w:val="00FF119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C25B17A-F560-4801-A336-E1BCC281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9C0"/>
    <w:pPr>
      <w:spacing w:line="300" w:lineRule="auto"/>
    </w:pPr>
    <w:rPr>
      <w:rFonts w:ascii="Arial" w:hAnsi="Arial"/>
      <w:color w:val="333333"/>
    </w:rPr>
  </w:style>
  <w:style w:type="paragraph" w:styleId="Heading1">
    <w:name w:val="heading 1"/>
    <w:basedOn w:val="Normal"/>
    <w:next w:val="Normal"/>
    <w:autoRedefine/>
    <w:qFormat/>
    <w:rsid w:val="00C06BA6"/>
    <w:pPr>
      <w:keepNext/>
      <w:spacing w:after="200"/>
      <w:jc w:val="center"/>
      <w:outlineLvl w:val="0"/>
    </w:pPr>
    <w:rPr>
      <w:rFonts w:cs="Arial"/>
      <w:b/>
      <w:bCs/>
      <w:color w:val="4A7729"/>
      <w:kern w:val="32"/>
      <w:sz w:val="40"/>
      <w:szCs w:val="44"/>
    </w:rPr>
  </w:style>
  <w:style w:type="paragraph" w:styleId="Heading2">
    <w:name w:val="heading 2"/>
    <w:basedOn w:val="Normal"/>
    <w:next w:val="Normal"/>
    <w:autoRedefine/>
    <w:qFormat/>
    <w:rsid w:val="005B71C1"/>
    <w:pPr>
      <w:keepNext/>
      <w:spacing w:after="200"/>
      <w:outlineLvl w:val="1"/>
    </w:pPr>
    <w:rPr>
      <w:rFonts w:cs="Arial"/>
      <w:b/>
      <w:bCs/>
      <w:iCs/>
      <w:color w:val="auto"/>
      <w:sz w:val="32"/>
      <w:szCs w:val="32"/>
    </w:rPr>
  </w:style>
  <w:style w:type="paragraph" w:styleId="Heading3">
    <w:name w:val="heading 3"/>
    <w:basedOn w:val="Normal"/>
    <w:next w:val="Normal"/>
    <w:autoRedefine/>
    <w:qFormat/>
    <w:rsid w:val="00F6749E"/>
    <w:pPr>
      <w:keepNext/>
      <w:spacing w:after="200"/>
      <w:outlineLvl w:val="2"/>
    </w:pPr>
    <w:rPr>
      <w:rFonts w:cs="Arial"/>
      <w:b/>
      <w:bCs/>
      <w:color w:val="4A7729"/>
      <w:sz w:val="28"/>
      <w:szCs w:val="28"/>
    </w:rPr>
  </w:style>
  <w:style w:type="paragraph" w:styleId="Heading4">
    <w:name w:val="heading 4"/>
    <w:basedOn w:val="Normal"/>
    <w:next w:val="Normal"/>
    <w:autoRedefine/>
    <w:qFormat/>
    <w:rsid w:val="00D32748"/>
    <w:pPr>
      <w:keepNext/>
      <w:spacing w:after="200"/>
      <w:outlineLvl w:val="3"/>
    </w:pPr>
    <w:rPr>
      <w:b/>
      <w:bCs/>
      <w:color w:val="auto"/>
      <w:sz w:val="28"/>
      <w:szCs w:val="28"/>
    </w:rPr>
  </w:style>
  <w:style w:type="paragraph" w:styleId="Heading5">
    <w:name w:val="heading 5"/>
    <w:basedOn w:val="Normal"/>
    <w:next w:val="Normal"/>
    <w:autoRedefine/>
    <w:qFormat/>
    <w:rsid w:val="001C1902"/>
    <w:pPr>
      <w:spacing w:after="200"/>
      <w:outlineLvl w:val="4"/>
    </w:pPr>
    <w:rPr>
      <w:b/>
      <w:bCs/>
      <w:color w:val="4A7729"/>
      <w:sz w:val="26"/>
      <w:szCs w:val="26"/>
    </w:rPr>
  </w:style>
  <w:style w:type="paragraph" w:styleId="Heading6">
    <w:name w:val="heading 6"/>
    <w:basedOn w:val="Normal"/>
    <w:next w:val="Normal"/>
    <w:autoRedefine/>
    <w:qFormat/>
    <w:rsid w:val="001C1094"/>
    <w:pPr>
      <w:spacing w:after="200"/>
      <w:outlineLvl w:val="5"/>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46092B"/>
    <w:pPr>
      <w:tabs>
        <w:tab w:val="center" w:pos="4320"/>
        <w:tab w:val="right" w:pos="8640"/>
      </w:tabs>
      <w:spacing w:line="360" w:lineRule="auto"/>
      <w:ind w:right="360"/>
      <w:jc w:val="center"/>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rsid w:val="00F01731"/>
    <w:pPr>
      <w:numPr>
        <w:ilvl w:val="1"/>
        <w:numId w:val="15"/>
      </w:numPr>
      <w:spacing w:before="100" w:beforeAutospacing="1" w:after="100" w:afterAutospacing="1"/>
      <w:contextualSpacing/>
    </w:pPr>
  </w:style>
  <w:style w:type="paragraph" w:styleId="ListNumber">
    <w:name w:val="List Number"/>
    <w:basedOn w:val="Normal"/>
    <w:rsid w:val="00226D9E"/>
    <w:pPr>
      <w:numPr>
        <w:numId w:val="3"/>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D32748"/>
    <w:pPr>
      <w:spacing w:after="200"/>
      <w:ind w:left="357" w:right="357"/>
    </w:pPr>
    <w:rPr>
      <w:rFonts w:eastAsia="MS Mincho"/>
      <w:color w:val="000000"/>
      <w:lang w:val="en-US"/>
    </w:rPr>
  </w:style>
  <w:style w:type="paragraph" w:styleId="BalloonText">
    <w:name w:val="Balloon Text"/>
    <w:basedOn w:val="Normal"/>
    <w:link w:val="BalloonTextChar"/>
    <w:rsid w:val="00670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707FC"/>
    <w:rPr>
      <w:rFonts w:ascii="Lucida Grande" w:hAnsi="Lucida Grande" w:cs="Lucida Grande"/>
      <w:color w:val="333333"/>
      <w:sz w:val="18"/>
      <w:szCs w:val="18"/>
    </w:rPr>
  </w:style>
  <w:style w:type="paragraph" w:styleId="NormalWeb">
    <w:name w:val="Normal (Web)"/>
    <w:basedOn w:val="Normal"/>
    <w:uiPriority w:val="99"/>
    <w:unhideWhenUsed/>
    <w:rsid w:val="003E2D79"/>
    <w:pPr>
      <w:spacing w:before="100" w:beforeAutospacing="1" w:after="100" w:afterAutospacing="1" w:line="240" w:lineRule="auto"/>
    </w:pPr>
    <w:rPr>
      <w:rFonts w:ascii="Times New Roman" w:hAnsi="Times New Roman"/>
      <w:color w:val="auto"/>
      <w:lang w:eastAsia="en-AU"/>
    </w:rPr>
  </w:style>
  <w:style w:type="character" w:styleId="FollowedHyperlink">
    <w:name w:val="FollowedHyperlink"/>
    <w:basedOn w:val="DefaultParagraphFont"/>
    <w:rsid w:val="001C0ADC"/>
    <w:rPr>
      <w:color w:val="FFFFFF" w:themeColor="background1"/>
      <w:u w:val="single"/>
    </w:rPr>
  </w:style>
  <w:style w:type="character" w:styleId="IntenseReference">
    <w:name w:val="Intense Reference"/>
    <w:basedOn w:val="DefaultParagraphFont"/>
    <w:uiPriority w:val="32"/>
    <w:qFormat/>
    <w:rsid w:val="001C1902"/>
    <w:rPr>
      <w:b/>
      <w:bCs/>
      <w:smallCaps/>
      <w:color w:val="4A7729"/>
      <w:spacing w:val="5"/>
      <w:u w:val="single"/>
    </w:rPr>
  </w:style>
  <w:style w:type="character" w:styleId="SubtleReference">
    <w:name w:val="Subtle Reference"/>
    <w:basedOn w:val="DefaultParagraphFont"/>
    <w:uiPriority w:val="31"/>
    <w:qFormat/>
    <w:rsid w:val="001C1902"/>
    <w:rPr>
      <w:smallCaps/>
      <w:color w:val="4A7729"/>
      <w:u w:val="single"/>
    </w:rPr>
  </w:style>
  <w:style w:type="paragraph" w:styleId="ListParagraph">
    <w:name w:val="List Paragraph"/>
    <w:basedOn w:val="Normal"/>
    <w:uiPriority w:val="34"/>
    <w:qFormat/>
    <w:rsid w:val="00DD5459"/>
    <w:pPr>
      <w:spacing w:line="240" w:lineRule="auto"/>
      <w:ind w:left="720"/>
      <w:contextualSpacing/>
    </w:pPr>
    <w:rPr>
      <w:rFonts w:ascii="Times New Roman" w:hAnsi="Times New Roman"/>
      <w:color w:val="auto"/>
    </w:rPr>
  </w:style>
  <w:style w:type="table" w:customStyle="1" w:styleId="TableGridLight1">
    <w:name w:val="Table Grid Light1"/>
    <w:basedOn w:val="TableNormal"/>
    <w:next w:val="TableGridLight"/>
    <w:uiPriority w:val="40"/>
    <w:rsid w:val="0025594E"/>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559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9676E3"/>
    <w:rPr>
      <w:rFonts w:ascii="Arial" w:hAnsi="Arial"/>
      <w:color w:val="333333"/>
      <w:sz w:val="18"/>
    </w:rPr>
  </w:style>
  <w:style w:type="table" w:styleId="TableGrid">
    <w:name w:val="Table Grid"/>
    <w:basedOn w:val="TableNormal"/>
    <w:uiPriority w:val="59"/>
    <w:rsid w:val="00AC4C3F"/>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22245"/>
    <w:rPr>
      <w:sz w:val="16"/>
      <w:szCs w:val="16"/>
    </w:rPr>
  </w:style>
  <w:style w:type="paragraph" w:styleId="CommentText">
    <w:name w:val="annotation text"/>
    <w:basedOn w:val="Normal"/>
    <w:link w:val="CommentTextChar"/>
    <w:semiHidden/>
    <w:unhideWhenUsed/>
    <w:rsid w:val="00322245"/>
    <w:pPr>
      <w:spacing w:line="240" w:lineRule="auto"/>
    </w:pPr>
  </w:style>
  <w:style w:type="character" w:customStyle="1" w:styleId="CommentTextChar">
    <w:name w:val="Comment Text Char"/>
    <w:basedOn w:val="DefaultParagraphFont"/>
    <w:link w:val="CommentText"/>
    <w:semiHidden/>
    <w:rsid w:val="00322245"/>
    <w:rPr>
      <w:rFonts w:ascii="Arial" w:hAnsi="Arial"/>
      <w:color w:val="333333"/>
    </w:rPr>
  </w:style>
  <w:style w:type="paragraph" w:styleId="CommentSubject">
    <w:name w:val="annotation subject"/>
    <w:basedOn w:val="CommentText"/>
    <w:next w:val="CommentText"/>
    <w:link w:val="CommentSubjectChar"/>
    <w:semiHidden/>
    <w:unhideWhenUsed/>
    <w:rsid w:val="00322245"/>
    <w:rPr>
      <w:b/>
      <w:bCs/>
    </w:rPr>
  </w:style>
  <w:style w:type="character" w:customStyle="1" w:styleId="CommentSubjectChar">
    <w:name w:val="Comment Subject Char"/>
    <w:basedOn w:val="CommentTextChar"/>
    <w:link w:val="CommentSubject"/>
    <w:semiHidden/>
    <w:rsid w:val="00322245"/>
    <w:rPr>
      <w:rFonts w:ascii="Arial" w:hAnsi="Arial"/>
      <w:b/>
      <w:bCs/>
      <w:color w:val="333333"/>
    </w:rPr>
  </w:style>
  <w:style w:type="paragraph" w:styleId="Revision">
    <w:name w:val="Revision"/>
    <w:hidden/>
    <w:uiPriority w:val="71"/>
    <w:semiHidden/>
    <w:rsid w:val="00322245"/>
    <w:rPr>
      <w:rFonts w:ascii="Arial" w:hAnsi="Arial"/>
      <w:color w:val="333333"/>
    </w:rPr>
  </w:style>
  <w:style w:type="paragraph" w:styleId="FootnoteText">
    <w:name w:val="footnote text"/>
    <w:basedOn w:val="Normal"/>
    <w:link w:val="FootnoteTextChar"/>
    <w:semiHidden/>
    <w:unhideWhenUsed/>
    <w:rsid w:val="00D567D6"/>
    <w:pPr>
      <w:spacing w:line="240" w:lineRule="auto"/>
    </w:pPr>
  </w:style>
  <w:style w:type="character" w:customStyle="1" w:styleId="FootnoteTextChar">
    <w:name w:val="Footnote Text Char"/>
    <w:basedOn w:val="DefaultParagraphFont"/>
    <w:link w:val="FootnoteText"/>
    <w:semiHidden/>
    <w:rsid w:val="00D567D6"/>
    <w:rPr>
      <w:rFonts w:ascii="Arial" w:hAnsi="Arial"/>
      <w:color w:val="333333"/>
    </w:rPr>
  </w:style>
  <w:style w:type="character" w:styleId="FootnoteReference">
    <w:name w:val="footnote reference"/>
    <w:basedOn w:val="DefaultParagraphFont"/>
    <w:semiHidden/>
    <w:unhideWhenUsed/>
    <w:rsid w:val="00D56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3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ergyrating@environment.gov.a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ergyrating@environment.gov.au"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DUSTRY.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Activity</a:t>
            </a:r>
            <a:r>
              <a:rPr lang="en-AU" baseline="0"/>
              <a:t> based average check testing cost per year</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'Band Assignment (CT activity)'!$AF$34:$AF$55</c:f>
              <c:strCache>
                <c:ptCount val="22"/>
                <c:pt idx="0">
                  <c:v>Gas Water Heaters</c:v>
                </c:pt>
                <c:pt idx="1">
                  <c:v>Close Control Air Conditioners</c:v>
                </c:pt>
                <c:pt idx="2">
                  <c:v>Electric Water Heaters</c:v>
                </c:pt>
                <c:pt idx="3">
                  <c:v>Ballasts for fluorescent lamps</c:v>
                </c:pt>
                <c:pt idx="4">
                  <c:v>All lighting</c:v>
                </c:pt>
                <c:pt idx="5">
                  <c:v>Clothes Dryers</c:v>
                </c:pt>
                <c:pt idx="6">
                  <c:v>Dishwashers</c:v>
                </c:pt>
                <c:pt idx="7">
                  <c:v>Air Conditioners</c:v>
                </c:pt>
                <c:pt idx="8">
                  <c:v>Pool pumps</c:v>
                </c:pt>
                <c:pt idx="9">
                  <c:v>Refrigerators and Freezers </c:v>
                </c:pt>
                <c:pt idx="10">
                  <c:v>Clothes Washers</c:v>
                </c:pt>
                <c:pt idx="11">
                  <c:v>Electric Motors</c:v>
                </c:pt>
                <c:pt idx="12">
                  <c:v>Chillers</c:v>
                </c:pt>
                <c:pt idx="13">
                  <c:v>Transformers &amp; Converters for Halogens</c:v>
                </c:pt>
                <c:pt idx="14">
                  <c:v>Refrigerated Display Cabinets</c:v>
                </c:pt>
                <c:pt idx="15">
                  <c:v>Set-top Boxes</c:v>
                </c:pt>
                <c:pt idx="16">
                  <c:v>Computers</c:v>
                </c:pt>
                <c:pt idx="17">
                  <c:v>Non-domestic Fans</c:v>
                </c:pt>
                <c:pt idx="18">
                  <c:v>Computer Monitors</c:v>
                </c:pt>
                <c:pt idx="19">
                  <c:v>Televisions</c:v>
                </c:pt>
                <c:pt idx="20">
                  <c:v>External Power Supplies</c:v>
                </c:pt>
                <c:pt idx="21">
                  <c:v>Distribution Transformers</c:v>
                </c:pt>
              </c:strCache>
            </c:strRef>
          </c:cat>
          <c:val>
            <c:numRef>
              <c:f>'Band Assignment (CT activity)'!$AI$34:$AI$55</c:f>
              <c:numCache>
                <c:formatCode>_("$"* #,##0.00_);_("$"* \(#,##0.00\);_("$"* "-"??_);_(@_)</c:formatCode>
                <c:ptCount val="22"/>
                <c:pt idx="0">
                  <c:v>608.00751879699249</c:v>
                </c:pt>
                <c:pt idx="1">
                  <c:v>582.98319327731099</c:v>
                </c:pt>
                <c:pt idx="2">
                  <c:v>530.31746031746036</c:v>
                </c:pt>
                <c:pt idx="3">
                  <c:v>453.36263736263743</c:v>
                </c:pt>
                <c:pt idx="4">
                  <c:v>427.6</c:v>
                </c:pt>
                <c:pt idx="5">
                  <c:v>369.71428571428567</c:v>
                </c:pt>
                <c:pt idx="6">
                  <c:v>298.99222065063651</c:v>
                </c:pt>
                <c:pt idx="7">
                  <c:v>289.246661627614</c:v>
                </c:pt>
                <c:pt idx="8">
                  <c:v>277.77777777777777</c:v>
                </c:pt>
                <c:pt idx="9">
                  <c:v>233.06138749429482</c:v>
                </c:pt>
                <c:pt idx="10">
                  <c:v>200.28716094032549</c:v>
                </c:pt>
                <c:pt idx="11">
                  <c:v>172.17845683728035</c:v>
                </c:pt>
                <c:pt idx="12">
                  <c:v>145.92462751971954</c:v>
                </c:pt>
                <c:pt idx="13">
                  <c:v>114.28571428571429</c:v>
                </c:pt>
                <c:pt idx="14">
                  <c:v>105.53185595567868</c:v>
                </c:pt>
                <c:pt idx="15">
                  <c:v>95.877551020408163</c:v>
                </c:pt>
                <c:pt idx="16">
                  <c:v>88.515005057884679</c:v>
                </c:pt>
                <c:pt idx="17">
                  <c:v>62.96</c:v>
                </c:pt>
                <c:pt idx="18">
                  <c:v>46.048420528977687</c:v>
                </c:pt>
                <c:pt idx="19">
                  <c:v>31.860725481415137</c:v>
                </c:pt>
                <c:pt idx="20">
                  <c:v>5.6756715397720887</c:v>
                </c:pt>
                <c:pt idx="21">
                  <c:v>0</c:v>
                </c:pt>
              </c:numCache>
            </c:numRef>
          </c:val>
        </c:ser>
        <c:dLbls>
          <c:showLegendKey val="0"/>
          <c:showVal val="0"/>
          <c:showCatName val="0"/>
          <c:showSerName val="0"/>
          <c:showPercent val="0"/>
          <c:showBubbleSize val="0"/>
        </c:dLbls>
        <c:gapWidth val="57"/>
        <c:overlap val="-27"/>
        <c:axId val="10016752"/>
        <c:axId val="10017144"/>
      </c:barChart>
      <c:catAx>
        <c:axId val="100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017144"/>
        <c:crosses val="autoZero"/>
        <c:auto val="1"/>
        <c:lblAlgn val="ctr"/>
        <c:lblOffset val="80"/>
        <c:noMultiLvlLbl val="0"/>
      </c:catAx>
      <c:valAx>
        <c:axId val="10017144"/>
        <c:scaling>
          <c:orientation val="minMax"/>
          <c:max val="350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0.09806</cdr:x>
      <cdr:y>0.45986</cdr:y>
    </cdr:from>
    <cdr:to>
      <cdr:x>0.32852</cdr:x>
      <cdr:y>0.6318</cdr:y>
    </cdr:to>
    <cdr:sp macro="" textlink="">
      <cdr:nvSpPr>
        <cdr:cNvPr id="4" name="Rectangle 3"/>
        <cdr:cNvSpPr/>
      </cdr:nvSpPr>
      <cdr:spPr>
        <a:xfrm xmlns:a="http://schemas.openxmlformats.org/drawingml/2006/main">
          <a:off x="550850" y="1598760"/>
          <a:ext cx="1294543" cy="597771"/>
        </a:xfrm>
        <a:prstGeom xmlns:a="http://schemas.openxmlformats.org/drawingml/2006/main" prst="rect">
          <a:avLst/>
        </a:prstGeom>
        <a:noFill xmlns:a="http://schemas.openxmlformats.org/drawingml/2006/main"/>
        <a:ln xmlns:a="http://schemas.openxmlformats.org/drawingml/2006/main" w="444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0.33914</cdr:x>
      <cdr:y>0.52964</cdr:y>
    </cdr:from>
    <cdr:to>
      <cdr:x>0.69709</cdr:x>
      <cdr:y>0.62906</cdr:y>
    </cdr:to>
    <cdr:sp macro="" textlink="">
      <cdr:nvSpPr>
        <cdr:cNvPr id="5" name="Rectangle 4"/>
        <cdr:cNvSpPr/>
      </cdr:nvSpPr>
      <cdr:spPr>
        <a:xfrm xmlns:a="http://schemas.openxmlformats.org/drawingml/2006/main">
          <a:off x="1905000" y="1841360"/>
          <a:ext cx="2010701" cy="345646"/>
        </a:xfrm>
        <a:prstGeom xmlns:a="http://schemas.openxmlformats.org/drawingml/2006/main" prst="rect">
          <a:avLst/>
        </a:prstGeom>
        <a:noFill xmlns:a="http://schemas.openxmlformats.org/drawingml/2006/main"/>
        <a:ln xmlns:a="http://schemas.openxmlformats.org/drawingml/2006/main" w="44450">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0.70696</cdr:x>
      <cdr:y>0.58116</cdr:y>
    </cdr:from>
    <cdr:to>
      <cdr:x>0.99326</cdr:x>
      <cdr:y>0.63072</cdr:y>
    </cdr:to>
    <cdr:sp macro="" textlink="">
      <cdr:nvSpPr>
        <cdr:cNvPr id="6" name="Rectangle 5"/>
        <cdr:cNvSpPr/>
      </cdr:nvSpPr>
      <cdr:spPr>
        <a:xfrm xmlns:a="http://schemas.openxmlformats.org/drawingml/2006/main">
          <a:off x="3728734" y="1988737"/>
          <a:ext cx="1510035" cy="169595"/>
        </a:xfrm>
        <a:prstGeom xmlns:a="http://schemas.openxmlformats.org/drawingml/2006/main" prst="rect">
          <a:avLst/>
        </a:prstGeom>
        <a:noFill xmlns:a="http://schemas.openxmlformats.org/drawingml/2006/main"/>
        <a:ln xmlns:a="http://schemas.openxmlformats.org/drawingml/2006/main" w="44450">
          <a:solidFill>
            <a:schemeClr val="accent6"/>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1263A-762F-4F8F-9841-923B6869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B56F6C64</Template>
  <TotalTime>0</TotalTime>
  <Pages>25</Pages>
  <Words>7068</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Policy / Program  Name</vt:lpstr>
    </vt:vector>
  </TitlesOfParts>
  <Company>DIISRTE</Company>
  <LinksUpToDate>false</LinksUpToDate>
  <CharactersWithSpaces>47262</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Industry</dc:creator>
  <cp:lastModifiedBy>Norris, Christopher</cp:lastModifiedBy>
  <cp:revision>2</cp:revision>
  <cp:lastPrinted>2017-02-13T03:57:00Z</cp:lastPrinted>
  <dcterms:created xsi:type="dcterms:W3CDTF">2017-02-13T05:13:00Z</dcterms:created>
  <dcterms:modified xsi:type="dcterms:W3CDTF">2017-02-13T05:13:00Z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