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3C3FF" w14:textId="77777777" w:rsidR="0000369D" w:rsidRDefault="0000369D" w:rsidP="00536F34">
      <w:pPr>
        <w:jc w:val="center"/>
        <w:sectPr w:rsidR="0000369D" w:rsidSect="00A30D75">
          <w:headerReference w:type="even" r:id="rId13"/>
          <w:footerReference w:type="even" r:id="rId14"/>
          <w:footerReference w:type="default" r:id="rId15"/>
          <w:headerReference w:type="first" r:id="rId16"/>
          <w:pgSz w:w="11906" w:h="16838" w:code="9"/>
          <w:pgMar w:top="2552" w:right="284" w:bottom="720" w:left="284" w:header="709" w:footer="709" w:gutter="0"/>
          <w:pgNumType w:start="1"/>
          <w:cols w:space="708"/>
          <w:titlePg/>
          <w:docGrid w:linePitch="360"/>
        </w:sectPr>
      </w:pPr>
      <w:bookmarkStart w:id="0" w:name="_GoBack"/>
      <w:bookmarkEnd w:id="0"/>
    </w:p>
    <w:p w14:paraId="62C3C400" w14:textId="2FF23E13" w:rsidR="00F75753" w:rsidRDefault="0051114F" w:rsidP="0028391F">
      <w:pPr>
        <w:pStyle w:val="Heading2"/>
      </w:pPr>
      <w:r>
        <w:t>GEMS Stakeholder Satisfaction</w:t>
      </w:r>
      <w:r w:rsidR="0028391F">
        <w:t xml:space="preserve"> S</w:t>
      </w:r>
      <w:r w:rsidR="00206392">
        <w:t>urvey – 2017-18</w:t>
      </w:r>
      <w:r w:rsidR="0028391F">
        <w:t xml:space="preserve"> R</w:t>
      </w:r>
      <w:r>
        <w:t>esults</w:t>
      </w:r>
    </w:p>
    <w:p w14:paraId="08C43AC0" w14:textId="6C9F2D9F" w:rsidR="0051114F" w:rsidRPr="0051114F" w:rsidRDefault="00206392" w:rsidP="0051114F">
      <w:r>
        <w:t>The third</w:t>
      </w:r>
      <w:r w:rsidR="002D2D64">
        <w:t xml:space="preserve"> annual survey of users of</w:t>
      </w:r>
      <w:r w:rsidR="0051114F">
        <w:t xml:space="preserve"> </w:t>
      </w:r>
      <w:r w:rsidR="0051114F" w:rsidRPr="0051114F">
        <w:t>GEMS registration</w:t>
      </w:r>
      <w:r w:rsidR="002D2D64">
        <w:t xml:space="preserve"> and enquiry services was conduc</w:t>
      </w:r>
      <w:r>
        <w:t>ted at the beginning of May 2018</w:t>
      </w:r>
      <w:r w:rsidR="002D2D64">
        <w:t>.</w:t>
      </w:r>
      <w:r w:rsidR="00CE2912">
        <w:t xml:space="preserve"> </w:t>
      </w:r>
      <w:r w:rsidR="00DF050E">
        <w:t>The overall</w:t>
      </w:r>
      <w:r>
        <w:t xml:space="preserve"> satisfaction level </w:t>
      </w:r>
      <w:r w:rsidR="00DF050E">
        <w:t>remained high while</w:t>
      </w:r>
      <w:r>
        <w:t xml:space="preserve"> all specific measures of improvement were up on 2016-17</w:t>
      </w:r>
      <w:r w:rsidR="005C4D15">
        <w:t>, continuing the trend of improvements since the first survey in May 2016</w:t>
      </w:r>
      <w:r>
        <w:t xml:space="preserve">. </w:t>
      </w:r>
    </w:p>
    <w:p w14:paraId="62C3C401" w14:textId="713DB599" w:rsidR="00F75753" w:rsidRDefault="00CE2912" w:rsidP="0028391F">
      <w:pPr>
        <w:pStyle w:val="Heading3"/>
      </w:pPr>
      <w:r>
        <w:t>Response</w:t>
      </w:r>
    </w:p>
    <w:p w14:paraId="2DD04285" w14:textId="2801D3D4" w:rsidR="00B63C44" w:rsidRDefault="00206392" w:rsidP="00CE2912">
      <w:r>
        <w:t>A total of 872</w:t>
      </w:r>
      <w:r w:rsidR="00B7589E">
        <w:t xml:space="preserve"> invitati</w:t>
      </w:r>
      <w:r>
        <w:t>ons to participate</w:t>
      </w:r>
      <w:r w:rsidR="00B7589E">
        <w:t xml:space="preserve"> were sent</w:t>
      </w:r>
      <w:r w:rsidR="009A6A5B">
        <w:t xml:space="preserve"> </w:t>
      </w:r>
      <w:r w:rsidR="00B7589E">
        <w:t xml:space="preserve">to registrants and contacts who </w:t>
      </w:r>
      <w:r w:rsidR="00D51C52">
        <w:t xml:space="preserve">had </w:t>
      </w:r>
      <w:r w:rsidR="000760A5">
        <w:t>emailed the e</w:t>
      </w:r>
      <w:r>
        <w:t>nergy r</w:t>
      </w:r>
      <w:r w:rsidR="00B7589E">
        <w:t>ating team</w:t>
      </w:r>
      <w:r w:rsidR="00D51C52">
        <w:t xml:space="preserve"> over the year</w:t>
      </w:r>
      <w:r w:rsidR="00B7589E">
        <w:t>. Last year’s impressive 20</w:t>
      </w:r>
      <w:r w:rsidR="0023486E">
        <w:t xml:space="preserve"> per cent</w:t>
      </w:r>
      <w:r>
        <w:t xml:space="preserve"> response rate was </w:t>
      </w:r>
      <w:r w:rsidR="00B7589E">
        <w:t>maintained</w:t>
      </w:r>
      <w:r>
        <w:t xml:space="preserve"> although, on this occasion, two reminders rather than one were needed to help achieve this rate</w:t>
      </w:r>
      <w:r w:rsidR="00B7589E">
        <w:t xml:space="preserve">. </w:t>
      </w:r>
      <w:r w:rsidR="00B63C44">
        <w:t xml:space="preserve">More than </w:t>
      </w:r>
      <w:r w:rsidR="00015EAA">
        <w:t>50</w:t>
      </w:r>
      <w:r w:rsidR="0023486E">
        <w:t xml:space="preserve"> per cent</w:t>
      </w:r>
      <w:r w:rsidR="00B63C44">
        <w:t xml:space="preserve"> of respondents provided</w:t>
      </w:r>
      <w:r w:rsidR="00CE2912">
        <w:t xml:space="preserve"> </w:t>
      </w:r>
      <w:r w:rsidR="0003722D">
        <w:t xml:space="preserve">comments or </w:t>
      </w:r>
      <w:r w:rsidR="00CE2912">
        <w:t xml:space="preserve">suggestions </w:t>
      </w:r>
      <w:r w:rsidR="0003722D">
        <w:t xml:space="preserve">in regards to </w:t>
      </w:r>
      <w:r w:rsidR="00B7589E">
        <w:t>regi</w:t>
      </w:r>
      <w:r w:rsidR="00B63C44">
        <w:t>stration and enquiry services.</w:t>
      </w:r>
    </w:p>
    <w:p w14:paraId="5007005B" w14:textId="794688B1" w:rsidR="00CE2912" w:rsidRPr="00CE2912" w:rsidRDefault="00015EAA" w:rsidP="00CE2912">
      <w:r>
        <w:t>More than</w:t>
      </w:r>
      <w:r w:rsidR="00D51C52">
        <w:t xml:space="preserve"> half </w:t>
      </w:r>
      <w:r>
        <w:t xml:space="preserve">(60 per cent) of </w:t>
      </w:r>
      <w:r w:rsidR="00D51C52">
        <w:t>the respondent organisations were Australi</w:t>
      </w:r>
      <w:r w:rsidR="00785C05">
        <w:t>an,</w:t>
      </w:r>
      <w:r>
        <w:t xml:space="preserve"> 20</w:t>
      </w:r>
      <w:r w:rsidR="0023486E">
        <w:t xml:space="preserve"> per cent</w:t>
      </w:r>
      <w:r w:rsidR="001D293D">
        <w:t xml:space="preserve"> Chinese</w:t>
      </w:r>
      <w:r w:rsidR="00785C05">
        <w:t>,</w:t>
      </w:r>
      <w:r w:rsidR="00081162">
        <w:t xml:space="preserve"> with</w:t>
      </w:r>
      <w:r w:rsidR="001D293D">
        <w:t xml:space="preserve"> </w:t>
      </w:r>
      <w:r w:rsidR="00D51C52">
        <w:t>Taiwan, USA, New Zealand and</w:t>
      </w:r>
      <w:r w:rsidR="00BC085D">
        <w:t xml:space="preserve"> a</w:t>
      </w:r>
      <w:r w:rsidR="00D51C52">
        <w:t xml:space="preserve"> range of European countries also represented.</w:t>
      </w:r>
      <w:r w:rsidR="00B63C44">
        <w:t xml:space="preserve"> </w:t>
      </w:r>
      <w:r w:rsidR="00906CBB">
        <w:t>H</w:t>
      </w:r>
      <w:r w:rsidR="00D51C52">
        <w:t>alf of the</w:t>
      </w:r>
      <w:r w:rsidR="00B7589E">
        <w:t xml:space="preserve"> respondents had lodged </w:t>
      </w:r>
      <w:r w:rsidR="00CE2912">
        <w:t>over 5 registrations</w:t>
      </w:r>
      <w:r w:rsidR="00B7589E">
        <w:t xml:space="preserve"> in the preceding year</w:t>
      </w:r>
      <w:r w:rsidR="00BD4B64">
        <w:t xml:space="preserve">. </w:t>
      </w:r>
    </w:p>
    <w:p w14:paraId="62C3C402" w14:textId="5CA1C53D" w:rsidR="00F75753" w:rsidRDefault="00BE371D" w:rsidP="00F75753">
      <w:pPr>
        <w:pStyle w:val="Heading3"/>
      </w:pPr>
      <w:r>
        <w:t>Results Overview</w:t>
      </w:r>
    </w:p>
    <w:p w14:paraId="2BE52D46" w14:textId="053FE799" w:rsidR="0051136B" w:rsidRDefault="00DF050E" w:rsidP="00493258">
      <w:r>
        <w:t>Overall</w:t>
      </w:r>
      <w:r w:rsidR="00540CD4">
        <w:t xml:space="preserve"> satisfaction</w:t>
      </w:r>
      <w:r w:rsidR="002E29D3">
        <w:t xml:space="preserve"> with GEMS registration and/or enquiries </w:t>
      </w:r>
      <w:r>
        <w:t xml:space="preserve">remained high at </w:t>
      </w:r>
      <w:r w:rsidR="00906CBB">
        <w:t>82</w:t>
      </w:r>
      <w:r w:rsidR="0023486E">
        <w:t xml:space="preserve"> per cent</w:t>
      </w:r>
      <w:r w:rsidR="002E29D3">
        <w:t>.</w:t>
      </w:r>
      <w:r w:rsidR="00540CD4">
        <w:t xml:space="preserve"> </w:t>
      </w:r>
      <w:r w:rsidR="00906CBB">
        <w:t>When asked about product registration and</w:t>
      </w:r>
      <w:r w:rsidR="000102EE">
        <w:t xml:space="preserve">/or the enquiry process however, </w:t>
      </w:r>
      <w:r w:rsidR="00906CBB">
        <w:t xml:space="preserve">respondents consistently recorded higher satisfaction scores than 2016-17 with 12 per cent more respondents agreeing the product registration process was improving over time and communication with the enquiry team was clear, accurate and relevant (up from 64 to 76 per cent and </w:t>
      </w:r>
      <w:r w:rsidR="000102EE">
        <w:t>76 to 87 per cent respectively</w:t>
      </w:r>
      <w:r w:rsidR="00906CBB">
        <w:t>)</w:t>
      </w:r>
      <w:r w:rsidR="000102EE">
        <w:t>. Ease of use of the registration system, enquiry resolution time and enquiry handling professionalism were all up nine per cent. A new question, agreement with the statement ‘The time it takes to complete a registration application is reasonable’, recorded a satisfaction level of 77 per cent.</w:t>
      </w:r>
    </w:p>
    <w:p w14:paraId="6F99FBDD" w14:textId="5F2E9D8C" w:rsidR="00E748D3" w:rsidRDefault="00BC085D" w:rsidP="00493258">
      <w:r>
        <w:t>Free text comments</w:t>
      </w:r>
      <w:r w:rsidR="0023486E">
        <w:t xml:space="preserve"> on </w:t>
      </w:r>
      <w:r w:rsidR="00081162">
        <w:t xml:space="preserve">GEMS </w:t>
      </w:r>
      <w:r w:rsidR="0023486E">
        <w:t xml:space="preserve">service experience </w:t>
      </w:r>
      <w:r>
        <w:t xml:space="preserve">were sought. In this survey </w:t>
      </w:r>
      <w:r w:rsidR="00190C67">
        <w:t xml:space="preserve">63 </w:t>
      </w:r>
      <w:r w:rsidR="0023486E">
        <w:t xml:space="preserve">per cent </w:t>
      </w:r>
      <w:r w:rsidR="0003722D">
        <w:t>included positive feedback about the Energy Rating team</w:t>
      </w:r>
      <w:r w:rsidR="00190C67">
        <w:t xml:space="preserve"> compared to 72 per cent in the previous survey</w:t>
      </w:r>
      <w:r w:rsidR="0003722D">
        <w:t>.</w:t>
      </w:r>
      <w:r w:rsidR="0011673E">
        <w:t xml:space="preserve"> Suggestions </w:t>
      </w:r>
      <w:r w:rsidR="00081162">
        <w:t>for improvement included</w:t>
      </w:r>
      <w:r w:rsidR="0011673E">
        <w:t xml:space="preserve"> </w:t>
      </w:r>
      <w:r w:rsidR="0023755F">
        <w:t>provision of a telephone number for enquiries and simplification of registration system complexity</w:t>
      </w:r>
      <w:r w:rsidR="0011673E">
        <w:t>.</w:t>
      </w:r>
    </w:p>
    <w:p w14:paraId="091005B3" w14:textId="52C1E131" w:rsidR="00BC085D" w:rsidRDefault="00BC085D" w:rsidP="00493258">
      <w:r>
        <w:lastRenderedPageBreak/>
        <w:t>An average of 64 per cent of respondents agreed with positive statements about compliance and monitoring activities, up from 58 per cent. There were improvements in all measures with the exception of levels of education and engagement being appropriate. The greatest improvement, 10 per cent, was recorded for compliance activities taking into consideration the operational needs of regulated businesses.</w:t>
      </w:r>
      <w:r w:rsidR="0072405A">
        <w:t xml:space="preserve"> It should be noted that a</w:t>
      </w:r>
      <w:r w:rsidR="0072405A" w:rsidRPr="0072405A">
        <w:t xml:space="preserve">verage dissatisfaction for compliance monitoring and enforcement was low at nine per cent. Stakeholders may have had less interaction with compliance activities compared to registration, reflected in the higher number of neutral responses at around 27 per cent.  </w:t>
      </w:r>
    </w:p>
    <w:p w14:paraId="6EBADB99" w14:textId="1A5EEABD" w:rsidR="00BC085D" w:rsidRDefault="00E73532" w:rsidP="00493258">
      <w:r>
        <w:t>Two different views of the results for registrations and enquiries and also for compliance and monitoring are attached to this report.</w:t>
      </w:r>
    </w:p>
    <w:p w14:paraId="46601732" w14:textId="77777777" w:rsidR="00BC085D" w:rsidRDefault="00BC085D" w:rsidP="00493258"/>
    <w:p w14:paraId="6F66BE64" w14:textId="77777777" w:rsidR="00BC085D" w:rsidRDefault="00BC085D" w:rsidP="00493258"/>
    <w:p w14:paraId="7A83ACED" w14:textId="77777777" w:rsidR="00DF050E" w:rsidRDefault="00DF050E" w:rsidP="00E748D3">
      <w:pPr>
        <w:rPr>
          <w:rFonts w:cs="Arial"/>
          <w:b/>
          <w:i/>
        </w:rPr>
      </w:pPr>
    </w:p>
    <w:p w14:paraId="71A92060" w14:textId="77777777" w:rsidR="00E748D3" w:rsidRPr="00081162" w:rsidRDefault="00E748D3" w:rsidP="00E748D3">
      <w:pPr>
        <w:rPr>
          <w:rFonts w:cs="Arial"/>
          <w:b/>
          <w:i/>
        </w:rPr>
      </w:pPr>
      <w:r w:rsidRPr="00081162">
        <w:rPr>
          <w:rFonts w:cs="Arial"/>
          <w:b/>
          <w:i/>
        </w:rPr>
        <w:t>Analysing and using the results</w:t>
      </w:r>
    </w:p>
    <w:p w14:paraId="43821D41" w14:textId="2C2CB531" w:rsidR="00E748D3" w:rsidRDefault="00E748D3" w:rsidP="00493258">
      <w:r>
        <w:t xml:space="preserve">The survey results are analysed in-house to determine themes, trends and gaps in service performance. </w:t>
      </w:r>
      <w:r w:rsidR="00BC085D">
        <w:t>In 2018</w:t>
      </w:r>
      <w:r w:rsidR="0023755F">
        <w:t xml:space="preserve"> four </w:t>
      </w:r>
      <w:r w:rsidR="009A50A2">
        <w:t>respondents</w:t>
      </w:r>
      <w:r>
        <w:t xml:space="preserve"> </w:t>
      </w:r>
      <w:r w:rsidR="0023755F">
        <w:t xml:space="preserve">(two per cent) suggested a need for a telephone hotline. This was down from five per cent </w:t>
      </w:r>
      <w:r w:rsidR="00BC085D">
        <w:t xml:space="preserve">in </w:t>
      </w:r>
      <w:r w:rsidR="0023755F">
        <w:t xml:space="preserve">the previous survey and from 27 per cent in the first survey. This is a pleasing result and reflects continuous improvement in response times for both registration processing and enquiry handling. For example, average </w:t>
      </w:r>
      <w:r w:rsidR="00BC085D">
        <w:t xml:space="preserve">registration </w:t>
      </w:r>
      <w:r w:rsidR="0023755F">
        <w:t>processing response times are now below two days.</w:t>
      </w:r>
    </w:p>
    <w:p w14:paraId="4B6E9551" w14:textId="1FD2FCE5" w:rsidR="00560790" w:rsidRDefault="00A37618" w:rsidP="00A37618">
      <w:pPr>
        <w:pStyle w:val="Heading3"/>
      </w:pPr>
      <w:r>
        <w:t>Reporting</w:t>
      </w:r>
    </w:p>
    <w:p w14:paraId="03D69596" w14:textId="627F1069" w:rsidR="009130D3" w:rsidRDefault="009130D3" w:rsidP="00A37618">
      <w:r>
        <w:t>The results will be outlined in the next edition of the Efficiency Standard and published on energyrating.gov.</w:t>
      </w:r>
      <w:r w:rsidR="0023755F">
        <w:t>au.</w:t>
      </w:r>
    </w:p>
    <w:p w14:paraId="7CDCC709" w14:textId="77777777" w:rsidR="00DF050E" w:rsidRDefault="00DF050E" w:rsidP="002C2022">
      <w:pPr>
        <w:pStyle w:val="Heading3"/>
        <w:spacing w:after="0"/>
        <w:rPr>
          <w:b w:val="0"/>
          <w:i w:val="0"/>
          <w:noProof/>
          <w:lang w:eastAsia="en-AU"/>
        </w:rPr>
      </w:pPr>
    </w:p>
    <w:p w14:paraId="1E9F4630" w14:textId="77777777" w:rsidR="005A7187" w:rsidRPr="005A7187" w:rsidRDefault="005A7187" w:rsidP="005A7187">
      <w:pPr>
        <w:rPr>
          <w:lang w:eastAsia="en-AU"/>
        </w:rPr>
      </w:pPr>
    </w:p>
    <w:p w14:paraId="78286997" w14:textId="0A69F1C5" w:rsidR="00081162" w:rsidRDefault="002C2022" w:rsidP="002C2022">
      <w:pPr>
        <w:pStyle w:val="Heading3"/>
        <w:spacing w:after="0"/>
        <w:rPr>
          <w:b w:val="0"/>
          <w:i w:val="0"/>
          <w:noProof/>
          <w:lang w:eastAsia="en-AU"/>
        </w:rPr>
      </w:pPr>
      <w:r>
        <w:rPr>
          <w:b w:val="0"/>
          <w:i w:val="0"/>
          <w:noProof/>
          <w:lang w:eastAsia="en-AU"/>
        </w:rPr>
        <w:t>GEMS Service Delivery Team</w:t>
      </w:r>
    </w:p>
    <w:p w14:paraId="4E3CB7F4" w14:textId="74465F84" w:rsidR="002C2022" w:rsidRDefault="002C2022" w:rsidP="002C2022">
      <w:pPr>
        <w:spacing w:after="0"/>
        <w:rPr>
          <w:lang w:eastAsia="en-AU"/>
        </w:rPr>
      </w:pPr>
      <w:r>
        <w:rPr>
          <w:lang w:eastAsia="en-AU"/>
        </w:rPr>
        <w:t>GEMS Regulator</w:t>
      </w:r>
    </w:p>
    <w:p w14:paraId="1D6CDC26" w14:textId="5C089888" w:rsidR="002C2022" w:rsidRDefault="002C2022" w:rsidP="002C2022">
      <w:pPr>
        <w:spacing w:after="0"/>
        <w:rPr>
          <w:lang w:eastAsia="en-AU"/>
        </w:rPr>
      </w:pPr>
      <w:r>
        <w:rPr>
          <w:lang w:eastAsia="en-AU"/>
        </w:rPr>
        <w:t>Department of Environment and Energy</w:t>
      </w:r>
    </w:p>
    <w:p w14:paraId="69017CA0" w14:textId="77777777" w:rsidR="002C2022" w:rsidRDefault="002C2022" w:rsidP="002C2022">
      <w:pPr>
        <w:spacing w:after="0"/>
        <w:rPr>
          <w:lang w:eastAsia="en-AU"/>
        </w:rPr>
      </w:pPr>
    </w:p>
    <w:p w14:paraId="7916E967" w14:textId="29DE8D62" w:rsidR="002C2022" w:rsidRPr="002C2022" w:rsidRDefault="00BC085D" w:rsidP="002C2022">
      <w:pPr>
        <w:spacing w:after="0"/>
        <w:rPr>
          <w:lang w:eastAsia="en-AU"/>
        </w:rPr>
      </w:pPr>
      <w:r>
        <w:rPr>
          <w:lang w:eastAsia="en-AU"/>
        </w:rPr>
        <w:t>30</w:t>
      </w:r>
      <w:r w:rsidR="0023755F">
        <w:rPr>
          <w:lang w:eastAsia="en-AU"/>
        </w:rPr>
        <w:t xml:space="preserve"> May 2018</w:t>
      </w:r>
    </w:p>
    <w:p w14:paraId="45961A3A" w14:textId="0D7ADDC8" w:rsidR="00081162" w:rsidRPr="009A50A2" w:rsidRDefault="009A50A2" w:rsidP="009A50A2">
      <w:pPr>
        <w:spacing w:after="0" w:line="240" w:lineRule="auto"/>
        <w:rPr>
          <w:rFonts w:cs="Arial"/>
          <w:b/>
          <w:i/>
          <w:noProof/>
          <w:lang w:eastAsia="en-AU"/>
        </w:rPr>
      </w:pPr>
      <w:r>
        <w:rPr>
          <w:noProof/>
          <w:lang w:eastAsia="en-AU"/>
        </w:rPr>
        <w:lastRenderedPageBreak/>
        <w:br w:type="page"/>
      </w:r>
    </w:p>
    <w:p w14:paraId="6A733B7F" w14:textId="03208204" w:rsidR="009A50A2" w:rsidRPr="00346C54" w:rsidRDefault="009A50A2" w:rsidP="009A50A2">
      <w:pPr>
        <w:pStyle w:val="Heading3"/>
        <w:jc w:val="center"/>
        <w:rPr>
          <w:i w:val="0"/>
          <w:noProof/>
          <w:color w:val="1F497D" w:themeColor="text2"/>
          <w:sz w:val="28"/>
          <w:lang w:eastAsia="en-AU"/>
        </w:rPr>
      </w:pPr>
      <w:r w:rsidRPr="00346C54">
        <w:rPr>
          <w:i w:val="0"/>
          <w:noProof/>
          <w:color w:val="1F497D" w:themeColor="text2"/>
          <w:sz w:val="28"/>
          <w:lang w:eastAsia="en-AU"/>
        </w:rPr>
        <w:lastRenderedPageBreak/>
        <w:t>GEMS Stakeholder Satisfaction Survey 201</w:t>
      </w:r>
      <w:r w:rsidR="008F3B60" w:rsidRPr="00346C54">
        <w:rPr>
          <w:i w:val="0"/>
          <w:noProof/>
          <w:color w:val="1F497D" w:themeColor="text2"/>
          <w:sz w:val="28"/>
          <w:lang w:eastAsia="en-AU"/>
        </w:rPr>
        <w:t>8</w:t>
      </w:r>
    </w:p>
    <w:p w14:paraId="08E57AA1" w14:textId="0AB65D07" w:rsidR="004937B9" w:rsidRPr="00527764" w:rsidRDefault="00527764" w:rsidP="004937B9">
      <w:pPr>
        <w:pStyle w:val="Heading3"/>
        <w:rPr>
          <w:noProof/>
          <w:sz w:val="24"/>
          <w:szCs w:val="24"/>
          <w:lang w:eastAsia="en-AU"/>
        </w:rPr>
      </w:pPr>
      <w:r w:rsidRPr="00527764">
        <w:rPr>
          <w:noProof/>
          <w:sz w:val="24"/>
          <w:szCs w:val="24"/>
          <w:lang w:eastAsia="en-AU"/>
        </w:rPr>
        <w:t>GEMS registration and enquiry r</w:t>
      </w:r>
      <w:r w:rsidR="004937B9" w:rsidRPr="00527764">
        <w:rPr>
          <w:noProof/>
          <w:sz w:val="24"/>
          <w:szCs w:val="24"/>
          <w:lang w:eastAsia="en-AU"/>
        </w:rPr>
        <w:t>esults</w:t>
      </w:r>
    </w:p>
    <w:p w14:paraId="18B37251" w14:textId="49BA687D" w:rsidR="00BF6A55" w:rsidRDefault="007B05D8" w:rsidP="00F75753">
      <w:pPr>
        <w:rPr>
          <w:noProof/>
          <w:lang w:eastAsia="en-AU"/>
        </w:rPr>
      </w:pPr>
      <w:r>
        <w:rPr>
          <w:noProof/>
          <w:lang w:eastAsia="en-AU"/>
        </w:rPr>
        <w:drawing>
          <wp:inline distT="0" distB="0" distL="0" distR="0" wp14:anchorId="0F476951" wp14:editId="419FFD1A">
            <wp:extent cx="5857875" cy="5181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57875" cy="5181600"/>
                    </a:xfrm>
                    <a:prstGeom prst="rect">
                      <a:avLst/>
                    </a:prstGeom>
                  </pic:spPr>
                </pic:pic>
              </a:graphicData>
            </a:graphic>
          </wp:inline>
        </w:drawing>
      </w:r>
    </w:p>
    <w:p w14:paraId="533D3463" w14:textId="42AC50B4" w:rsidR="00500342" w:rsidRDefault="00BF6741" w:rsidP="00F75753">
      <w:r>
        <w:rPr>
          <w:noProof/>
          <w:lang w:eastAsia="en-AU"/>
        </w:rPr>
        <w:lastRenderedPageBreak/>
        <w:drawing>
          <wp:inline distT="0" distB="0" distL="0" distR="0" wp14:anchorId="67A0D6A4" wp14:editId="4CE420FE">
            <wp:extent cx="6219825" cy="69246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9DCBB9" w14:textId="77777777" w:rsidR="001946D2" w:rsidRDefault="001946D2" w:rsidP="00527764">
      <w:pPr>
        <w:pStyle w:val="Heading3"/>
        <w:rPr>
          <w:noProof/>
          <w:sz w:val="24"/>
          <w:szCs w:val="24"/>
          <w:lang w:eastAsia="en-AU"/>
        </w:rPr>
      </w:pPr>
    </w:p>
    <w:p w14:paraId="4B9D392B" w14:textId="77777777" w:rsidR="001946D2" w:rsidRDefault="001946D2" w:rsidP="00527764">
      <w:pPr>
        <w:pStyle w:val="Heading3"/>
        <w:rPr>
          <w:noProof/>
          <w:sz w:val="24"/>
          <w:szCs w:val="24"/>
          <w:lang w:eastAsia="en-AU"/>
        </w:rPr>
      </w:pPr>
    </w:p>
    <w:p w14:paraId="69A712F7" w14:textId="77777777" w:rsidR="001946D2" w:rsidRDefault="001946D2" w:rsidP="00527764">
      <w:pPr>
        <w:pStyle w:val="Heading3"/>
        <w:rPr>
          <w:noProof/>
          <w:sz w:val="24"/>
          <w:szCs w:val="24"/>
          <w:lang w:eastAsia="en-AU"/>
        </w:rPr>
      </w:pPr>
    </w:p>
    <w:p w14:paraId="498F8098" w14:textId="77777777" w:rsidR="001946D2" w:rsidRDefault="001946D2" w:rsidP="00527764">
      <w:pPr>
        <w:pStyle w:val="Heading3"/>
        <w:rPr>
          <w:noProof/>
          <w:sz w:val="24"/>
          <w:szCs w:val="24"/>
          <w:lang w:eastAsia="en-AU"/>
        </w:rPr>
      </w:pPr>
    </w:p>
    <w:p w14:paraId="21453285" w14:textId="77777777" w:rsidR="001946D2" w:rsidRDefault="001946D2" w:rsidP="00527764">
      <w:pPr>
        <w:pStyle w:val="Heading3"/>
        <w:rPr>
          <w:noProof/>
          <w:sz w:val="24"/>
          <w:szCs w:val="24"/>
          <w:lang w:eastAsia="en-AU"/>
        </w:rPr>
      </w:pPr>
    </w:p>
    <w:p w14:paraId="1E4C57E9" w14:textId="77777777" w:rsidR="00D95EEB" w:rsidRDefault="00D95EEB" w:rsidP="00527764">
      <w:pPr>
        <w:pStyle w:val="Heading3"/>
        <w:rPr>
          <w:noProof/>
          <w:sz w:val="24"/>
          <w:szCs w:val="24"/>
          <w:lang w:eastAsia="en-AU"/>
        </w:rPr>
      </w:pPr>
    </w:p>
    <w:p w14:paraId="71D55A76" w14:textId="77777777" w:rsidR="00D95EEB" w:rsidRDefault="00D95EEB" w:rsidP="00527764">
      <w:pPr>
        <w:pStyle w:val="Heading3"/>
        <w:rPr>
          <w:noProof/>
          <w:sz w:val="24"/>
          <w:szCs w:val="24"/>
          <w:lang w:eastAsia="en-AU"/>
        </w:rPr>
      </w:pPr>
    </w:p>
    <w:p w14:paraId="7A2E81CE" w14:textId="65F90164" w:rsidR="00527764" w:rsidRDefault="00527764" w:rsidP="00527764">
      <w:pPr>
        <w:pStyle w:val="Heading3"/>
        <w:rPr>
          <w:noProof/>
          <w:sz w:val="24"/>
          <w:szCs w:val="24"/>
          <w:lang w:eastAsia="en-AU"/>
        </w:rPr>
      </w:pPr>
      <w:r w:rsidRPr="00527764">
        <w:rPr>
          <w:noProof/>
          <w:sz w:val="24"/>
          <w:szCs w:val="24"/>
          <w:lang w:eastAsia="en-AU"/>
        </w:rPr>
        <w:t>GEMS compliance and monitoring results</w:t>
      </w:r>
    </w:p>
    <w:p w14:paraId="6BBF8B19" w14:textId="6955FF5F" w:rsidR="00E73532" w:rsidRPr="00E73532" w:rsidRDefault="00E73532" w:rsidP="00E73532">
      <w:pPr>
        <w:rPr>
          <w:lang w:eastAsia="en-AU"/>
        </w:rPr>
      </w:pPr>
      <w:r>
        <w:rPr>
          <w:noProof/>
          <w:lang w:eastAsia="en-AU"/>
        </w:rPr>
        <w:drawing>
          <wp:inline distT="0" distB="0" distL="0" distR="0" wp14:anchorId="2332CB7C" wp14:editId="0BEB2640">
            <wp:extent cx="6299835" cy="3843020"/>
            <wp:effectExtent l="0" t="0" r="571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917E29" w14:textId="1C4CB71F" w:rsidR="00560790" w:rsidRDefault="00BF6741" w:rsidP="00560790">
      <w:r>
        <w:rPr>
          <w:noProof/>
          <w:lang w:eastAsia="en-AU"/>
        </w:rPr>
        <w:lastRenderedPageBreak/>
        <w:drawing>
          <wp:inline distT="0" distB="0" distL="0" distR="0" wp14:anchorId="31BA48D7" wp14:editId="517DF84A">
            <wp:extent cx="6324600" cy="48577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560790" w:rsidSect="00A43691">
      <w:type w:val="continuous"/>
      <w:pgSz w:w="11906" w:h="16838"/>
      <w:pgMar w:top="1134" w:right="851" w:bottom="72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3C408" w14:textId="77777777" w:rsidR="004D1131" w:rsidRDefault="004D1131" w:rsidP="00A60185">
      <w:pPr>
        <w:spacing w:after="0" w:line="240" w:lineRule="auto"/>
      </w:pPr>
      <w:r>
        <w:separator/>
      </w:r>
    </w:p>
  </w:endnote>
  <w:endnote w:type="continuationSeparator" w:id="0">
    <w:p w14:paraId="62C3C409" w14:textId="77777777" w:rsidR="004D1131" w:rsidRDefault="004D1131"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3C40C" w14:textId="77777777" w:rsidR="004D1131" w:rsidRPr="00826410" w:rsidRDefault="0065223A" w:rsidP="00535D18">
    <w:pPr>
      <w:pStyle w:val="Classification"/>
    </w:pPr>
    <w:fldSimple w:instr=" DOCPROPERTY SecurityClassification \* MERGEFORMAT ">
      <w:r w:rsidR="008E0CBE">
        <w:t xml:space="preserve">DRAFT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62C3C40D" w14:textId="77777777" w:rsidR="004D1131" w:rsidRDefault="0003722D" w:rsidP="008F64D3">
        <w:pPr>
          <w:pStyle w:val="Footer"/>
          <w:jc w:val="center"/>
        </w:pPr>
        <w:r>
          <w:fldChar w:fldCharType="begin"/>
        </w:r>
        <w:r>
          <w:instrText xml:space="preserve"> PAGE   \* MERGEFORMAT </w:instrText>
        </w:r>
        <w:r>
          <w:fldChar w:fldCharType="separate"/>
        </w:r>
        <w:r w:rsidR="00A63B4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3C406" w14:textId="77777777" w:rsidR="004D1131" w:rsidRDefault="004D1131" w:rsidP="00A60185">
      <w:pPr>
        <w:spacing w:after="0" w:line="240" w:lineRule="auto"/>
      </w:pPr>
      <w:r>
        <w:separator/>
      </w:r>
    </w:p>
  </w:footnote>
  <w:footnote w:type="continuationSeparator" w:id="0">
    <w:p w14:paraId="62C3C407" w14:textId="77777777" w:rsidR="004D1131" w:rsidRDefault="004D1131"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3C40A" w14:textId="77777777" w:rsidR="004D1131" w:rsidRDefault="0065223A" w:rsidP="00535D18">
    <w:pPr>
      <w:pStyle w:val="Classification"/>
    </w:pPr>
    <w:fldSimple w:instr=" DOCPROPERTY SecurityClassification \* MERGEFORMAT ">
      <w:r w:rsidR="008E0CBE">
        <w:t xml:space="preserve">DRAFT </w:t>
      </w:r>
    </w:fldSimple>
  </w:p>
  <w:p w14:paraId="62C3C40B" w14:textId="77777777" w:rsidR="004D1131" w:rsidRDefault="0065223A" w:rsidP="00E45765">
    <w:pPr>
      <w:pStyle w:val="Classification"/>
    </w:pPr>
    <w:fldSimple w:instr=" DOCPROPERTY SecurityClassification \* MERGEFORMAT ">
      <w:r w:rsidR="008E0CBE" w:rsidRPr="008E0CBE">
        <w:rPr>
          <w:b/>
          <w:bCs/>
          <w:lang w:val="en-US"/>
        </w:rPr>
        <w:t xml:space="preserve">DRAFT </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3C40E" w14:textId="77777777" w:rsidR="004D1131" w:rsidRPr="00826410" w:rsidRDefault="004D1131" w:rsidP="00D10314">
    <w:pPr>
      <w:pStyle w:val="Classification"/>
      <w:tabs>
        <w:tab w:val="clear" w:pos="4536"/>
        <w:tab w:val="clear" w:pos="4819"/>
        <w:tab w:val="clear" w:pos="9356"/>
      </w:tabs>
      <w:ind w:left="567"/>
      <w:jc w:val="left"/>
    </w:pPr>
    <w:r>
      <w:rPr>
        <w:noProof/>
      </w:rPr>
      <w:drawing>
        <wp:anchor distT="0" distB="0" distL="114300" distR="114300" simplePos="0" relativeHeight="251659264" behindDoc="0" locked="0" layoutInCell="1" allowOverlap="1" wp14:anchorId="62C3C40F" wp14:editId="55C4AE43">
          <wp:simplePos x="0" y="0"/>
          <wp:positionH relativeFrom="page">
            <wp:posOffset>571500</wp:posOffset>
          </wp:positionH>
          <wp:positionV relativeFrom="page">
            <wp:posOffset>485775</wp:posOffset>
          </wp:positionV>
          <wp:extent cx="3413570" cy="590931"/>
          <wp:effectExtent l="19050" t="0" r="0" b="0"/>
          <wp:wrapNone/>
          <wp:docPr id="1"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1"/>
                  <a:stretch>
                    <a:fillRect/>
                  </a:stretch>
                </pic:blipFill>
                <pic:spPr>
                  <a:xfrm>
                    <a:off x="0" y="0"/>
                    <a:ext cx="3413570" cy="590931"/>
                  </a:xfrm>
                  <a:prstGeom prst="rect">
                    <a:avLst/>
                  </a:prstGeom>
                </pic:spPr>
              </pic:pic>
            </a:graphicData>
          </a:graphic>
        </wp:anchor>
      </w:drawing>
    </w:r>
    <w:r>
      <w:rPr>
        <w:noProof/>
      </w:rPr>
      <w:drawing>
        <wp:anchor distT="0" distB="0" distL="114300" distR="114300" simplePos="0" relativeHeight="251658240" behindDoc="1" locked="0" layoutInCell="1" allowOverlap="1" wp14:anchorId="62C3C411" wp14:editId="369D2053">
          <wp:simplePos x="0" y="0"/>
          <wp:positionH relativeFrom="page">
            <wp:posOffset>0</wp:posOffset>
          </wp:positionH>
          <wp:positionV relativeFrom="page">
            <wp:posOffset>0</wp:posOffset>
          </wp:positionV>
          <wp:extent cx="7560000" cy="1439782"/>
          <wp:effectExtent l="0" t="0" r="0" b="0"/>
          <wp:wrapNone/>
          <wp:docPr id="3"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2"/>
                  <a:stretch>
                    <a:fillRect/>
                  </a:stretch>
                </pic:blipFill>
                <pic:spPr>
                  <a:xfrm>
                    <a:off x="0" y="0"/>
                    <a:ext cx="7560000" cy="14397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2542E5C"/>
    <w:multiLevelType w:val="hybridMultilevel"/>
    <w:tmpl w:val="BA8ABE4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AD7D8C"/>
    <w:multiLevelType w:val="hybridMultilevel"/>
    <w:tmpl w:val="5F30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79349D"/>
    <w:multiLevelType w:val="hybridMultilevel"/>
    <w:tmpl w:val="C174289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65456429"/>
    <w:multiLevelType w:val="multilevel"/>
    <w:tmpl w:val="E898CC72"/>
    <w:numStyleLink w:val="KeyPoints"/>
  </w:abstractNum>
  <w:abstractNum w:abstractNumId="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4"/>
  </w:num>
  <w:num w:numId="4">
    <w:abstractNumId w:val="3"/>
  </w:num>
  <w:num w:numId="5">
    <w:abstractNumId w:val="7"/>
  </w:num>
  <w:num w:numId="6">
    <w:abstractNumId w:val="1"/>
  </w:num>
  <w:num w:numId="7">
    <w:abstractNumId w:val="2"/>
  </w:num>
  <w:num w:numId="8">
    <w:abstractNumId w:val="5"/>
  </w:num>
  <w:num w:numId="9">
    <w:abstractNumId w:val="6"/>
  </w:num>
  <w:num w:numId="10">
    <w:abstractNumId w:val="7"/>
    <w:lvlOverride w:ilvl="0">
      <w:lvl w:ilvl="0">
        <w:start w:val="1"/>
        <w:numFmt w:val="decimal"/>
        <w:pStyle w:val="ListNumber"/>
        <w:lvlText w:val="%1."/>
        <w:lvlJc w:val="left"/>
        <w:pPr>
          <w:ind w:left="369" w:hanging="369"/>
        </w:pPr>
        <w:rPr>
          <w:rFonts w:asciiTheme="minorHAnsi" w:hAnsiTheme="minorHAnsi" w:hint="default"/>
          <w:b w:val="0"/>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1">
    <w:abstractNumId w:val="7"/>
    <w:lvlOverride w:ilvl="0">
      <w:startOverride w:val="1"/>
      <w:lvl w:ilvl="0">
        <w:start w:val="1"/>
        <w:numFmt w:val="decimal"/>
        <w:pStyle w:val="ListNumber"/>
        <w:lvlText w:val="%1."/>
        <w:lvlJc w:val="left"/>
        <w:pPr>
          <w:ind w:left="369" w:hanging="369"/>
        </w:pPr>
        <w:rPr>
          <w:rFonts w:asciiTheme="minorHAnsi" w:hAnsiTheme="minorHAnsi" w:hint="default"/>
          <w:sz w:val="22"/>
        </w:rPr>
      </w:lvl>
    </w:lvlOverride>
    <w:lvlOverride w:ilvl="1">
      <w:startOverride w:val="1"/>
      <w:lvl w:ilvl="1">
        <w:start w:val="1"/>
        <w:numFmt w:val="lowerLetter"/>
        <w:pStyle w:val="ListNumber2"/>
        <w:lvlText w:val="%2."/>
        <w:lvlJc w:val="left"/>
        <w:pPr>
          <w:ind w:left="738" w:hanging="369"/>
        </w:pPr>
        <w:rPr>
          <w:rFonts w:hint="default"/>
        </w:rPr>
      </w:lvl>
    </w:lvlOverride>
    <w:lvlOverride w:ilvl="2">
      <w:startOverride w:val="1"/>
      <w:lvl w:ilvl="2">
        <w:start w:val="1"/>
        <w:numFmt w:val="lowerRoman"/>
        <w:pStyle w:val="ListNumber3"/>
        <w:lvlText w:val="%3."/>
        <w:lvlJc w:val="left"/>
        <w:pPr>
          <w:ind w:left="1107" w:hanging="369"/>
        </w:pPr>
        <w:rPr>
          <w:rFonts w:hint="default"/>
        </w:rPr>
      </w:lvl>
    </w:lvlOverride>
    <w:lvlOverride w:ilvl="3">
      <w:startOverride w:val="1"/>
      <w:lvl w:ilvl="3">
        <w:start w:val="1"/>
        <w:numFmt w:val="none"/>
        <w:pStyle w:val="ListNumber4"/>
        <w:lvlText w:val="%4"/>
        <w:lvlJc w:val="left"/>
        <w:pPr>
          <w:ind w:left="1476" w:hanging="369"/>
        </w:pPr>
        <w:rPr>
          <w:rFonts w:hint="default"/>
        </w:rPr>
      </w:lvl>
    </w:lvlOverride>
    <w:lvlOverride w:ilvl="4">
      <w:startOverride w:val="1"/>
      <w:lvl w:ilvl="4">
        <w:start w:val="1"/>
        <w:numFmt w:val="none"/>
        <w:pStyle w:val="ListNumber5"/>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12">
    <w:abstractNumId w:val="7"/>
    <w:lvlOverride w:ilvl="0">
      <w:startOverride w:val="1"/>
      <w:lvl w:ilvl="0">
        <w:start w:val="1"/>
        <w:numFmt w:val="decimal"/>
        <w:pStyle w:val="ListNumber"/>
        <w:lvlText w:val="%1."/>
        <w:lvlJc w:val="left"/>
        <w:pPr>
          <w:ind w:left="369" w:hanging="369"/>
        </w:pPr>
        <w:rPr>
          <w:rFonts w:asciiTheme="minorHAnsi" w:hAnsiTheme="minorHAnsi" w:hint="default"/>
          <w:b w:val="0"/>
          <w:sz w:val="22"/>
        </w:rPr>
      </w:lvl>
    </w:lvlOverride>
    <w:lvlOverride w:ilvl="1">
      <w:startOverride w:val="1"/>
      <w:lvl w:ilvl="1">
        <w:start w:val="1"/>
        <w:numFmt w:val="lowerLetter"/>
        <w:pStyle w:val="ListNumber2"/>
        <w:lvlText w:val="%2."/>
        <w:lvlJc w:val="left"/>
        <w:pPr>
          <w:ind w:left="738" w:hanging="369"/>
        </w:pPr>
        <w:rPr>
          <w:rFonts w:hint="default"/>
        </w:rPr>
      </w:lvl>
    </w:lvlOverride>
    <w:lvlOverride w:ilvl="2">
      <w:startOverride w:val="1"/>
      <w:lvl w:ilvl="2">
        <w:start w:val="1"/>
        <w:numFmt w:val="lowerRoman"/>
        <w:pStyle w:val="ListNumber3"/>
        <w:lvlText w:val="%3."/>
        <w:lvlJc w:val="left"/>
        <w:pPr>
          <w:ind w:left="1107" w:hanging="369"/>
        </w:pPr>
        <w:rPr>
          <w:rFonts w:hint="default"/>
        </w:rPr>
      </w:lvl>
    </w:lvlOverride>
    <w:lvlOverride w:ilvl="3">
      <w:startOverride w:val="1"/>
      <w:lvl w:ilvl="3">
        <w:start w:val="1"/>
        <w:numFmt w:val="none"/>
        <w:pStyle w:val="ListNumber4"/>
        <w:lvlText w:val="%4"/>
        <w:lvlJc w:val="left"/>
        <w:pPr>
          <w:ind w:left="1476" w:hanging="369"/>
        </w:pPr>
        <w:rPr>
          <w:rFonts w:hint="default"/>
        </w:rPr>
      </w:lvl>
    </w:lvlOverride>
    <w:lvlOverride w:ilvl="4">
      <w:startOverride w:val="1"/>
      <w:lvl w:ilvl="4">
        <w:start w:val="1"/>
        <w:numFmt w:val="none"/>
        <w:pStyle w:val="ListNumber5"/>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13">
    <w:abstractNumId w:val="7"/>
    <w:lvlOverride w:ilvl="0">
      <w:startOverride w:val="1"/>
      <w:lvl w:ilvl="0">
        <w:start w:val="1"/>
        <w:numFmt w:val="decimal"/>
        <w:pStyle w:val="ListNumber"/>
        <w:lvlText w:val="%1."/>
        <w:lvlJc w:val="left"/>
        <w:pPr>
          <w:ind w:left="369" w:hanging="369"/>
        </w:pPr>
        <w:rPr>
          <w:rFonts w:asciiTheme="minorHAnsi" w:hAnsiTheme="minorHAnsi" w:hint="default"/>
          <w:sz w:val="22"/>
        </w:rPr>
      </w:lvl>
    </w:lvlOverride>
    <w:lvlOverride w:ilvl="1">
      <w:startOverride w:val="1"/>
      <w:lvl w:ilvl="1">
        <w:start w:val="1"/>
        <w:numFmt w:val="lowerLetter"/>
        <w:pStyle w:val="ListNumber2"/>
        <w:lvlText w:val="%2."/>
        <w:lvlJc w:val="left"/>
        <w:pPr>
          <w:ind w:left="738" w:hanging="369"/>
        </w:pPr>
        <w:rPr>
          <w:rFonts w:hint="default"/>
        </w:rPr>
      </w:lvl>
    </w:lvlOverride>
    <w:lvlOverride w:ilvl="2">
      <w:startOverride w:val="1"/>
      <w:lvl w:ilvl="2">
        <w:start w:val="1"/>
        <w:numFmt w:val="lowerRoman"/>
        <w:pStyle w:val="ListNumber3"/>
        <w:lvlText w:val="%3."/>
        <w:lvlJc w:val="left"/>
        <w:pPr>
          <w:ind w:left="1107" w:hanging="369"/>
        </w:pPr>
        <w:rPr>
          <w:rFonts w:hint="default"/>
        </w:rPr>
      </w:lvl>
    </w:lvlOverride>
    <w:lvlOverride w:ilvl="3">
      <w:startOverride w:val="1"/>
      <w:lvl w:ilvl="3">
        <w:start w:val="1"/>
        <w:numFmt w:val="none"/>
        <w:pStyle w:val="ListNumber4"/>
        <w:lvlText w:val="%4"/>
        <w:lvlJc w:val="left"/>
        <w:pPr>
          <w:ind w:left="1476" w:hanging="369"/>
        </w:pPr>
        <w:rPr>
          <w:rFonts w:hint="default"/>
        </w:rPr>
      </w:lvl>
    </w:lvlOverride>
    <w:lvlOverride w:ilvl="4">
      <w:startOverride w:val="1"/>
      <w:lvl w:ilvl="4">
        <w:start w:val="1"/>
        <w:numFmt w:val="none"/>
        <w:pStyle w:val="ListNumber5"/>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14">
    <w:abstractNumId w:val="7"/>
    <w:lvlOverride w:ilvl="0">
      <w:startOverride w:val="1"/>
      <w:lvl w:ilvl="0">
        <w:start w:val="1"/>
        <w:numFmt w:val="decimal"/>
        <w:pStyle w:val="ListNumber"/>
        <w:lvlText w:val="%1."/>
        <w:lvlJc w:val="left"/>
        <w:pPr>
          <w:ind w:left="369" w:hanging="369"/>
        </w:pPr>
        <w:rPr>
          <w:rFonts w:asciiTheme="minorHAnsi" w:hAnsiTheme="minorHAnsi" w:hint="default"/>
          <w:sz w:val="22"/>
        </w:rPr>
      </w:lvl>
    </w:lvlOverride>
    <w:lvlOverride w:ilvl="1">
      <w:startOverride w:val="1"/>
      <w:lvl w:ilvl="1">
        <w:start w:val="1"/>
        <w:numFmt w:val="lowerLetter"/>
        <w:pStyle w:val="ListNumber2"/>
        <w:lvlText w:val="%2."/>
        <w:lvlJc w:val="left"/>
        <w:pPr>
          <w:ind w:left="738" w:hanging="369"/>
        </w:pPr>
        <w:rPr>
          <w:rFonts w:hint="default"/>
        </w:rPr>
      </w:lvl>
    </w:lvlOverride>
    <w:lvlOverride w:ilvl="2">
      <w:startOverride w:val="1"/>
      <w:lvl w:ilvl="2">
        <w:start w:val="1"/>
        <w:numFmt w:val="lowerRoman"/>
        <w:pStyle w:val="ListNumber3"/>
        <w:lvlText w:val="%3."/>
        <w:lvlJc w:val="left"/>
        <w:pPr>
          <w:ind w:left="1107" w:hanging="369"/>
        </w:pPr>
        <w:rPr>
          <w:rFonts w:hint="default"/>
        </w:rPr>
      </w:lvl>
    </w:lvlOverride>
    <w:lvlOverride w:ilvl="3">
      <w:startOverride w:val="1"/>
      <w:lvl w:ilvl="3">
        <w:start w:val="1"/>
        <w:numFmt w:val="none"/>
        <w:pStyle w:val="ListNumber4"/>
        <w:lvlText w:val="%4"/>
        <w:lvlJc w:val="left"/>
        <w:pPr>
          <w:ind w:left="1476" w:hanging="369"/>
        </w:pPr>
        <w:rPr>
          <w:rFonts w:hint="default"/>
        </w:rPr>
      </w:lvl>
    </w:lvlOverride>
    <w:lvlOverride w:ilvl="4">
      <w:startOverride w:val="1"/>
      <w:lvl w:ilvl="4">
        <w:start w:val="1"/>
        <w:numFmt w:val="none"/>
        <w:pStyle w:val="ListNumber5"/>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15">
    <w:abstractNumId w:val="7"/>
    <w:lvlOverride w:ilvl="0">
      <w:startOverride w:val="1"/>
      <w:lvl w:ilvl="0">
        <w:start w:val="1"/>
        <w:numFmt w:val="decimal"/>
        <w:pStyle w:val="ListNumber"/>
        <w:lvlText w:val="%1."/>
        <w:lvlJc w:val="left"/>
        <w:pPr>
          <w:ind w:left="369" w:hanging="369"/>
        </w:pPr>
        <w:rPr>
          <w:rFonts w:asciiTheme="minorHAnsi" w:hAnsiTheme="minorHAnsi" w:hint="default"/>
          <w:sz w:val="22"/>
        </w:rPr>
      </w:lvl>
    </w:lvlOverride>
    <w:lvlOverride w:ilvl="1">
      <w:startOverride w:val="1"/>
      <w:lvl w:ilvl="1">
        <w:start w:val="1"/>
        <w:numFmt w:val="lowerLetter"/>
        <w:pStyle w:val="ListNumber2"/>
        <w:lvlText w:val="%2."/>
        <w:lvlJc w:val="left"/>
        <w:pPr>
          <w:ind w:left="738" w:hanging="369"/>
        </w:pPr>
        <w:rPr>
          <w:rFonts w:hint="default"/>
        </w:rPr>
      </w:lvl>
    </w:lvlOverride>
    <w:lvlOverride w:ilvl="2">
      <w:startOverride w:val="1"/>
      <w:lvl w:ilvl="2">
        <w:start w:val="1"/>
        <w:numFmt w:val="lowerRoman"/>
        <w:pStyle w:val="ListNumber3"/>
        <w:lvlText w:val="%3."/>
        <w:lvlJc w:val="left"/>
        <w:pPr>
          <w:ind w:left="1107" w:hanging="369"/>
        </w:pPr>
        <w:rPr>
          <w:rFonts w:hint="default"/>
        </w:rPr>
      </w:lvl>
    </w:lvlOverride>
    <w:lvlOverride w:ilvl="3">
      <w:startOverride w:val="1"/>
      <w:lvl w:ilvl="3">
        <w:start w:val="1"/>
        <w:numFmt w:val="none"/>
        <w:pStyle w:val="ListNumber4"/>
        <w:lvlText w:val="%4"/>
        <w:lvlJc w:val="left"/>
        <w:pPr>
          <w:ind w:left="1476" w:hanging="369"/>
        </w:pPr>
        <w:rPr>
          <w:rFonts w:hint="default"/>
        </w:rPr>
      </w:lvl>
    </w:lvlOverride>
    <w:lvlOverride w:ilvl="4">
      <w:startOverride w:val="1"/>
      <w:lvl w:ilvl="4">
        <w:start w:val="1"/>
        <w:numFmt w:val="none"/>
        <w:pStyle w:val="ListNumber5"/>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16">
    <w:abstractNumId w:val="7"/>
    <w:lvlOverride w:ilvl="0">
      <w:startOverride w:val="1"/>
      <w:lvl w:ilvl="0">
        <w:start w:val="1"/>
        <w:numFmt w:val="decimal"/>
        <w:pStyle w:val="ListNumber"/>
        <w:lvlText w:val="%1."/>
        <w:lvlJc w:val="left"/>
        <w:pPr>
          <w:ind w:left="369" w:hanging="369"/>
        </w:pPr>
        <w:rPr>
          <w:rFonts w:asciiTheme="minorHAnsi" w:hAnsiTheme="minorHAnsi" w:hint="default"/>
          <w:sz w:val="22"/>
        </w:rPr>
      </w:lvl>
    </w:lvlOverride>
    <w:lvlOverride w:ilvl="1">
      <w:startOverride w:val="1"/>
      <w:lvl w:ilvl="1">
        <w:start w:val="1"/>
        <w:numFmt w:val="lowerLetter"/>
        <w:pStyle w:val="ListNumber2"/>
        <w:lvlText w:val="%2."/>
        <w:lvlJc w:val="left"/>
        <w:pPr>
          <w:ind w:left="738" w:hanging="369"/>
        </w:pPr>
        <w:rPr>
          <w:rFonts w:hint="default"/>
        </w:rPr>
      </w:lvl>
    </w:lvlOverride>
    <w:lvlOverride w:ilvl="2">
      <w:startOverride w:val="1"/>
      <w:lvl w:ilvl="2">
        <w:start w:val="1"/>
        <w:numFmt w:val="lowerRoman"/>
        <w:pStyle w:val="ListNumber3"/>
        <w:lvlText w:val="%3."/>
        <w:lvlJc w:val="left"/>
        <w:pPr>
          <w:ind w:left="1107" w:hanging="369"/>
        </w:pPr>
        <w:rPr>
          <w:rFonts w:hint="default"/>
        </w:rPr>
      </w:lvl>
    </w:lvlOverride>
    <w:lvlOverride w:ilvl="3">
      <w:startOverride w:val="1"/>
      <w:lvl w:ilvl="3">
        <w:start w:val="1"/>
        <w:numFmt w:val="none"/>
        <w:pStyle w:val="ListNumber4"/>
        <w:lvlText w:val="%4"/>
        <w:lvlJc w:val="left"/>
        <w:pPr>
          <w:ind w:left="1476" w:hanging="369"/>
        </w:pPr>
        <w:rPr>
          <w:rFonts w:hint="default"/>
        </w:rPr>
      </w:lvl>
    </w:lvlOverride>
    <w:lvlOverride w:ilvl="4">
      <w:startOverride w:val="1"/>
      <w:lvl w:ilvl="4">
        <w:start w:val="1"/>
        <w:numFmt w:val="none"/>
        <w:pStyle w:val="ListNumber5"/>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17">
    <w:abstractNumId w:val="7"/>
    <w:lvlOverride w:ilvl="0">
      <w:startOverride w:val="1"/>
      <w:lvl w:ilvl="0">
        <w:start w:val="1"/>
        <w:numFmt w:val="decimal"/>
        <w:pStyle w:val="ListNumber"/>
        <w:lvlText w:val="%1."/>
        <w:lvlJc w:val="left"/>
        <w:pPr>
          <w:ind w:left="369" w:hanging="369"/>
        </w:pPr>
        <w:rPr>
          <w:rFonts w:asciiTheme="minorHAnsi" w:hAnsiTheme="minorHAnsi" w:hint="default"/>
          <w:sz w:val="22"/>
        </w:rPr>
      </w:lvl>
    </w:lvlOverride>
    <w:lvlOverride w:ilvl="1">
      <w:startOverride w:val="1"/>
      <w:lvl w:ilvl="1">
        <w:start w:val="1"/>
        <w:numFmt w:val="lowerLetter"/>
        <w:pStyle w:val="ListNumber2"/>
        <w:lvlText w:val="%2."/>
        <w:lvlJc w:val="left"/>
        <w:pPr>
          <w:ind w:left="738" w:hanging="369"/>
        </w:pPr>
        <w:rPr>
          <w:rFonts w:hint="default"/>
        </w:rPr>
      </w:lvl>
    </w:lvlOverride>
    <w:lvlOverride w:ilvl="2">
      <w:startOverride w:val="1"/>
      <w:lvl w:ilvl="2">
        <w:start w:val="1"/>
        <w:numFmt w:val="lowerRoman"/>
        <w:pStyle w:val="ListNumber3"/>
        <w:lvlText w:val="%3."/>
        <w:lvlJc w:val="left"/>
        <w:pPr>
          <w:ind w:left="1107" w:hanging="369"/>
        </w:pPr>
        <w:rPr>
          <w:rFonts w:hint="default"/>
        </w:rPr>
      </w:lvl>
    </w:lvlOverride>
    <w:lvlOverride w:ilvl="3">
      <w:startOverride w:val="1"/>
      <w:lvl w:ilvl="3">
        <w:start w:val="1"/>
        <w:numFmt w:val="none"/>
        <w:pStyle w:val="ListNumber4"/>
        <w:lvlText w:val="%4"/>
        <w:lvlJc w:val="left"/>
        <w:pPr>
          <w:ind w:left="1476" w:hanging="369"/>
        </w:pPr>
        <w:rPr>
          <w:rFonts w:hint="default"/>
        </w:rPr>
      </w:lvl>
    </w:lvlOverride>
    <w:lvlOverride w:ilvl="4">
      <w:startOverride w:val="1"/>
      <w:lvl w:ilvl="4">
        <w:start w:val="1"/>
        <w:numFmt w:val="none"/>
        <w:pStyle w:val="ListNumber5"/>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 w:numId="18">
    <w:abstractNumId w:val="7"/>
    <w:lvlOverride w:ilvl="0">
      <w:startOverride w:val="1"/>
      <w:lvl w:ilvl="0">
        <w:start w:val="1"/>
        <w:numFmt w:val="decimal"/>
        <w:pStyle w:val="ListNumber"/>
        <w:lvlText w:val="%1."/>
        <w:lvlJc w:val="left"/>
        <w:pPr>
          <w:ind w:left="369" w:hanging="369"/>
        </w:pPr>
        <w:rPr>
          <w:rFonts w:asciiTheme="minorHAnsi" w:hAnsiTheme="minorHAnsi" w:hint="default"/>
          <w:sz w:val="22"/>
        </w:rPr>
      </w:lvl>
    </w:lvlOverride>
    <w:lvlOverride w:ilvl="1">
      <w:startOverride w:val="1"/>
      <w:lvl w:ilvl="1">
        <w:start w:val="1"/>
        <w:numFmt w:val="lowerLetter"/>
        <w:pStyle w:val="ListNumber2"/>
        <w:lvlText w:val="%2."/>
        <w:lvlJc w:val="left"/>
        <w:pPr>
          <w:ind w:left="738" w:hanging="369"/>
        </w:pPr>
        <w:rPr>
          <w:rFonts w:hint="default"/>
        </w:rPr>
      </w:lvl>
    </w:lvlOverride>
    <w:lvlOverride w:ilvl="2">
      <w:startOverride w:val="1"/>
      <w:lvl w:ilvl="2">
        <w:start w:val="1"/>
        <w:numFmt w:val="lowerRoman"/>
        <w:pStyle w:val="ListNumber3"/>
        <w:lvlText w:val="%3."/>
        <w:lvlJc w:val="left"/>
        <w:pPr>
          <w:ind w:left="1107" w:hanging="369"/>
        </w:pPr>
        <w:rPr>
          <w:rFonts w:hint="default"/>
        </w:rPr>
      </w:lvl>
    </w:lvlOverride>
    <w:lvlOverride w:ilvl="3">
      <w:startOverride w:val="1"/>
      <w:lvl w:ilvl="3">
        <w:start w:val="1"/>
        <w:numFmt w:val="none"/>
        <w:pStyle w:val="ListNumber4"/>
        <w:lvlText w:val="%4"/>
        <w:lvlJc w:val="left"/>
        <w:pPr>
          <w:ind w:left="1476" w:hanging="369"/>
        </w:pPr>
        <w:rPr>
          <w:rFonts w:hint="default"/>
        </w:rPr>
      </w:lvl>
    </w:lvlOverride>
    <w:lvlOverride w:ilvl="4">
      <w:startOverride w:val="1"/>
      <w:lvl w:ilvl="4">
        <w:start w:val="1"/>
        <w:numFmt w:val="none"/>
        <w:pStyle w:val="ListNumber5"/>
        <w:lvlText w:val=""/>
        <w:lvlJc w:val="left"/>
        <w:pPr>
          <w:ind w:left="1845" w:hanging="369"/>
        </w:pPr>
        <w:rPr>
          <w:rFonts w:hint="default"/>
        </w:rPr>
      </w:lvl>
    </w:lvlOverride>
    <w:lvlOverride w:ilvl="5">
      <w:startOverride w:val="1"/>
      <w:lvl w:ilvl="5">
        <w:start w:val="1"/>
        <w:numFmt w:val="none"/>
        <w:lvlText w:val=""/>
        <w:lvlJc w:val="left"/>
        <w:pPr>
          <w:ind w:left="2214" w:hanging="369"/>
        </w:pPr>
        <w:rPr>
          <w:rFonts w:hint="default"/>
        </w:rPr>
      </w:lvl>
    </w:lvlOverride>
    <w:lvlOverride w:ilvl="6">
      <w:startOverride w:val="1"/>
      <w:lvl w:ilvl="6">
        <w:start w:val="1"/>
        <w:numFmt w:val="none"/>
        <w:lvlText w:val=""/>
        <w:lvlJc w:val="left"/>
        <w:pPr>
          <w:ind w:left="2583" w:hanging="369"/>
        </w:pPr>
        <w:rPr>
          <w:rFonts w:hint="default"/>
        </w:rPr>
      </w:lvl>
    </w:lvlOverride>
    <w:lvlOverride w:ilvl="7">
      <w:startOverride w:val="1"/>
      <w:lvl w:ilvl="7">
        <w:start w:val="1"/>
        <w:numFmt w:val="none"/>
        <w:lvlText w:val=""/>
        <w:lvlJc w:val="left"/>
        <w:pPr>
          <w:ind w:left="2952" w:hanging="369"/>
        </w:pPr>
        <w:rPr>
          <w:rFonts w:hint="default"/>
        </w:rPr>
      </w:lvl>
    </w:lvlOverride>
    <w:lvlOverride w:ilvl="8">
      <w:startOverride w:val="1"/>
      <w:lvl w:ilvl="8">
        <w:start w:val="1"/>
        <w:numFmt w:val="none"/>
        <w:lvlText w:val=""/>
        <w:lvlJc w:val="left"/>
        <w:pPr>
          <w:ind w:left="3321" w:hanging="369"/>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D5E9D"/>
    <w:rsid w:val="0000369D"/>
    <w:rsid w:val="000040F1"/>
    <w:rsid w:val="00004AEE"/>
    <w:rsid w:val="00004FE2"/>
    <w:rsid w:val="00005CAA"/>
    <w:rsid w:val="00010210"/>
    <w:rsid w:val="000102EE"/>
    <w:rsid w:val="00013637"/>
    <w:rsid w:val="00015ADA"/>
    <w:rsid w:val="00015EAA"/>
    <w:rsid w:val="00020C99"/>
    <w:rsid w:val="0002707B"/>
    <w:rsid w:val="0003722D"/>
    <w:rsid w:val="0005148E"/>
    <w:rsid w:val="00063940"/>
    <w:rsid w:val="00066E96"/>
    <w:rsid w:val="000759E5"/>
    <w:rsid w:val="000760A5"/>
    <w:rsid w:val="000771A7"/>
    <w:rsid w:val="00081162"/>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3913"/>
    <w:rsid w:val="000D6D63"/>
    <w:rsid w:val="000E0081"/>
    <w:rsid w:val="000E07CF"/>
    <w:rsid w:val="000E4CBA"/>
    <w:rsid w:val="00105CBF"/>
    <w:rsid w:val="0011498E"/>
    <w:rsid w:val="0011585F"/>
    <w:rsid w:val="0011673E"/>
    <w:rsid w:val="00117A45"/>
    <w:rsid w:val="001224AE"/>
    <w:rsid w:val="001337D4"/>
    <w:rsid w:val="00136EEB"/>
    <w:rsid w:val="00147C12"/>
    <w:rsid w:val="001527A1"/>
    <w:rsid w:val="001530DC"/>
    <w:rsid w:val="00154989"/>
    <w:rsid w:val="00155A9F"/>
    <w:rsid w:val="00156843"/>
    <w:rsid w:val="00160262"/>
    <w:rsid w:val="0016780A"/>
    <w:rsid w:val="00173EBF"/>
    <w:rsid w:val="001842A2"/>
    <w:rsid w:val="00184F87"/>
    <w:rsid w:val="00187FA8"/>
    <w:rsid w:val="00190C67"/>
    <w:rsid w:val="00190ED0"/>
    <w:rsid w:val="00192F5E"/>
    <w:rsid w:val="001946D2"/>
    <w:rsid w:val="00197772"/>
    <w:rsid w:val="001A51C8"/>
    <w:rsid w:val="001B4CA8"/>
    <w:rsid w:val="001C02A0"/>
    <w:rsid w:val="001C20AC"/>
    <w:rsid w:val="001C4F3D"/>
    <w:rsid w:val="001C6870"/>
    <w:rsid w:val="001D0CDC"/>
    <w:rsid w:val="001D1D82"/>
    <w:rsid w:val="001D293D"/>
    <w:rsid w:val="001E1182"/>
    <w:rsid w:val="001F79A1"/>
    <w:rsid w:val="002002F5"/>
    <w:rsid w:val="00202C90"/>
    <w:rsid w:val="00206392"/>
    <w:rsid w:val="00213DE8"/>
    <w:rsid w:val="00216118"/>
    <w:rsid w:val="00216C17"/>
    <w:rsid w:val="002209AB"/>
    <w:rsid w:val="002251E3"/>
    <w:rsid w:val="00225FF5"/>
    <w:rsid w:val="00227A95"/>
    <w:rsid w:val="0023486E"/>
    <w:rsid w:val="00235E11"/>
    <w:rsid w:val="00236006"/>
    <w:rsid w:val="0023755F"/>
    <w:rsid w:val="00240F30"/>
    <w:rsid w:val="00243F80"/>
    <w:rsid w:val="00246A2B"/>
    <w:rsid w:val="002473FC"/>
    <w:rsid w:val="00252E3C"/>
    <w:rsid w:val="00256FA1"/>
    <w:rsid w:val="0028391F"/>
    <w:rsid w:val="002839BB"/>
    <w:rsid w:val="00292B81"/>
    <w:rsid w:val="002B1799"/>
    <w:rsid w:val="002B18AE"/>
    <w:rsid w:val="002B7CAC"/>
    <w:rsid w:val="002C1C93"/>
    <w:rsid w:val="002C2022"/>
    <w:rsid w:val="002C5066"/>
    <w:rsid w:val="002C7D54"/>
    <w:rsid w:val="002D2D64"/>
    <w:rsid w:val="002D4AAC"/>
    <w:rsid w:val="002E29D3"/>
    <w:rsid w:val="002F045A"/>
    <w:rsid w:val="0030039D"/>
    <w:rsid w:val="0030326F"/>
    <w:rsid w:val="00310701"/>
    <w:rsid w:val="003129F1"/>
    <w:rsid w:val="00315980"/>
    <w:rsid w:val="00316F7F"/>
    <w:rsid w:val="003218E8"/>
    <w:rsid w:val="00330DCE"/>
    <w:rsid w:val="00331D7A"/>
    <w:rsid w:val="00331E11"/>
    <w:rsid w:val="00334761"/>
    <w:rsid w:val="00341DCD"/>
    <w:rsid w:val="00344E02"/>
    <w:rsid w:val="0034563E"/>
    <w:rsid w:val="003465B8"/>
    <w:rsid w:val="00346C54"/>
    <w:rsid w:val="003518D6"/>
    <w:rsid w:val="0035460C"/>
    <w:rsid w:val="003556BD"/>
    <w:rsid w:val="00365147"/>
    <w:rsid w:val="0037016E"/>
    <w:rsid w:val="00372908"/>
    <w:rsid w:val="00376CED"/>
    <w:rsid w:val="00382F4B"/>
    <w:rsid w:val="00383020"/>
    <w:rsid w:val="003857F2"/>
    <w:rsid w:val="00397082"/>
    <w:rsid w:val="003975FD"/>
    <w:rsid w:val="003A3D33"/>
    <w:rsid w:val="003A4786"/>
    <w:rsid w:val="003B60CC"/>
    <w:rsid w:val="003C2443"/>
    <w:rsid w:val="003C5DA3"/>
    <w:rsid w:val="003D0C2F"/>
    <w:rsid w:val="003D13EE"/>
    <w:rsid w:val="003D4BCD"/>
    <w:rsid w:val="003E2100"/>
    <w:rsid w:val="003E2914"/>
    <w:rsid w:val="003E389B"/>
    <w:rsid w:val="003F09D4"/>
    <w:rsid w:val="0040342D"/>
    <w:rsid w:val="00413EE1"/>
    <w:rsid w:val="004201E4"/>
    <w:rsid w:val="0042128E"/>
    <w:rsid w:val="004314B8"/>
    <w:rsid w:val="00432B60"/>
    <w:rsid w:val="00434065"/>
    <w:rsid w:val="00435670"/>
    <w:rsid w:val="00440698"/>
    <w:rsid w:val="00442DC3"/>
    <w:rsid w:val="004540E2"/>
    <w:rsid w:val="00455D9D"/>
    <w:rsid w:val="004633F1"/>
    <w:rsid w:val="00466121"/>
    <w:rsid w:val="004712A5"/>
    <w:rsid w:val="0047266F"/>
    <w:rsid w:val="00476D6B"/>
    <w:rsid w:val="0048222A"/>
    <w:rsid w:val="00492C16"/>
    <w:rsid w:val="00493258"/>
    <w:rsid w:val="004937B9"/>
    <w:rsid w:val="004A0678"/>
    <w:rsid w:val="004A48A3"/>
    <w:rsid w:val="004A48A7"/>
    <w:rsid w:val="004A575C"/>
    <w:rsid w:val="004A6EE8"/>
    <w:rsid w:val="004B0D92"/>
    <w:rsid w:val="004B0EC0"/>
    <w:rsid w:val="004B3312"/>
    <w:rsid w:val="004B6690"/>
    <w:rsid w:val="004B66F1"/>
    <w:rsid w:val="004B79F9"/>
    <w:rsid w:val="004C3EA0"/>
    <w:rsid w:val="004C6BF6"/>
    <w:rsid w:val="004D1131"/>
    <w:rsid w:val="004D3559"/>
    <w:rsid w:val="004E069F"/>
    <w:rsid w:val="004F7F68"/>
    <w:rsid w:val="00500342"/>
    <w:rsid w:val="00500D66"/>
    <w:rsid w:val="005071A9"/>
    <w:rsid w:val="0051114F"/>
    <w:rsid w:val="0051136B"/>
    <w:rsid w:val="00515F51"/>
    <w:rsid w:val="00520D76"/>
    <w:rsid w:val="00527764"/>
    <w:rsid w:val="00531DBF"/>
    <w:rsid w:val="005355B2"/>
    <w:rsid w:val="00535D18"/>
    <w:rsid w:val="00536F34"/>
    <w:rsid w:val="00540CD4"/>
    <w:rsid w:val="00543D6A"/>
    <w:rsid w:val="00545BE0"/>
    <w:rsid w:val="00546620"/>
    <w:rsid w:val="00560790"/>
    <w:rsid w:val="00562E85"/>
    <w:rsid w:val="0056332F"/>
    <w:rsid w:val="00571C7A"/>
    <w:rsid w:val="00581C39"/>
    <w:rsid w:val="005903B6"/>
    <w:rsid w:val="00591A07"/>
    <w:rsid w:val="005960BE"/>
    <w:rsid w:val="005968C5"/>
    <w:rsid w:val="005A0971"/>
    <w:rsid w:val="005A7187"/>
    <w:rsid w:val="005B140D"/>
    <w:rsid w:val="005B7453"/>
    <w:rsid w:val="005B7488"/>
    <w:rsid w:val="005C1FEA"/>
    <w:rsid w:val="005C2133"/>
    <w:rsid w:val="005C3495"/>
    <w:rsid w:val="005C4D15"/>
    <w:rsid w:val="005D6424"/>
    <w:rsid w:val="005E0815"/>
    <w:rsid w:val="005E1283"/>
    <w:rsid w:val="005E3DFC"/>
    <w:rsid w:val="005E60AF"/>
    <w:rsid w:val="005F1DEA"/>
    <w:rsid w:val="005F3699"/>
    <w:rsid w:val="00607FC9"/>
    <w:rsid w:val="00622FE1"/>
    <w:rsid w:val="0062521C"/>
    <w:rsid w:val="00630A2B"/>
    <w:rsid w:val="00632DC7"/>
    <w:rsid w:val="006406FC"/>
    <w:rsid w:val="00643073"/>
    <w:rsid w:val="00643BDC"/>
    <w:rsid w:val="0065223A"/>
    <w:rsid w:val="00653E16"/>
    <w:rsid w:val="006602EE"/>
    <w:rsid w:val="0066104B"/>
    <w:rsid w:val="00661881"/>
    <w:rsid w:val="006655EE"/>
    <w:rsid w:val="00667C10"/>
    <w:rsid w:val="00667EF4"/>
    <w:rsid w:val="00674789"/>
    <w:rsid w:val="00676FCA"/>
    <w:rsid w:val="00677177"/>
    <w:rsid w:val="00682921"/>
    <w:rsid w:val="0068612E"/>
    <w:rsid w:val="0069534E"/>
    <w:rsid w:val="0069669C"/>
    <w:rsid w:val="006A1200"/>
    <w:rsid w:val="006A2A27"/>
    <w:rsid w:val="006A4F4E"/>
    <w:rsid w:val="006B14DB"/>
    <w:rsid w:val="006B21C4"/>
    <w:rsid w:val="006C4A1A"/>
    <w:rsid w:val="006C648F"/>
    <w:rsid w:val="006D0393"/>
    <w:rsid w:val="006D2A58"/>
    <w:rsid w:val="006D72D6"/>
    <w:rsid w:val="006D7AC2"/>
    <w:rsid w:val="006E1CFE"/>
    <w:rsid w:val="006E5B08"/>
    <w:rsid w:val="006F0113"/>
    <w:rsid w:val="006F10C4"/>
    <w:rsid w:val="006F5603"/>
    <w:rsid w:val="00701400"/>
    <w:rsid w:val="007037CF"/>
    <w:rsid w:val="00705E58"/>
    <w:rsid w:val="007167C0"/>
    <w:rsid w:val="00716D24"/>
    <w:rsid w:val="00720481"/>
    <w:rsid w:val="0072405A"/>
    <w:rsid w:val="00733193"/>
    <w:rsid w:val="007372DA"/>
    <w:rsid w:val="00753309"/>
    <w:rsid w:val="00755E23"/>
    <w:rsid w:val="00757219"/>
    <w:rsid w:val="0075732A"/>
    <w:rsid w:val="00760262"/>
    <w:rsid w:val="0076310C"/>
    <w:rsid w:val="00764820"/>
    <w:rsid w:val="0076744F"/>
    <w:rsid w:val="00767BCE"/>
    <w:rsid w:val="007707DE"/>
    <w:rsid w:val="00770B5D"/>
    <w:rsid w:val="007752F1"/>
    <w:rsid w:val="00776768"/>
    <w:rsid w:val="00785C05"/>
    <w:rsid w:val="007879B6"/>
    <w:rsid w:val="00792BFD"/>
    <w:rsid w:val="007A019E"/>
    <w:rsid w:val="007A2573"/>
    <w:rsid w:val="007B05D8"/>
    <w:rsid w:val="007B1A4E"/>
    <w:rsid w:val="007B3D05"/>
    <w:rsid w:val="007B77AB"/>
    <w:rsid w:val="007D2682"/>
    <w:rsid w:val="007D5E9D"/>
    <w:rsid w:val="007E24F6"/>
    <w:rsid w:val="007E269A"/>
    <w:rsid w:val="00800F64"/>
    <w:rsid w:val="00802F0B"/>
    <w:rsid w:val="00810A67"/>
    <w:rsid w:val="00813A0F"/>
    <w:rsid w:val="00813DC7"/>
    <w:rsid w:val="00816728"/>
    <w:rsid w:val="0082401D"/>
    <w:rsid w:val="008253B0"/>
    <w:rsid w:val="00826302"/>
    <w:rsid w:val="00826410"/>
    <w:rsid w:val="00833CF7"/>
    <w:rsid w:val="00836C0F"/>
    <w:rsid w:val="00845601"/>
    <w:rsid w:val="008513EC"/>
    <w:rsid w:val="00853A91"/>
    <w:rsid w:val="00871569"/>
    <w:rsid w:val="008760A9"/>
    <w:rsid w:val="008A3C96"/>
    <w:rsid w:val="008A4AB6"/>
    <w:rsid w:val="008B4019"/>
    <w:rsid w:val="008B5A06"/>
    <w:rsid w:val="008B61E4"/>
    <w:rsid w:val="008B65C9"/>
    <w:rsid w:val="008C2D4A"/>
    <w:rsid w:val="008D0225"/>
    <w:rsid w:val="008D3900"/>
    <w:rsid w:val="008D6E1D"/>
    <w:rsid w:val="008E0CBE"/>
    <w:rsid w:val="008E389E"/>
    <w:rsid w:val="008F0D15"/>
    <w:rsid w:val="008F39B4"/>
    <w:rsid w:val="008F3B60"/>
    <w:rsid w:val="008F4162"/>
    <w:rsid w:val="008F4213"/>
    <w:rsid w:val="008F64D3"/>
    <w:rsid w:val="009018BA"/>
    <w:rsid w:val="00903E02"/>
    <w:rsid w:val="0090633F"/>
    <w:rsid w:val="00906CBB"/>
    <w:rsid w:val="009130D3"/>
    <w:rsid w:val="00913175"/>
    <w:rsid w:val="00916EDB"/>
    <w:rsid w:val="009242EF"/>
    <w:rsid w:val="00931DFF"/>
    <w:rsid w:val="00932291"/>
    <w:rsid w:val="0093408E"/>
    <w:rsid w:val="00947A1B"/>
    <w:rsid w:val="00951A3B"/>
    <w:rsid w:val="00952DDF"/>
    <w:rsid w:val="00955434"/>
    <w:rsid w:val="00985DA8"/>
    <w:rsid w:val="009A50A2"/>
    <w:rsid w:val="009A6A5B"/>
    <w:rsid w:val="009B38BE"/>
    <w:rsid w:val="009C29E8"/>
    <w:rsid w:val="009C3D0F"/>
    <w:rsid w:val="009C76A8"/>
    <w:rsid w:val="009E0BCE"/>
    <w:rsid w:val="009E4E4A"/>
    <w:rsid w:val="009F35E2"/>
    <w:rsid w:val="009F45E4"/>
    <w:rsid w:val="009F65F9"/>
    <w:rsid w:val="009F68BA"/>
    <w:rsid w:val="009F6A76"/>
    <w:rsid w:val="00A057B9"/>
    <w:rsid w:val="00A06277"/>
    <w:rsid w:val="00A079DC"/>
    <w:rsid w:val="00A111C2"/>
    <w:rsid w:val="00A134DC"/>
    <w:rsid w:val="00A2616B"/>
    <w:rsid w:val="00A2643B"/>
    <w:rsid w:val="00A30D75"/>
    <w:rsid w:val="00A35CAA"/>
    <w:rsid w:val="00A36E7F"/>
    <w:rsid w:val="00A37618"/>
    <w:rsid w:val="00A41E65"/>
    <w:rsid w:val="00A43691"/>
    <w:rsid w:val="00A43E0A"/>
    <w:rsid w:val="00A52C4D"/>
    <w:rsid w:val="00A55F5B"/>
    <w:rsid w:val="00A60185"/>
    <w:rsid w:val="00A63B48"/>
    <w:rsid w:val="00A63DB2"/>
    <w:rsid w:val="00A661EA"/>
    <w:rsid w:val="00A75315"/>
    <w:rsid w:val="00A76CAE"/>
    <w:rsid w:val="00A809FC"/>
    <w:rsid w:val="00A814F7"/>
    <w:rsid w:val="00A830E5"/>
    <w:rsid w:val="00A87135"/>
    <w:rsid w:val="00A93280"/>
    <w:rsid w:val="00AA2548"/>
    <w:rsid w:val="00AA4582"/>
    <w:rsid w:val="00AA58C4"/>
    <w:rsid w:val="00AB0688"/>
    <w:rsid w:val="00AB11C8"/>
    <w:rsid w:val="00AB539C"/>
    <w:rsid w:val="00AB56F3"/>
    <w:rsid w:val="00AC08A8"/>
    <w:rsid w:val="00AC6C69"/>
    <w:rsid w:val="00AD3115"/>
    <w:rsid w:val="00AD56C8"/>
    <w:rsid w:val="00AD58F2"/>
    <w:rsid w:val="00B034D2"/>
    <w:rsid w:val="00B0529F"/>
    <w:rsid w:val="00B21195"/>
    <w:rsid w:val="00B227BE"/>
    <w:rsid w:val="00B24B22"/>
    <w:rsid w:val="00B24D85"/>
    <w:rsid w:val="00B25310"/>
    <w:rsid w:val="00B27FA7"/>
    <w:rsid w:val="00B32F8F"/>
    <w:rsid w:val="00B43197"/>
    <w:rsid w:val="00B46960"/>
    <w:rsid w:val="00B53B1B"/>
    <w:rsid w:val="00B54DE9"/>
    <w:rsid w:val="00B553EC"/>
    <w:rsid w:val="00B63C44"/>
    <w:rsid w:val="00B7589E"/>
    <w:rsid w:val="00B7685A"/>
    <w:rsid w:val="00B84782"/>
    <w:rsid w:val="00B93DD0"/>
    <w:rsid w:val="00B97732"/>
    <w:rsid w:val="00BA65A8"/>
    <w:rsid w:val="00BA6D19"/>
    <w:rsid w:val="00BA7461"/>
    <w:rsid w:val="00BA7DA9"/>
    <w:rsid w:val="00BB1C73"/>
    <w:rsid w:val="00BC085D"/>
    <w:rsid w:val="00BC4163"/>
    <w:rsid w:val="00BC4215"/>
    <w:rsid w:val="00BC4643"/>
    <w:rsid w:val="00BC51BE"/>
    <w:rsid w:val="00BD1A6F"/>
    <w:rsid w:val="00BD4B64"/>
    <w:rsid w:val="00BD68D2"/>
    <w:rsid w:val="00BE371D"/>
    <w:rsid w:val="00BE6D3C"/>
    <w:rsid w:val="00BE7852"/>
    <w:rsid w:val="00BF6741"/>
    <w:rsid w:val="00BF6A55"/>
    <w:rsid w:val="00BF7CEE"/>
    <w:rsid w:val="00C00A79"/>
    <w:rsid w:val="00C01295"/>
    <w:rsid w:val="00C03880"/>
    <w:rsid w:val="00C135CF"/>
    <w:rsid w:val="00C2683F"/>
    <w:rsid w:val="00C302F1"/>
    <w:rsid w:val="00C3184D"/>
    <w:rsid w:val="00C35299"/>
    <w:rsid w:val="00C40A6D"/>
    <w:rsid w:val="00C4714E"/>
    <w:rsid w:val="00C5504F"/>
    <w:rsid w:val="00C63376"/>
    <w:rsid w:val="00C71217"/>
    <w:rsid w:val="00C73BB3"/>
    <w:rsid w:val="00C74F97"/>
    <w:rsid w:val="00C80888"/>
    <w:rsid w:val="00C8276E"/>
    <w:rsid w:val="00C842AC"/>
    <w:rsid w:val="00C94886"/>
    <w:rsid w:val="00CA0723"/>
    <w:rsid w:val="00CA6953"/>
    <w:rsid w:val="00CB0C59"/>
    <w:rsid w:val="00CB1690"/>
    <w:rsid w:val="00CC4365"/>
    <w:rsid w:val="00CD11B0"/>
    <w:rsid w:val="00CE2912"/>
    <w:rsid w:val="00CE71C2"/>
    <w:rsid w:val="00CF42D5"/>
    <w:rsid w:val="00CF4EDA"/>
    <w:rsid w:val="00D10314"/>
    <w:rsid w:val="00D10F1A"/>
    <w:rsid w:val="00D116F8"/>
    <w:rsid w:val="00D17596"/>
    <w:rsid w:val="00D42414"/>
    <w:rsid w:val="00D45EE3"/>
    <w:rsid w:val="00D50618"/>
    <w:rsid w:val="00D509E9"/>
    <w:rsid w:val="00D51C52"/>
    <w:rsid w:val="00D53A45"/>
    <w:rsid w:val="00D53B1C"/>
    <w:rsid w:val="00D64292"/>
    <w:rsid w:val="00D82C19"/>
    <w:rsid w:val="00D95EEB"/>
    <w:rsid w:val="00D97E4C"/>
    <w:rsid w:val="00DA1B12"/>
    <w:rsid w:val="00DA54C9"/>
    <w:rsid w:val="00DA6739"/>
    <w:rsid w:val="00DA6CAE"/>
    <w:rsid w:val="00DB1A9E"/>
    <w:rsid w:val="00DB2F8C"/>
    <w:rsid w:val="00DB31D6"/>
    <w:rsid w:val="00DB4005"/>
    <w:rsid w:val="00DC34EB"/>
    <w:rsid w:val="00DD0138"/>
    <w:rsid w:val="00DE2174"/>
    <w:rsid w:val="00DF050E"/>
    <w:rsid w:val="00DF1E5B"/>
    <w:rsid w:val="00DF2275"/>
    <w:rsid w:val="00DF33FF"/>
    <w:rsid w:val="00DF3F5E"/>
    <w:rsid w:val="00E0596E"/>
    <w:rsid w:val="00E24EFB"/>
    <w:rsid w:val="00E356E5"/>
    <w:rsid w:val="00E36F81"/>
    <w:rsid w:val="00E44704"/>
    <w:rsid w:val="00E45765"/>
    <w:rsid w:val="00E5098C"/>
    <w:rsid w:val="00E60213"/>
    <w:rsid w:val="00E66C9C"/>
    <w:rsid w:val="00E73532"/>
    <w:rsid w:val="00E73F87"/>
    <w:rsid w:val="00E748D3"/>
    <w:rsid w:val="00E74D29"/>
    <w:rsid w:val="00E77C08"/>
    <w:rsid w:val="00E82221"/>
    <w:rsid w:val="00E83C74"/>
    <w:rsid w:val="00E83CEE"/>
    <w:rsid w:val="00E9226D"/>
    <w:rsid w:val="00E96E13"/>
    <w:rsid w:val="00EA4363"/>
    <w:rsid w:val="00EB3757"/>
    <w:rsid w:val="00EB60CE"/>
    <w:rsid w:val="00EB7D53"/>
    <w:rsid w:val="00EE04E7"/>
    <w:rsid w:val="00EE3146"/>
    <w:rsid w:val="00EF0EAC"/>
    <w:rsid w:val="00EF50BB"/>
    <w:rsid w:val="00EF79CB"/>
    <w:rsid w:val="00F00192"/>
    <w:rsid w:val="00F01DF6"/>
    <w:rsid w:val="00F02F3B"/>
    <w:rsid w:val="00F0340D"/>
    <w:rsid w:val="00F1544D"/>
    <w:rsid w:val="00F2523A"/>
    <w:rsid w:val="00F25FFA"/>
    <w:rsid w:val="00F310D2"/>
    <w:rsid w:val="00F32C44"/>
    <w:rsid w:val="00F36F3D"/>
    <w:rsid w:val="00F41BE3"/>
    <w:rsid w:val="00F477BD"/>
    <w:rsid w:val="00F50FB6"/>
    <w:rsid w:val="00F53491"/>
    <w:rsid w:val="00F54DBA"/>
    <w:rsid w:val="00F65A1C"/>
    <w:rsid w:val="00F66F50"/>
    <w:rsid w:val="00F75753"/>
    <w:rsid w:val="00F77DE7"/>
    <w:rsid w:val="00F82FF8"/>
    <w:rsid w:val="00F8330D"/>
    <w:rsid w:val="00F84305"/>
    <w:rsid w:val="00F8485C"/>
    <w:rsid w:val="00F865D7"/>
    <w:rsid w:val="00F87149"/>
    <w:rsid w:val="00F87FFE"/>
    <w:rsid w:val="00F954C9"/>
    <w:rsid w:val="00FA262E"/>
    <w:rsid w:val="00FA61AA"/>
    <w:rsid w:val="00FA69A4"/>
    <w:rsid w:val="00FB1279"/>
    <w:rsid w:val="00FB1495"/>
    <w:rsid w:val="00FB1A13"/>
    <w:rsid w:val="00FC6CD7"/>
    <w:rsid w:val="00FD1694"/>
    <w:rsid w:val="00FD7636"/>
    <w:rsid w:val="00FE07EB"/>
    <w:rsid w:val="00FE3229"/>
    <w:rsid w:val="00FE74C3"/>
    <w:rsid w:val="00FF161F"/>
    <w:rsid w:val="00FF215C"/>
    <w:rsid w:val="00FF22DD"/>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2C3C3FF"/>
  <w15:docId w15:val="{49605427-965C-4961-81D5-71F321DF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BA"/>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005CAA"/>
    <w:pPr>
      <w:tabs>
        <w:tab w:val="center" w:pos="4536"/>
        <w:tab w:val="center" w:pos="4819"/>
        <w:tab w:val="right" w:pos="9356"/>
      </w:tabs>
      <w:spacing w:after="120"/>
      <w:jc w:val="center"/>
    </w:pPr>
    <w:rPr>
      <w:rFonts w:eastAsia="Times New Roman" w:cs="Arial"/>
      <w:caps/>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character" w:styleId="Hyperlink">
    <w:name w:val="Hyperlink"/>
    <w:basedOn w:val="DefaultParagraphFont"/>
    <w:uiPriority w:val="99"/>
    <w:unhideWhenUsed/>
    <w:rsid w:val="00BC4643"/>
    <w:rPr>
      <w:color w:val="0000FF" w:themeColor="hyperlink"/>
      <w:u w:val="single"/>
    </w:rPr>
  </w:style>
  <w:style w:type="paragraph" w:styleId="FootnoteText">
    <w:name w:val="footnote text"/>
    <w:basedOn w:val="Normal"/>
    <w:link w:val="FootnoteTextChar"/>
    <w:semiHidden/>
    <w:rsid w:val="008F64D3"/>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semiHidden/>
    <w:rsid w:val="008F64D3"/>
    <w:rPr>
      <w:rFonts w:eastAsia="Times New Roman"/>
    </w:rPr>
  </w:style>
  <w:style w:type="character" w:styleId="FootnoteReference">
    <w:name w:val="footnote reference"/>
    <w:basedOn w:val="DefaultParagraphFont"/>
    <w:semiHidden/>
    <w:rsid w:val="008F64D3"/>
    <w:rPr>
      <w:vertAlign w:val="superscript"/>
    </w:rPr>
  </w:style>
  <w:style w:type="table" w:styleId="TableGrid">
    <w:name w:val="Table Grid"/>
    <w:basedOn w:val="TableNormal"/>
    <w:uiPriority w:val="59"/>
    <w:rsid w:val="0095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217"/>
    <w:rPr>
      <w:sz w:val="16"/>
      <w:szCs w:val="16"/>
    </w:rPr>
  </w:style>
  <w:style w:type="paragraph" w:styleId="CommentText">
    <w:name w:val="annotation text"/>
    <w:basedOn w:val="Normal"/>
    <w:link w:val="CommentTextChar"/>
    <w:uiPriority w:val="99"/>
    <w:semiHidden/>
    <w:unhideWhenUsed/>
    <w:rsid w:val="00C71217"/>
    <w:pPr>
      <w:spacing w:line="240" w:lineRule="auto"/>
    </w:pPr>
    <w:rPr>
      <w:sz w:val="20"/>
      <w:szCs w:val="20"/>
    </w:rPr>
  </w:style>
  <w:style w:type="character" w:customStyle="1" w:styleId="CommentTextChar">
    <w:name w:val="Comment Text Char"/>
    <w:basedOn w:val="DefaultParagraphFont"/>
    <w:link w:val="CommentText"/>
    <w:uiPriority w:val="99"/>
    <w:semiHidden/>
    <w:rsid w:val="00C71217"/>
    <w:rPr>
      <w:lang w:eastAsia="en-US"/>
    </w:rPr>
  </w:style>
  <w:style w:type="paragraph" w:styleId="CommentSubject">
    <w:name w:val="annotation subject"/>
    <w:basedOn w:val="CommentText"/>
    <w:next w:val="CommentText"/>
    <w:link w:val="CommentSubjectChar"/>
    <w:uiPriority w:val="99"/>
    <w:semiHidden/>
    <w:unhideWhenUsed/>
    <w:rsid w:val="00C71217"/>
    <w:rPr>
      <w:b/>
      <w:bCs/>
    </w:rPr>
  </w:style>
  <w:style w:type="character" w:customStyle="1" w:styleId="CommentSubjectChar">
    <w:name w:val="Comment Subject Char"/>
    <w:basedOn w:val="CommentTextChar"/>
    <w:link w:val="CommentSubject"/>
    <w:uiPriority w:val="99"/>
    <w:semiHidden/>
    <w:rsid w:val="00C71217"/>
    <w:rPr>
      <w:b/>
      <w:bCs/>
      <w:lang w:eastAsia="en-US"/>
    </w:rPr>
  </w:style>
  <w:style w:type="character" w:styleId="IntenseReference">
    <w:name w:val="Intense Reference"/>
    <w:basedOn w:val="DefaultParagraphFont"/>
    <w:uiPriority w:val="32"/>
    <w:qFormat/>
    <w:rsid w:val="0087156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7470">
      <w:bodyDiv w:val="1"/>
      <w:marLeft w:val="0"/>
      <w:marRight w:val="0"/>
      <w:marTop w:val="0"/>
      <w:marBottom w:val="0"/>
      <w:divBdr>
        <w:top w:val="none" w:sz="0" w:space="0" w:color="auto"/>
        <w:left w:val="none" w:sz="0" w:space="0" w:color="auto"/>
        <w:bottom w:val="none" w:sz="0" w:space="0" w:color="auto"/>
        <w:right w:val="none" w:sz="0" w:space="0" w:color="auto"/>
      </w:divBdr>
    </w:div>
    <w:div w:id="337775536">
      <w:bodyDiv w:val="1"/>
      <w:marLeft w:val="0"/>
      <w:marRight w:val="0"/>
      <w:marTop w:val="0"/>
      <w:marBottom w:val="0"/>
      <w:divBdr>
        <w:top w:val="none" w:sz="0" w:space="0" w:color="auto"/>
        <w:left w:val="none" w:sz="0" w:space="0" w:color="auto"/>
        <w:bottom w:val="none" w:sz="0" w:space="0" w:color="auto"/>
        <w:right w:val="none" w:sz="0" w:space="0" w:color="auto"/>
      </w:divBdr>
    </w:div>
    <w:div w:id="609049012">
      <w:bodyDiv w:val="1"/>
      <w:marLeft w:val="0"/>
      <w:marRight w:val="0"/>
      <w:marTop w:val="0"/>
      <w:marBottom w:val="0"/>
      <w:divBdr>
        <w:top w:val="none" w:sz="0" w:space="0" w:color="auto"/>
        <w:left w:val="none" w:sz="0" w:space="0" w:color="auto"/>
        <w:bottom w:val="none" w:sz="0" w:space="0" w:color="auto"/>
        <w:right w:val="none" w:sz="0" w:space="0" w:color="auto"/>
      </w:divBdr>
    </w:div>
    <w:div w:id="1250966722">
      <w:bodyDiv w:val="1"/>
      <w:marLeft w:val="0"/>
      <w:marRight w:val="0"/>
      <w:marTop w:val="0"/>
      <w:marBottom w:val="0"/>
      <w:divBdr>
        <w:top w:val="none" w:sz="0" w:space="0" w:color="auto"/>
        <w:left w:val="none" w:sz="0" w:space="0" w:color="auto"/>
        <w:bottom w:val="none" w:sz="0" w:space="0" w:color="auto"/>
        <w:right w:val="none" w:sz="0" w:space="0" w:color="auto"/>
      </w:divBdr>
    </w:div>
    <w:div w:id="18185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pvtranfile01\energy_group$\Energy%20Efficiency\Appliances\AEEB\GEMS\E3%20Service%20Delivery\32%20Stakeholder%20relations\Stakeholder%20Survey%202018\May%2018%20-%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pvtranfile01\energy_group$\Energy%20Efficiency\Appliances\AEEB\GEMS\E3%20Service%20Delivery\32%20Stakeholder%20relations\Stakeholder%20Survey%202018\May%2018%20-%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pvtranfile01\energy_group$\Energy%20Efficiency\Appliances\AEEB\GEMS\E3%20Service%20Delivery\32%20Stakeholder%20relations\Stakeholder%20Survey%202018\May%2018%20-%20tabl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Registration and enquiries 2016-17 and 2017-18 results compared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8433194777691424"/>
          <c:y val="0.10485220926331577"/>
          <c:w val="0.51506696856026046"/>
          <c:h val="0.85579319584145364"/>
        </c:manualLayout>
      </c:layout>
      <c:barChart>
        <c:barDir val="bar"/>
        <c:grouping val="stacked"/>
        <c:varyColors val="0"/>
        <c:ser>
          <c:idx val="0"/>
          <c:order val="0"/>
          <c:tx>
            <c:strRef>
              <c:f>Graphs!$B$30</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Graphs!$B$31:$B$62</c:f>
            </c:numRef>
          </c:val>
        </c:ser>
        <c:ser>
          <c:idx val="1"/>
          <c:order val="1"/>
          <c:tx>
            <c:strRef>
              <c:f>Graphs!$C$30</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Graphs!$C$31:$C$62</c:f>
            </c:numRef>
          </c:val>
        </c:ser>
        <c:ser>
          <c:idx val="2"/>
          <c:order val="2"/>
          <c:tx>
            <c:strRef>
              <c:f>Graphs!$D$30</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Graphs!$D$31:$D$62</c:f>
            </c:numRef>
          </c:val>
        </c:ser>
        <c:ser>
          <c:idx val="3"/>
          <c:order val="3"/>
          <c:tx>
            <c:strRef>
              <c:f>Graphs!$E$30</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Graphs!$E$31:$E$62</c:f>
            </c:numRef>
          </c:val>
        </c:ser>
        <c:ser>
          <c:idx val="4"/>
          <c:order val="4"/>
          <c:tx>
            <c:strRef>
              <c:f>Graphs!$F$30</c:f>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Graphs!$F$31:$F$62</c:f>
            </c:numRef>
          </c:val>
        </c:ser>
        <c:ser>
          <c:idx val="5"/>
          <c:order val="5"/>
          <c:tx>
            <c:strRef>
              <c:f>Graphs!$G$30</c:f>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Graphs!$G$31:$G$62</c:f>
            </c:numRef>
          </c:val>
        </c:ser>
        <c:ser>
          <c:idx val="6"/>
          <c:order val="6"/>
          <c:tx>
            <c:strRef>
              <c:f>Graphs!$H$30</c:f>
              <c:strCache>
                <c:ptCount val="1"/>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Graphs!$H$31:$H$62</c:f>
            </c:numRef>
          </c:val>
        </c:ser>
        <c:ser>
          <c:idx val="7"/>
          <c:order val="7"/>
          <c:tx>
            <c:strRef>
              <c:f>Graphs!$I$30</c:f>
              <c:strCache>
                <c:ptCount val="1"/>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Graphs!$I$31:$I$62</c:f>
            </c:numRef>
          </c:val>
        </c:ser>
        <c:ser>
          <c:idx val="8"/>
          <c:order val="8"/>
          <c:tx>
            <c:strRef>
              <c:f>Graphs!$J$30</c:f>
              <c:strCache>
                <c:ptCount val="1"/>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Graphs!$J$31:$J$62</c:f>
            </c:numRef>
          </c:val>
        </c:ser>
        <c:ser>
          <c:idx val="9"/>
          <c:order val="9"/>
          <c:tx>
            <c:strRef>
              <c:f>Graphs!$K$30</c:f>
              <c:strCache>
                <c:ptCount val="1"/>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Graphs!$K$31:$K$62</c:f>
            </c:numRef>
          </c:val>
        </c:ser>
        <c:ser>
          <c:idx val="10"/>
          <c:order val="10"/>
          <c:tx>
            <c:strRef>
              <c:f>Graphs!$L$30</c:f>
              <c:strCache>
                <c:ptCount val="1"/>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Graphs!$L$31:$L$62</c:f>
            </c:numRef>
          </c:val>
        </c:ser>
        <c:ser>
          <c:idx val="12"/>
          <c:order val="12"/>
          <c:tx>
            <c:strRef>
              <c:f>Graphs!$N$30</c:f>
              <c:strCache>
                <c:ptCount val="1"/>
                <c:pt idx="0">
                  <c:v>Satisfied total</c:v>
                </c:pt>
              </c:strCache>
            </c:strRef>
          </c:tx>
          <c:spPr>
            <a:solidFill>
              <a:schemeClr val="accent1">
                <a:lumMod val="80000"/>
                <a:lumOff val="20000"/>
              </a:schemeClr>
            </a:solidFill>
            <a:ln w="12700" cmpd="sng">
              <a:solidFill>
                <a:schemeClr val="tx2">
                  <a:lumMod val="60000"/>
                  <a:lumOff val="40000"/>
                </a:schemeClr>
              </a:solidFill>
            </a:ln>
            <a:effectLst/>
          </c:spPr>
          <c:invertIfNegative val="0"/>
          <c:dPt>
            <c:idx val="0"/>
            <c:invertIfNegative val="0"/>
            <c:bubble3D val="0"/>
            <c:spPr>
              <a:solidFill>
                <a:schemeClr val="tx2">
                  <a:lumMod val="20000"/>
                  <a:lumOff val="80000"/>
                </a:schemeClr>
              </a:solidFill>
              <a:ln w="12700" cmpd="sng">
                <a:solidFill>
                  <a:schemeClr val="tx2">
                    <a:lumMod val="20000"/>
                    <a:lumOff val="80000"/>
                  </a:schemeClr>
                </a:solidFill>
              </a:ln>
              <a:effectLst/>
            </c:spPr>
          </c:dPt>
          <c:dPt>
            <c:idx val="1"/>
            <c:invertIfNegative val="0"/>
            <c:bubble3D val="0"/>
            <c:spPr>
              <a:solidFill>
                <a:schemeClr val="accent1">
                  <a:lumMod val="80000"/>
                  <a:lumOff val="20000"/>
                </a:schemeClr>
              </a:solidFill>
              <a:ln w="12700" cmpd="sng">
                <a:solidFill>
                  <a:schemeClr val="tx2">
                    <a:lumMod val="60000"/>
                    <a:lumOff val="40000"/>
                  </a:schemeClr>
                </a:solidFill>
              </a:ln>
              <a:effectLst/>
            </c:spPr>
          </c:dPt>
          <c:dPt>
            <c:idx val="3"/>
            <c:invertIfNegative val="0"/>
            <c:bubble3D val="0"/>
            <c:spPr>
              <a:solidFill>
                <a:schemeClr val="tx2">
                  <a:lumMod val="20000"/>
                  <a:lumOff val="80000"/>
                </a:schemeClr>
              </a:solidFill>
              <a:ln w="12700" cmpd="sng">
                <a:solidFill>
                  <a:schemeClr val="tx2">
                    <a:lumMod val="20000"/>
                    <a:lumOff val="80000"/>
                  </a:schemeClr>
                </a:solidFill>
              </a:ln>
              <a:effectLst/>
            </c:spPr>
          </c:dPt>
          <c:dPt>
            <c:idx val="4"/>
            <c:invertIfNegative val="0"/>
            <c:bubble3D val="0"/>
            <c:spPr>
              <a:solidFill>
                <a:schemeClr val="accent1">
                  <a:lumMod val="80000"/>
                  <a:lumOff val="20000"/>
                </a:schemeClr>
              </a:solidFill>
              <a:ln w="12700" cmpd="sng">
                <a:solidFill>
                  <a:schemeClr val="tx2">
                    <a:lumMod val="60000"/>
                    <a:lumOff val="40000"/>
                  </a:schemeClr>
                </a:solidFill>
              </a:ln>
              <a:effectLst/>
            </c:spPr>
          </c:dPt>
          <c:dPt>
            <c:idx val="6"/>
            <c:invertIfNegative val="0"/>
            <c:bubble3D val="0"/>
            <c:spPr>
              <a:solidFill>
                <a:schemeClr val="tx2">
                  <a:lumMod val="20000"/>
                  <a:lumOff val="80000"/>
                </a:schemeClr>
              </a:solidFill>
              <a:ln w="12700" cmpd="sng">
                <a:solidFill>
                  <a:schemeClr val="tx2">
                    <a:lumMod val="20000"/>
                    <a:lumOff val="80000"/>
                  </a:schemeClr>
                </a:solidFill>
              </a:ln>
              <a:effectLst/>
            </c:spPr>
          </c:dPt>
          <c:dPt>
            <c:idx val="7"/>
            <c:invertIfNegative val="0"/>
            <c:bubble3D val="0"/>
            <c:spPr>
              <a:solidFill>
                <a:schemeClr val="accent1">
                  <a:lumMod val="80000"/>
                  <a:lumOff val="20000"/>
                </a:schemeClr>
              </a:solidFill>
              <a:ln w="12700" cmpd="sng">
                <a:solidFill>
                  <a:schemeClr val="tx2">
                    <a:lumMod val="60000"/>
                    <a:lumOff val="40000"/>
                  </a:schemeClr>
                </a:solidFill>
              </a:ln>
              <a:effectLst/>
            </c:spPr>
          </c:dPt>
          <c:dPt>
            <c:idx val="9"/>
            <c:invertIfNegative val="0"/>
            <c:bubble3D val="0"/>
            <c:spPr>
              <a:solidFill>
                <a:schemeClr val="tx2">
                  <a:lumMod val="20000"/>
                  <a:lumOff val="80000"/>
                </a:schemeClr>
              </a:solidFill>
              <a:ln w="12700" cmpd="sng">
                <a:solidFill>
                  <a:schemeClr val="tx2">
                    <a:lumMod val="20000"/>
                    <a:lumOff val="80000"/>
                  </a:schemeClr>
                </a:solidFill>
              </a:ln>
              <a:effectLst/>
            </c:spPr>
          </c:dPt>
          <c:dPt>
            <c:idx val="10"/>
            <c:invertIfNegative val="0"/>
            <c:bubble3D val="0"/>
            <c:spPr>
              <a:solidFill>
                <a:schemeClr val="accent1">
                  <a:lumMod val="80000"/>
                  <a:lumOff val="20000"/>
                </a:schemeClr>
              </a:solidFill>
              <a:ln w="12700" cmpd="sng">
                <a:solidFill>
                  <a:schemeClr val="tx2">
                    <a:lumMod val="60000"/>
                    <a:lumOff val="40000"/>
                  </a:schemeClr>
                </a:solidFill>
              </a:ln>
              <a:effectLst/>
            </c:spPr>
          </c:dPt>
          <c:dPt>
            <c:idx val="12"/>
            <c:invertIfNegative val="0"/>
            <c:bubble3D val="0"/>
            <c:spPr>
              <a:solidFill>
                <a:schemeClr val="tx2">
                  <a:lumMod val="20000"/>
                  <a:lumOff val="80000"/>
                </a:schemeClr>
              </a:solidFill>
              <a:ln w="12700" cmpd="sng">
                <a:solidFill>
                  <a:schemeClr val="tx2">
                    <a:lumMod val="20000"/>
                    <a:lumOff val="80000"/>
                  </a:schemeClr>
                </a:solidFill>
              </a:ln>
              <a:effectLst/>
            </c:spPr>
          </c:dPt>
          <c:dPt>
            <c:idx val="13"/>
            <c:invertIfNegative val="0"/>
            <c:bubble3D val="0"/>
            <c:spPr>
              <a:solidFill>
                <a:schemeClr val="accent1">
                  <a:lumMod val="80000"/>
                  <a:lumOff val="20000"/>
                </a:schemeClr>
              </a:solidFill>
              <a:ln w="12700" cmpd="sng">
                <a:solidFill>
                  <a:schemeClr val="tx2">
                    <a:lumMod val="60000"/>
                    <a:lumOff val="40000"/>
                  </a:schemeClr>
                </a:solidFill>
              </a:ln>
              <a:effectLst/>
            </c:spPr>
          </c:dPt>
          <c:dPt>
            <c:idx val="15"/>
            <c:invertIfNegative val="0"/>
            <c:bubble3D val="0"/>
            <c:spPr>
              <a:solidFill>
                <a:schemeClr val="tx2">
                  <a:lumMod val="20000"/>
                  <a:lumOff val="80000"/>
                </a:schemeClr>
              </a:solidFill>
              <a:ln w="12700" cmpd="sng">
                <a:solidFill>
                  <a:schemeClr val="tx2">
                    <a:lumMod val="20000"/>
                    <a:lumOff val="80000"/>
                  </a:schemeClr>
                </a:solidFill>
              </a:ln>
              <a:effectLst/>
            </c:spPr>
          </c:dPt>
          <c:dPt>
            <c:idx val="16"/>
            <c:invertIfNegative val="0"/>
            <c:bubble3D val="0"/>
            <c:spPr>
              <a:solidFill>
                <a:schemeClr val="accent1">
                  <a:lumMod val="80000"/>
                  <a:lumOff val="20000"/>
                </a:schemeClr>
              </a:solidFill>
              <a:ln w="12700" cmpd="sng">
                <a:solidFill>
                  <a:schemeClr val="tx2">
                    <a:lumMod val="60000"/>
                    <a:lumOff val="40000"/>
                  </a:schemeClr>
                </a:solidFill>
              </a:ln>
              <a:effectLst/>
            </c:spPr>
          </c:dPt>
          <c:dPt>
            <c:idx val="19"/>
            <c:invertIfNegative val="0"/>
            <c:bubble3D val="0"/>
            <c:spPr>
              <a:solidFill>
                <a:schemeClr val="accent1">
                  <a:lumMod val="80000"/>
                  <a:lumOff val="20000"/>
                </a:schemeClr>
              </a:solidFill>
              <a:ln w="12700" cmpd="sng">
                <a:solidFill>
                  <a:schemeClr val="tx2">
                    <a:lumMod val="60000"/>
                    <a:lumOff val="40000"/>
                  </a:schemeClr>
                </a:solidFill>
              </a:ln>
              <a:effectLst/>
            </c:spPr>
          </c:dPt>
          <c:dPt>
            <c:idx val="21"/>
            <c:invertIfNegative val="0"/>
            <c:bubble3D val="0"/>
            <c:spPr>
              <a:solidFill>
                <a:schemeClr val="tx2">
                  <a:lumMod val="20000"/>
                  <a:lumOff val="80000"/>
                </a:schemeClr>
              </a:solidFill>
              <a:ln w="12700" cmpd="sng">
                <a:solidFill>
                  <a:schemeClr val="tx2">
                    <a:lumMod val="20000"/>
                    <a:lumOff val="80000"/>
                  </a:schemeClr>
                </a:solidFill>
              </a:ln>
              <a:effectLst/>
            </c:spPr>
          </c:dPt>
          <c:dPt>
            <c:idx val="22"/>
            <c:invertIfNegative val="0"/>
            <c:bubble3D val="0"/>
            <c:spPr>
              <a:solidFill>
                <a:schemeClr val="accent1">
                  <a:lumMod val="80000"/>
                  <a:lumOff val="20000"/>
                </a:schemeClr>
              </a:solidFill>
              <a:ln w="12700" cmpd="sng">
                <a:solidFill>
                  <a:schemeClr val="tx2">
                    <a:lumMod val="60000"/>
                    <a:lumOff val="40000"/>
                  </a:schemeClr>
                </a:solidFill>
              </a:ln>
              <a:effectLst/>
            </c:spPr>
          </c:dPt>
          <c:dPt>
            <c:idx val="24"/>
            <c:invertIfNegative val="0"/>
            <c:bubble3D val="0"/>
            <c:spPr>
              <a:solidFill>
                <a:schemeClr val="tx2">
                  <a:lumMod val="20000"/>
                  <a:lumOff val="80000"/>
                </a:schemeClr>
              </a:solidFill>
              <a:ln w="12700" cmpd="sng">
                <a:solidFill>
                  <a:schemeClr val="tx2">
                    <a:lumMod val="20000"/>
                    <a:lumOff val="80000"/>
                  </a:schemeClr>
                </a:solidFill>
              </a:ln>
              <a:effectLst/>
            </c:spPr>
          </c:dPt>
          <c:dPt>
            <c:idx val="25"/>
            <c:invertIfNegative val="0"/>
            <c:bubble3D val="0"/>
            <c:spPr>
              <a:solidFill>
                <a:schemeClr val="accent1">
                  <a:lumMod val="80000"/>
                  <a:lumOff val="20000"/>
                </a:schemeClr>
              </a:solidFill>
              <a:ln w="12700" cmpd="sng">
                <a:solidFill>
                  <a:schemeClr val="tx2">
                    <a:lumMod val="60000"/>
                    <a:lumOff val="40000"/>
                  </a:schemeClr>
                </a:solidFill>
              </a:ln>
              <a:effectLst/>
            </c:spPr>
          </c:dPt>
          <c:dPt>
            <c:idx val="27"/>
            <c:invertIfNegative val="0"/>
            <c:bubble3D val="0"/>
            <c:spPr>
              <a:solidFill>
                <a:schemeClr val="tx2">
                  <a:lumMod val="20000"/>
                  <a:lumOff val="80000"/>
                </a:schemeClr>
              </a:solidFill>
              <a:ln w="12700" cmpd="sng">
                <a:solidFill>
                  <a:schemeClr val="tx2">
                    <a:lumMod val="20000"/>
                    <a:lumOff val="80000"/>
                  </a:schemeClr>
                </a:solidFill>
              </a:ln>
              <a:effectLst/>
            </c:spPr>
          </c:dPt>
          <c:dPt>
            <c:idx val="28"/>
            <c:invertIfNegative val="0"/>
            <c:bubble3D val="0"/>
            <c:spPr>
              <a:solidFill>
                <a:schemeClr val="accent1">
                  <a:lumMod val="80000"/>
                  <a:lumOff val="20000"/>
                </a:schemeClr>
              </a:solidFill>
              <a:ln w="12700" cmpd="sng">
                <a:solidFill>
                  <a:schemeClr val="tx2">
                    <a:lumMod val="60000"/>
                    <a:lumOff val="40000"/>
                  </a:schemeClr>
                </a:solidFill>
              </a:ln>
              <a:effectLst/>
            </c:spPr>
          </c:dPt>
          <c:dPt>
            <c:idx val="30"/>
            <c:invertIfNegative val="0"/>
            <c:bubble3D val="0"/>
            <c:spPr>
              <a:solidFill>
                <a:schemeClr val="tx2">
                  <a:lumMod val="20000"/>
                  <a:lumOff val="80000"/>
                </a:schemeClr>
              </a:solidFill>
              <a:ln w="12700" cmpd="sng">
                <a:solidFill>
                  <a:schemeClr val="tx2">
                    <a:lumMod val="20000"/>
                    <a:lumOff val="80000"/>
                  </a:schemeClr>
                </a:solidFill>
              </a:ln>
              <a:effectLst/>
            </c:spPr>
          </c:dPt>
          <c:dPt>
            <c:idx val="31"/>
            <c:invertIfNegative val="0"/>
            <c:bubble3D val="0"/>
            <c:spPr>
              <a:solidFill>
                <a:schemeClr val="accent1">
                  <a:lumMod val="80000"/>
                  <a:lumOff val="20000"/>
                </a:schemeClr>
              </a:solidFill>
              <a:ln w="12700" cmpd="sng">
                <a:solidFill>
                  <a:schemeClr val="tx2">
                    <a:lumMod val="60000"/>
                    <a:lumOff val="40000"/>
                  </a:schemeClr>
                </a:solidFill>
              </a:ln>
              <a:effectLst/>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Graphs!$N$31:$N$62</c:f>
              <c:numCache>
                <c:formatCode>0.00%</c:formatCode>
                <c:ptCount val="32"/>
                <c:pt idx="0">
                  <c:v>0.83766233766233766</c:v>
                </c:pt>
                <c:pt idx="1">
                  <c:v>0.82389937106918243</c:v>
                </c:pt>
                <c:pt idx="3">
                  <c:v>0.84722222222222221</c:v>
                </c:pt>
                <c:pt idx="4">
                  <c:v>0.90909090909090906</c:v>
                </c:pt>
                <c:pt idx="6">
                  <c:v>0.83098591549295775</c:v>
                </c:pt>
                <c:pt idx="7">
                  <c:v>0.8936170212765957</c:v>
                </c:pt>
                <c:pt idx="9">
                  <c:v>0.81428571428571428</c:v>
                </c:pt>
                <c:pt idx="10">
                  <c:v>0.82978723404255317</c:v>
                </c:pt>
                <c:pt idx="12">
                  <c:v>0.63636363636363635</c:v>
                </c:pt>
                <c:pt idx="13">
                  <c:v>0.75886524822695034</c:v>
                </c:pt>
                <c:pt idx="15">
                  <c:v>0.67132867132867136</c:v>
                </c:pt>
                <c:pt idx="16">
                  <c:v>0.76923076923076927</c:v>
                </c:pt>
                <c:pt idx="18">
                  <c:v>0</c:v>
                </c:pt>
                <c:pt idx="19">
                  <c:v>0.76760563380281688</c:v>
                </c:pt>
                <c:pt idx="21">
                  <c:v>0.77241379310344827</c:v>
                </c:pt>
                <c:pt idx="22">
                  <c:v>0.86524822695035453</c:v>
                </c:pt>
                <c:pt idx="24">
                  <c:v>0.81118881118881125</c:v>
                </c:pt>
                <c:pt idx="25">
                  <c:v>0.90780141843971629</c:v>
                </c:pt>
                <c:pt idx="27">
                  <c:v>0.75694444444444442</c:v>
                </c:pt>
                <c:pt idx="28">
                  <c:v>0.87234042553191493</c:v>
                </c:pt>
                <c:pt idx="30">
                  <c:v>0.68055555555555558</c:v>
                </c:pt>
                <c:pt idx="31">
                  <c:v>0.75</c:v>
                </c:pt>
              </c:numCache>
            </c:numRef>
          </c:val>
        </c:ser>
        <c:ser>
          <c:idx val="13"/>
          <c:order val="13"/>
          <c:tx>
            <c:strRef>
              <c:f>Graphs!$O$30</c:f>
              <c:strCache>
                <c:ptCount val="1"/>
                <c:pt idx="0">
                  <c:v>Neutral</c:v>
                </c:pt>
              </c:strCache>
            </c:strRef>
          </c:tx>
          <c:spPr>
            <a:solidFill>
              <a:schemeClr val="accent2">
                <a:lumMod val="80000"/>
                <a:lumOff val="20000"/>
              </a:schemeClr>
            </a:solidFill>
            <a:ln>
              <a:noFill/>
            </a:ln>
            <a:effectLst/>
          </c:spPr>
          <c:invertIfNegative val="0"/>
          <c:dPt>
            <c:idx val="0"/>
            <c:invertIfNegative val="0"/>
            <c:bubble3D val="0"/>
            <c:spPr>
              <a:solidFill>
                <a:schemeClr val="accent2">
                  <a:lumMod val="20000"/>
                  <a:lumOff val="80000"/>
                </a:schemeClr>
              </a:solidFill>
              <a:ln>
                <a:solidFill>
                  <a:schemeClr val="accent2">
                    <a:lumMod val="20000"/>
                    <a:lumOff val="80000"/>
                  </a:schemeClr>
                </a:solidFill>
              </a:ln>
              <a:effectLst/>
            </c:spPr>
          </c:dPt>
          <c:dPt>
            <c:idx val="1"/>
            <c:invertIfNegative val="0"/>
            <c:bubble3D val="0"/>
            <c:spPr>
              <a:solidFill>
                <a:schemeClr val="accent2">
                  <a:lumMod val="80000"/>
                  <a:lumOff val="20000"/>
                </a:schemeClr>
              </a:solidFill>
              <a:ln>
                <a:noFill/>
              </a:ln>
              <a:effectLst/>
            </c:spPr>
          </c:dPt>
          <c:dPt>
            <c:idx val="3"/>
            <c:invertIfNegative val="0"/>
            <c:bubble3D val="0"/>
            <c:spPr>
              <a:solidFill>
                <a:schemeClr val="accent2">
                  <a:lumMod val="20000"/>
                  <a:lumOff val="80000"/>
                </a:schemeClr>
              </a:solidFill>
              <a:ln>
                <a:solidFill>
                  <a:schemeClr val="accent2">
                    <a:lumMod val="20000"/>
                    <a:lumOff val="80000"/>
                  </a:schemeClr>
                </a:solidFill>
              </a:ln>
              <a:effectLst/>
            </c:spPr>
          </c:dPt>
          <c:dPt>
            <c:idx val="4"/>
            <c:invertIfNegative val="0"/>
            <c:bubble3D val="0"/>
            <c:spPr>
              <a:solidFill>
                <a:schemeClr val="accent2">
                  <a:lumMod val="80000"/>
                  <a:lumOff val="20000"/>
                </a:schemeClr>
              </a:solidFill>
              <a:ln>
                <a:noFill/>
              </a:ln>
              <a:effectLst/>
            </c:spPr>
          </c:dPt>
          <c:dPt>
            <c:idx val="6"/>
            <c:invertIfNegative val="0"/>
            <c:bubble3D val="0"/>
            <c:spPr>
              <a:solidFill>
                <a:schemeClr val="accent2">
                  <a:lumMod val="20000"/>
                  <a:lumOff val="80000"/>
                </a:schemeClr>
              </a:solidFill>
              <a:ln>
                <a:solidFill>
                  <a:schemeClr val="accent2">
                    <a:lumMod val="20000"/>
                    <a:lumOff val="80000"/>
                  </a:schemeClr>
                </a:solidFill>
              </a:ln>
              <a:effectLst/>
            </c:spPr>
          </c:dPt>
          <c:dPt>
            <c:idx val="7"/>
            <c:invertIfNegative val="0"/>
            <c:bubble3D val="0"/>
            <c:spPr>
              <a:solidFill>
                <a:schemeClr val="accent2">
                  <a:lumMod val="80000"/>
                  <a:lumOff val="20000"/>
                </a:schemeClr>
              </a:solidFill>
              <a:ln>
                <a:noFill/>
              </a:ln>
              <a:effectLst/>
            </c:spPr>
          </c:dPt>
          <c:dPt>
            <c:idx val="9"/>
            <c:invertIfNegative val="0"/>
            <c:bubble3D val="0"/>
            <c:spPr>
              <a:solidFill>
                <a:schemeClr val="accent2">
                  <a:lumMod val="20000"/>
                  <a:lumOff val="80000"/>
                </a:schemeClr>
              </a:solidFill>
              <a:ln>
                <a:solidFill>
                  <a:schemeClr val="accent2">
                    <a:lumMod val="20000"/>
                    <a:lumOff val="80000"/>
                  </a:schemeClr>
                </a:solidFill>
              </a:ln>
              <a:effectLst/>
            </c:spPr>
          </c:dPt>
          <c:dPt>
            <c:idx val="10"/>
            <c:invertIfNegative val="0"/>
            <c:bubble3D val="0"/>
            <c:spPr>
              <a:solidFill>
                <a:schemeClr val="accent2">
                  <a:lumMod val="80000"/>
                  <a:lumOff val="20000"/>
                </a:schemeClr>
              </a:solidFill>
              <a:ln>
                <a:noFill/>
              </a:ln>
              <a:effectLst/>
            </c:spPr>
          </c:dPt>
          <c:dPt>
            <c:idx val="12"/>
            <c:invertIfNegative val="0"/>
            <c:bubble3D val="0"/>
            <c:spPr>
              <a:solidFill>
                <a:schemeClr val="accent2">
                  <a:lumMod val="20000"/>
                  <a:lumOff val="80000"/>
                </a:schemeClr>
              </a:solidFill>
              <a:ln>
                <a:solidFill>
                  <a:schemeClr val="accent2">
                    <a:lumMod val="20000"/>
                    <a:lumOff val="80000"/>
                  </a:schemeClr>
                </a:solidFill>
              </a:ln>
              <a:effectLst/>
            </c:spPr>
          </c:dPt>
          <c:dPt>
            <c:idx val="13"/>
            <c:invertIfNegative val="0"/>
            <c:bubble3D val="0"/>
            <c:spPr>
              <a:solidFill>
                <a:schemeClr val="accent2">
                  <a:lumMod val="80000"/>
                  <a:lumOff val="20000"/>
                </a:schemeClr>
              </a:solidFill>
              <a:ln>
                <a:noFill/>
              </a:ln>
              <a:effectLst/>
            </c:spPr>
          </c:dPt>
          <c:dPt>
            <c:idx val="15"/>
            <c:invertIfNegative val="0"/>
            <c:bubble3D val="0"/>
            <c:spPr>
              <a:solidFill>
                <a:schemeClr val="accent2">
                  <a:lumMod val="20000"/>
                  <a:lumOff val="80000"/>
                </a:schemeClr>
              </a:solidFill>
              <a:ln>
                <a:solidFill>
                  <a:schemeClr val="accent2">
                    <a:lumMod val="20000"/>
                    <a:lumOff val="80000"/>
                  </a:schemeClr>
                </a:solidFill>
              </a:ln>
              <a:effectLst/>
            </c:spPr>
          </c:dPt>
          <c:dPt>
            <c:idx val="16"/>
            <c:invertIfNegative val="0"/>
            <c:bubble3D val="0"/>
            <c:spPr>
              <a:solidFill>
                <a:schemeClr val="accent2">
                  <a:lumMod val="80000"/>
                  <a:lumOff val="20000"/>
                </a:schemeClr>
              </a:solidFill>
              <a:ln>
                <a:noFill/>
              </a:ln>
              <a:effectLst/>
            </c:spPr>
          </c:dPt>
          <c:dPt>
            <c:idx val="19"/>
            <c:invertIfNegative val="0"/>
            <c:bubble3D val="0"/>
            <c:spPr>
              <a:solidFill>
                <a:schemeClr val="accent2">
                  <a:lumMod val="80000"/>
                  <a:lumOff val="20000"/>
                </a:schemeClr>
              </a:solidFill>
              <a:ln>
                <a:noFill/>
              </a:ln>
              <a:effectLst/>
            </c:spPr>
          </c:dPt>
          <c:dPt>
            <c:idx val="21"/>
            <c:invertIfNegative val="0"/>
            <c:bubble3D val="0"/>
            <c:spPr>
              <a:solidFill>
                <a:schemeClr val="accent2">
                  <a:lumMod val="20000"/>
                  <a:lumOff val="80000"/>
                </a:schemeClr>
              </a:solidFill>
              <a:ln>
                <a:solidFill>
                  <a:schemeClr val="accent2">
                    <a:lumMod val="20000"/>
                    <a:lumOff val="80000"/>
                  </a:schemeClr>
                </a:solidFill>
              </a:ln>
              <a:effectLst/>
            </c:spPr>
          </c:dPt>
          <c:dPt>
            <c:idx val="22"/>
            <c:invertIfNegative val="0"/>
            <c:bubble3D val="0"/>
            <c:spPr>
              <a:solidFill>
                <a:schemeClr val="accent2">
                  <a:lumMod val="80000"/>
                  <a:lumOff val="20000"/>
                </a:schemeClr>
              </a:solidFill>
              <a:ln>
                <a:noFill/>
              </a:ln>
              <a:effectLst/>
            </c:spPr>
          </c:dPt>
          <c:dPt>
            <c:idx val="24"/>
            <c:invertIfNegative val="0"/>
            <c:bubble3D val="0"/>
            <c:spPr>
              <a:solidFill>
                <a:schemeClr val="accent2">
                  <a:lumMod val="20000"/>
                  <a:lumOff val="80000"/>
                </a:schemeClr>
              </a:solidFill>
              <a:ln>
                <a:solidFill>
                  <a:schemeClr val="accent2">
                    <a:lumMod val="20000"/>
                    <a:lumOff val="80000"/>
                  </a:schemeClr>
                </a:solidFill>
              </a:ln>
              <a:effectLst/>
            </c:spPr>
          </c:dPt>
          <c:dPt>
            <c:idx val="25"/>
            <c:invertIfNegative val="0"/>
            <c:bubble3D val="0"/>
            <c:spPr>
              <a:solidFill>
                <a:schemeClr val="accent2">
                  <a:lumMod val="80000"/>
                  <a:lumOff val="20000"/>
                </a:schemeClr>
              </a:solidFill>
              <a:ln>
                <a:noFill/>
              </a:ln>
              <a:effectLst/>
            </c:spPr>
          </c:dPt>
          <c:dPt>
            <c:idx val="27"/>
            <c:invertIfNegative val="0"/>
            <c:bubble3D val="0"/>
            <c:spPr>
              <a:solidFill>
                <a:schemeClr val="accent2">
                  <a:lumMod val="20000"/>
                  <a:lumOff val="80000"/>
                </a:schemeClr>
              </a:solidFill>
              <a:ln>
                <a:noFill/>
              </a:ln>
              <a:effectLst/>
            </c:spPr>
          </c:dPt>
          <c:dPt>
            <c:idx val="28"/>
            <c:invertIfNegative val="0"/>
            <c:bubble3D val="0"/>
            <c:spPr>
              <a:solidFill>
                <a:schemeClr val="accent2">
                  <a:lumMod val="80000"/>
                  <a:lumOff val="20000"/>
                </a:schemeClr>
              </a:solidFill>
              <a:ln>
                <a:noFill/>
              </a:ln>
              <a:effectLst/>
            </c:spPr>
          </c:dPt>
          <c:dPt>
            <c:idx val="30"/>
            <c:invertIfNegative val="0"/>
            <c:bubble3D val="0"/>
            <c:spPr>
              <a:solidFill>
                <a:schemeClr val="accent2">
                  <a:lumMod val="20000"/>
                  <a:lumOff val="80000"/>
                </a:schemeClr>
              </a:solidFill>
              <a:ln>
                <a:solidFill>
                  <a:schemeClr val="accent2">
                    <a:lumMod val="20000"/>
                    <a:lumOff val="80000"/>
                  </a:schemeClr>
                </a:solidFill>
              </a:ln>
              <a:effectLst/>
            </c:spPr>
          </c:dPt>
          <c:dPt>
            <c:idx val="31"/>
            <c:invertIfNegative val="0"/>
            <c:bubble3D val="0"/>
            <c:spPr>
              <a:solidFill>
                <a:schemeClr val="accent2">
                  <a:lumMod val="80000"/>
                  <a:lumOff val="20000"/>
                </a:schemeClr>
              </a:solidFill>
              <a:ln>
                <a:noFill/>
              </a:ln>
              <a:effectLst/>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Graphs!$O$31:$O$62</c:f>
              <c:numCache>
                <c:formatCode>0.00%</c:formatCode>
                <c:ptCount val="32"/>
                <c:pt idx="0">
                  <c:v>0.11038961038961038</c:v>
                </c:pt>
                <c:pt idx="1">
                  <c:v>0.1069182389937107</c:v>
                </c:pt>
                <c:pt idx="3">
                  <c:v>0.125</c:v>
                </c:pt>
                <c:pt idx="4">
                  <c:v>6.9930069930069935E-2</c:v>
                </c:pt>
                <c:pt idx="6">
                  <c:v>0.14084507042253522</c:v>
                </c:pt>
                <c:pt idx="7">
                  <c:v>9.9290780141843976E-2</c:v>
                </c:pt>
                <c:pt idx="9">
                  <c:v>0.14285714285714285</c:v>
                </c:pt>
                <c:pt idx="10">
                  <c:v>0.13475177304964539</c:v>
                </c:pt>
                <c:pt idx="12">
                  <c:v>0.28671328671328672</c:v>
                </c:pt>
                <c:pt idx="13">
                  <c:v>0.1773049645390071</c:v>
                </c:pt>
                <c:pt idx="15">
                  <c:v>0.1888111888111888</c:v>
                </c:pt>
                <c:pt idx="16">
                  <c:v>0.18181818181818182</c:v>
                </c:pt>
                <c:pt idx="18">
                  <c:v>0</c:v>
                </c:pt>
                <c:pt idx="19">
                  <c:v>0.15492957746478872</c:v>
                </c:pt>
                <c:pt idx="21">
                  <c:v>0.14482758620689656</c:v>
                </c:pt>
                <c:pt idx="22">
                  <c:v>5.67E-2</c:v>
                </c:pt>
                <c:pt idx="24">
                  <c:v>0.13986013986013987</c:v>
                </c:pt>
                <c:pt idx="25">
                  <c:v>4.2553191489361701E-2</c:v>
                </c:pt>
                <c:pt idx="27">
                  <c:v>0.18055555555555555</c:v>
                </c:pt>
                <c:pt idx="28">
                  <c:v>7.8014184397163122E-2</c:v>
                </c:pt>
                <c:pt idx="30">
                  <c:v>0.25</c:v>
                </c:pt>
                <c:pt idx="31">
                  <c:v>0.22142857142857142</c:v>
                </c:pt>
              </c:numCache>
            </c:numRef>
          </c:val>
        </c:ser>
        <c:ser>
          <c:idx val="14"/>
          <c:order val="14"/>
          <c:tx>
            <c:strRef>
              <c:f>Graphs!$P$30</c:f>
              <c:strCache>
                <c:ptCount val="1"/>
                <c:pt idx="0">
                  <c:v>Dissatisfied total          The 17-18 totals (darker colours) are on the lower bar</c:v>
                </c:pt>
              </c:strCache>
            </c:strRef>
          </c:tx>
          <c:spPr>
            <a:solidFill>
              <a:schemeClr val="accent3">
                <a:lumMod val="80000"/>
                <a:lumOff val="20000"/>
              </a:schemeClr>
            </a:solidFill>
            <a:ln>
              <a:noFill/>
            </a:ln>
            <a:effectLst/>
          </c:spPr>
          <c:invertIfNegative val="0"/>
          <c:dPt>
            <c:idx val="1"/>
            <c:invertIfNegative val="0"/>
            <c:bubble3D val="0"/>
            <c:spPr>
              <a:solidFill>
                <a:schemeClr val="accent3">
                  <a:lumMod val="80000"/>
                  <a:lumOff val="20000"/>
                </a:schemeClr>
              </a:solidFill>
              <a:ln>
                <a:noFill/>
              </a:ln>
              <a:effectLst/>
            </c:spPr>
          </c:dPt>
          <c:dPt>
            <c:idx val="4"/>
            <c:invertIfNegative val="0"/>
            <c:bubble3D val="0"/>
            <c:spPr>
              <a:solidFill>
                <a:schemeClr val="accent3">
                  <a:lumMod val="80000"/>
                  <a:lumOff val="20000"/>
                </a:schemeClr>
              </a:solidFill>
              <a:ln>
                <a:noFill/>
              </a:ln>
              <a:effectLst/>
            </c:spPr>
          </c:dPt>
          <c:dPt>
            <c:idx val="7"/>
            <c:invertIfNegative val="0"/>
            <c:bubble3D val="0"/>
            <c:spPr>
              <a:solidFill>
                <a:schemeClr val="accent3">
                  <a:lumMod val="80000"/>
                  <a:lumOff val="20000"/>
                </a:schemeClr>
              </a:solidFill>
              <a:ln>
                <a:noFill/>
              </a:ln>
              <a:effectLst/>
            </c:spPr>
          </c:dPt>
          <c:dPt>
            <c:idx val="10"/>
            <c:invertIfNegative val="0"/>
            <c:bubble3D val="0"/>
            <c:spPr>
              <a:solidFill>
                <a:schemeClr val="accent3">
                  <a:lumMod val="80000"/>
                  <a:lumOff val="20000"/>
                </a:schemeClr>
              </a:solidFill>
              <a:ln>
                <a:noFill/>
              </a:ln>
              <a:effectLst/>
            </c:spPr>
          </c:dPt>
          <c:dPt>
            <c:idx val="12"/>
            <c:invertIfNegative val="0"/>
            <c:bubble3D val="0"/>
            <c:spPr>
              <a:solidFill>
                <a:schemeClr val="accent3">
                  <a:lumMod val="20000"/>
                  <a:lumOff val="80000"/>
                </a:schemeClr>
              </a:solidFill>
              <a:ln>
                <a:noFill/>
              </a:ln>
              <a:effectLst/>
            </c:spPr>
          </c:dPt>
          <c:dPt>
            <c:idx val="13"/>
            <c:invertIfNegative val="0"/>
            <c:bubble3D val="0"/>
            <c:spPr>
              <a:solidFill>
                <a:schemeClr val="accent3">
                  <a:lumMod val="80000"/>
                  <a:lumOff val="20000"/>
                </a:schemeClr>
              </a:solidFill>
              <a:ln>
                <a:noFill/>
              </a:ln>
              <a:effectLst/>
            </c:spPr>
          </c:dPt>
          <c:dPt>
            <c:idx val="15"/>
            <c:invertIfNegative val="0"/>
            <c:bubble3D val="0"/>
            <c:spPr>
              <a:solidFill>
                <a:schemeClr val="accent3">
                  <a:lumMod val="20000"/>
                  <a:lumOff val="80000"/>
                </a:schemeClr>
              </a:solidFill>
              <a:ln>
                <a:solidFill>
                  <a:schemeClr val="accent3">
                    <a:lumMod val="20000"/>
                    <a:lumOff val="80000"/>
                  </a:schemeClr>
                </a:solidFill>
              </a:ln>
              <a:effectLst/>
            </c:spPr>
          </c:dPt>
          <c:dPt>
            <c:idx val="16"/>
            <c:invertIfNegative val="0"/>
            <c:bubble3D val="0"/>
            <c:spPr>
              <a:solidFill>
                <a:schemeClr val="accent3">
                  <a:lumMod val="80000"/>
                  <a:lumOff val="20000"/>
                </a:schemeClr>
              </a:solidFill>
              <a:ln>
                <a:noFill/>
              </a:ln>
              <a:effectLst/>
            </c:spPr>
          </c:dPt>
          <c:dPt>
            <c:idx val="19"/>
            <c:invertIfNegative val="0"/>
            <c:bubble3D val="0"/>
            <c:spPr>
              <a:solidFill>
                <a:schemeClr val="accent3">
                  <a:lumMod val="80000"/>
                  <a:lumOff val="20000"/>
                </a:schemeClr>
              </a:solidFill>
              <a:ln>
                <a:noFill/>
              </a:ln>
              <a:effectLst/>
            </c:spPr>
          </c:dPt>
          <c:dPt>
            <c:idx val="21"/>
            <c:invertIfNegative val="0"/>
            <c:bubble3D val="0"/>
            <c:spPr>
              <a:solidFill>
                <a:schemeClr val="accent3">
                  <a:lumMod val="20000"/>
                  <a:lumOff val="80000"/>
                </a:schemeClr>
              </a:solidFill>
              <a:ln>
                <a:solidFill>
                  <a:schemeClr val="accent3">
                    <a:lumMod val="20000"/>
                    <a:lumOff val="80000"/>
                  </a:schemeClr>
                </a:solidFill>
              </a:ln>
              <a:effectLst/>
            </c:spPr>
          </c:dPt>
          <c:dPt>
            <c:idx val="22"/>
            <c:invertIfNegative val="0"/>
            <c:bubble3D val="0"/>
            <c:spPr>
              <a:solidFill>
                <a:schemeClr val="accent3">
                  <a:lumMod val="80000"/>
                  <a:lumOff val="20000"/>
                </a:schemeClr>
              </a:solidFill>
              <a:ln>
                <a:noFill/>
              </a:ln>
              <a:effectLst/>
            </c:spPr>
          </c:dPt>
          <c:dPt>
            <c:idx val="25"/>
            <c:invertIfNegative val="0"/>
            <c:bubble3D val="0"/>
            <c:spPr>
              <a:solidFill>
                <a:schemeClr val="accent3">
                  <a:lumMod val="80000"/>
                  <a:lumOff val="20000"/>
                </a:schemeClr>
              </a:solidFill>
              <a:ln>
                <a:noFill/>
              </a:ln>
              <a:effectLst/>
            </c:spPr>
          </c:dPt>
          <c:dPt>
            <c:idx val="28"/>
            <c:invertIfNegative val="0"/>
            <c:bubble3D val="0"/>
            <c:spPr>
              <a:solidFill>
                <a:schemeClr val="accent3">
                  <a:lumMod val="80000"/>
                  <a:lumOff val="20000"/>
                </a:schemeClr>
              </a:solidFill>
              <a:ln>
                <a:noFill/>
              </a:ln>
              <a:effectLst/>
            </c:spPr>
          </c:dPt>
          <c:dPt>
            <c:idx val="31"/>
            <c:invertIfNegative val="0"/>
            <c:bubble3D val="0"/>
            <c:spPr>
              <a:solidFill>
                <a:schemeClr val="accent3">
                  <a:lumMod val="80000"/>
                  <a:lumOff val="20000"/>
                </a:schemeClr>
              </a:solidFill>
              <a:ln>
                <a:noFill/>
              </a:ln>
              <a:effectLst/>
            </c:spPr>
          </c:dPt>
          <c:dLbls>
            <c:dLbl>
              <c:idx val="18"/>
              <c:delete val="1"/>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Graphs!$A$31:$A$62</c:f>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f>Graphs!$P$31:$P$62</c:f>
              <c:numCache>
                <c:formatCode>0.00%</c:formatCode>
                <c:ptCount val="32"/>
                <c:pt idx="0">
                  <c:v>5.1948051948051951E-2</c:v>
                </c:pt>
                <c:pt idx="1">
                  <c:v>6.9182389937106917E-2</c:v>
                </c:pt>
                <c:pt idx="3">
                  <c:v>2.7777777777777776E-2</c:v>
                </c:pt>
                <c:pt idx="4">
                  <c:v>2.097902097902098E-2</c:v>
                </c:pt>
                <c:pt idx="6">
                  <c:v>2.8169014084507043E-2</c:v>
                </c:pt>
                <c:pt idx="7">
                  <c:v>7.0921985815602835E-3</c:v>
                </c:pt>
                <c:pt idx="9">
                  <c:v>4.2857142857142858E-2</c:v>
                </c:pt>
                <c:pt idx="10">
                  <c:v>3.5460992907801414E-2</c:v>
                </c:pt>
                <c:pt idx="12">
                  <c:v>7.6923076923076927E-2</c:v>
                </c:pt>
                <c:pt idx="13">
                  <c:v>6.3829787234042562E-2</c:v>
                </c:pt>
                <c:pt idx="15">
                  <c:v>0.13986013986013987</c:v>
                </c:pt>
                <c:pt idx="16">
                  <c:v>4.8951048951048952E-2</c:v>
                </c:pt>
                <c:pt idx="18">
                  <c:v>0</c:v>
                </c:pt>
                <c:pt idx="19">
                  <c:v>7.746478873239436E-2</c:v>
                </c:pt>
                <c:pt idx="21">
                  <c:v>8.2758620689655171E-2</c:v>
                </c:pt>
                <c:pt idx="22">
                  <c:v>7.8014184397163122E-2</c:v>
                </c:pt>
                <c:pt idx="24">
                  <c:v>4.8951048951048952E-2</c:v>
                </c:pt>
                <c:pt idx="25">
                  <c:v>4.9645390070921988E-2</c:v>
                </c:pt>
                <c:pt idx="27">
                  <c:v>6.25E-2</c:v>
                </c:pt>
                <c:pt idx="28">
                  <c:v>4.9645390070921988E-2</c:v>
                </c:pt>
                <c:pt idx="30">
                  <c:v>6.9444444444444448E-2</c:v>
                </c:pt>
                <c:pt idx="31">
                  <c:v>2.8571428571428571E-2</c:v>
                </c:pt>
              </c:numCache>
            </c:numRef>
          </c:val>
        </c:ser>
        <c:dLbls>
          <c:dLblPos val="ctr"/>
          <c:showLegendKey val="0"/>
          <c:showVal val="1"/>
          <c:showCatName val="0"/>
          <c:showSerName val="0"/>
          <c:showPercent val="0"/>
          <c:showBubbleSize val="0"/>
        </c:dLbls>
        <c:gapWidth val="120"/>
        <c:overlap val="100"/>
        <c:axId val="407328992"/>
        <c:axId val="407329384"/>
        <c:extLst>
          <c:ext xmlns:c15="http://schemas.microsoft.com/office/drawing/2012/chart" uri="{02D57815-91ED-43cb-92C2-25804820EDAC}">
            <c15:filteredBarSeries>
              <c15:ser>
                <c:idx val="11"/>
                <c:order val="11"/>
                <c:tx>
                  <c:strRef>
                    <c:extLst>
                      <c:ext uri="{02D57815-91ED-43cb-92C2-25804820EDAC}">
                        <c15:formulaRef>
                          <c15:sqref>Graphs!$M$30</c15:sqref>
                        </c15:formulaRef>
                      </c:ext>
                    </c:extLst>
                    <c:strCache>
                      <c:ptCount val="1"/>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Graphs!$A$31:$A$62</c15:sqref>
                        </c15:formulaRef>
                      </c:ext>
                    </c:extLst>
                    <c:strCache>
                      <c:ptCount val="31"/>
                      <c:pt idx="0">
                        <c:v>1. On the last occasion that you registered a product and/or contacted the Energy Rating Team, how satisfied were you with the service that you received?</c:v>
                      </c:pt>
                      <c:pt idx="3">
                        <c:v>2. My registration with the Australian GEMS Regulator was processed in a timely manner</c:v>
                      </c:pt>
                      <c:pt idx="6">
                        <c:v>3. The Staff I had contact with assessed my application in a professional manner</c:v>
                      </c:pt>
                      <c:pt idx="9">
                        <c:v>4. Communication with Staff handling my registration was clear, accurate and relevant</c:v>
                      </c:pt>
                      <c:pt idx="12">
                        <c:v>5. The GEMS product registration process is improving over time</c:v>
                      </c:pt>
                      <c:pt idx="15">
                        <c:v>6. The E3 Equipment Energy Efficiency registration website is easy to use</c:v>
                      </c:pt>
                      <c:pt idx="18">
                        <c:v>7. The time it takes to complete a registration application is reasonable (2017-18 only)</c:v>
                      </c:pt>
                      <c:pt idx="21">
                        <c:v>8. My enquiry was resolved in a timely manner</c:v>
                      </c:pt>
                      <c:pt idx="24">
                        <c:v>9. The Energy Rating Team handled my enquiry in a professional manner</c:v>
                      </c:pt>
                      <c:pt idx="27">
                        <c:v>10. Communication with the Energy Rating Team was clear, accurate and relevant</c:v>
                      </c:pt>
                      <c:pt idx="30">
                        <c:v>11. The enquiry process through the Energy Rating Team is improving over time</c:v>
                      </c:pt>
                    </c:strCache>
                  </c:strRef>
                </c:cat>
                <c:val>
                  <c:numRef>
                    <c:extLst>
                      <c:ext uri="{02D57815-91ED-43cb-92C2-25804820EDAC}">
                        <c15:formulaRef>
                          <c15:sqref>Graphs!$M$31:$M$62</c15:sqref>
                        </c15:formulaRef>
                      </c:ext>
                    </c:extLst>
                    <c:numCache>
                      <c:formatCode>General</c:formatCode>
                      <c:ptCount val="32"/>
                      <c:pt idx="0">
                        <c:v>0</c:v>
                      </c:pt>
                      <c:pt idx="1">
                        <c:v>0</c:v>
                      </c:pt>
                      <c:pt idx="3">
                        <c:v>0</c:v>
                      </c:pt>
                      <c:pt idx="4">
                        <c:v>0</c:v>
                      </c:pt>
                      <c:pt idx="6">
                        <c:v>0</c:v>
                      </c:pt>
                      <c:pt idx="7">
                        <c:v>0</c:v>
                      </c:pt>
                      <c:pt idx="9">
                        <c:v>0</c:v>
                      </c:pt>
                      <c:pt idx="10">
                        <c:v>0</c:v>
                      </c:pt>
                      <c:pt idx="12">
                        <c:v>0</c:v>
                      </c:pt>
                      <c:pt idx="13">
                        <c:v>0</c:v>
                      </c:pt>
                      <c:pt idx="15">
                        <c:v>0</c:v>
                      </c:pt>
                      <c:pt idx="16">
                        <c:v>0</c:v>
                      </c:pt>
                      <c:pt idx="18">
                        <c:v>0</c:v>
                      </c:pt>
                      <c:pt idx="19">
                        <c:v>0</c:v>
                      </c:pt>
                      <c:pt idx="21">
                        <c:v>0</c:v>
                      </c:pt>
                      <c:pt idx="22">
                        <c:v>0</c:v>
                      </c:pt>
                      <c:pt idx="24">
                        <c:v>0</c:v>
                      </c:pt>
                      <c:pt idx="25">
                        <c:v>0</c:v>
                      </c:pt>
                      <c:pt idx="27">
                        <c:v>0</c:v>
                      </c:pt>
                      <c:pt idx="28">
                        <c:v>0</c:v>
                      </c:pt>
                      <c:pt idx="30">
                        <c:v>0</c:v>
                      </c:pt>
                      <c:pt idx="31">
                        <c:v>0</c:v>
                      </c:pt>
                    </c:numCache>
                  </c:numRef>
                </c:val>
              </c15:ser>
            </c15:filteredBarSeries>
          </c:ext>
        </c:extLst>
      </c:barChart>
      <c:catAx>
        <c:axId val="4073289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329384"/>
        <c:crosses val="autoZero"/>
        <c:auto val="1"/>
        <c:lblAlgn val="ctr"/>
        <c:lblOffset val="100"/>
        <c:noMultiLvlLbl val="0"/>
      </c:catAx>
      <c:valAx>
        <c:axId val="407329384"/>
        <c:scaling>
          <c:orientation val="minMax"/>
          <c:max val="1"/>
        </c:scaling>
        <c:delete val="1"/>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Percentage</a:t>
                </a:r>
                <a:r>
                  <a:rPr lang="en-AU" baseline="0"/>
                  <a:t> </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crossAx val="407328992"/>
        <c:crosses val="autoZero"/>
        <c:crossBetween val="between"/>
      </c:valAx>
      <c:spPr>
        <a:noFill/>
        <a:ln>
          <a:noFill/>
        </a:ln>
        <a:effectLst/>
      </c:spPr>
    </c:plotArea>
    <c:legend>
      <c:legendPos val="b"/>
      <c:layout>
        <c:manualLayout>
          <c:xMode val="edge"/>
          <c:yMode val="edge"/>
          <c:x val="6.7095625922296204E-2"/>
          <c:y val="0.95804655092116231"/>
          <c:w val="0.89999991961188619"/>
          <c:h val="3.09493225313823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Positive responses: compliance and monitoring 2016-17 and </a:t>
            </a:r>
          </a:p>
          <a:p>
            <a:pPr>
              <a:defRPr/>
            </a:pPr>
            <a:r>
              <a:rPr lang="en-AU"/>
              <a:t>2017-18 results compared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'Compliance Graphs'!$B$37</c:f>
              <c:strCache>
                <c:ptCount val="1"/>
              </c:strCache>
            </c:strRef>
          </c:tx>
          <c:spPr>
            <a:ln w="28575" cap="rnd">
              <a:solidFill>
                <a:schemeClr val="accent1"/>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Graphs'!$B$38:$B$43</c:f>
            </c:numRef>
          </c:val>
          <c:smooth val="0"/>
        </c:ser>
        <c:ser>
          <c:idx val="1"/>
          <c:order val="1"/>
          <c:tx>
            <c:strRef>
              <c:f>'Compliance Graphs'!$C$37</c:f>
              <c:strCache>
                <c:ptCount val="1"/>
              </c:strCache>
            </c:strRef>
          </c:tx>
          <c:spPr>
            <a:ln w="28575" cap="rnd">
              <a:solidFill>
                <a:schemeClr val="accent2"/>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Graphs'!$C$38:$C$43</c:f>
            </c:numRef>
          </c:val>
          <c:smooth val="0"/>
        </c:ser>
        <c:ser>
          <c:idx val="2"/>
          <c:order val="2"/>
          <c:tx>
            <c:strRef>
              <c:f>'Compliance Graphs'!$D$37</c:f>
              <c:strCache>
                <c:ptCount val="1"/>
              </c:strCache>
            </c:strRef>
          </c:tx>
          <c:spPr>
            <a:ln w="28575" cap="rnd">
              <a:solidFill>
                <a:schemeClr val="accent3"/>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Graphs'!$D$38:$D$43</c:f>
            </c:numRef>
          </c:val>
          <c:smooth val="0"/>
        </c:ser>
        <c:ser>
          <c:idx val="3"/>
          <c:order val="3"/>
          <c:tx>
            <c:strRef>
              <c:f>'Compliance Graphs'!$E$37</c:f>
              <c:strCache>
                <c:ptCount val="1"/>
              </c:strCache>
            </c:strRef>
          </c:tx>
          <c:spPr>
            <a:ln w="28575" cap="rnd">
              <a:solidFill>
                <a:schemeClr val="accent4"/>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Graphs'!$E$38:$E$43</c:f>
            </c:numRef>
          </c:val>
          <c:smooth val="0"/>
        </c:ser>
        <c:ser>
          <c:idx val="4"/>
          <c:order val="4"/>
          <c:tx>
            <c:strRef>
              <c:f>'Compliance Graphs'!$F$37</c:f>
              <c:strCache>
                <c:ptCount val="1"/>
              </c:strCache>
            </c:strRef>
          </c:tx>
          <c:spPr>
            <a:ln w="28575" cap="rnd">
              <a:solidFill>
                <a:schemeClr val="accent5"/>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Graphs'!$F$38:$F$43</c:f>
            </c:numRef>
          </c:val>
          <c:smooth val="0"/>
        </c:ser>
        <c:ser>
          <c:idx val="5"/>
          <c:order val="5"/>
          <c:tx>
            <c:strRef>
              <c:f>'Compliance Graphs'!$G$37</c:f>
              <c:strCache>
                <c:ptCount val="1"/>
              </c:strCache>
            </c:strRef>
          </c:tx>
          <c:spPr>
            <a:ln w="28575" cap="rnd">
              <a:solidFill>
                <a:schemeClr val="accent6"/>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Graphs'!$G$38:$G$43</c:f>
            </c:numRef>
          </c:val>
          <c:smooth val="0"/>
        </c:ser>
        <c:ser>
          <c:idx val="6"/>
          <c:order val="6"/>
          <c:tx>
            <c:strRef>
              <c:f>'Compliance Graphs'!$H$37</c:f>
              <c:strCache>
                <c:ptCount val="1"/>
              </c:strCache>
            </c:strRef>
          </c:tx>
          <c:spPr>
            <a:ln w="28575" cap="rnd">
              <a:solidFill>
                <a:schemeClr val="accent1">
                  <a:lumMod val="60000"/>
                </a:schemeClr>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Graphs'!$H$38:$H$43</c:f>
            </c:numRef>
          </c:val>
          <c:smooth val="0"/>
        </c:ser>
        <c:ser>
          <c:idx val="7"/>
          <c:order val="7"/>
          <c:tx>
            <c:strRef>
              <c:f>'Compliance Graphs'!$I$37</c:f>
              <c:strCache>
                <c:ptCount val="1"/>
              </c:strCache>
            </c:strRef>
          </c:tx>
          <c:spPr>
            <a:ln w="28575" cap="rnd">
              <a:solidFill>
                <a:schemeClr val="accent2">
                  <a:lumMod val="60000"/>
                </a:schemeClr>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Graphs'!$I$38:$I$43</c:f>
            </c:numRef>
          </c:val>
          <c:smooth val="0"/>
        </c:ser>
        <c:ser>
          <c:idx val="8"/>
          <c:order val="8"/>
          <c:tx>
            <c:strRef>
              <c:f>'Compliance Graphs'!$J$37</c:f>
              <c:strCache>
                <c:ptCount val="1"/>
              </c:strCache>
            </c:strRef>
          </c:tx>
          <c:spPr>
            <a:ln w="28575" cap="rnd">
              <a:solidFill>
                <a:schemeClr val="accent3">
                  <a:lumMod val="60000"/>
                </a:schemeClr>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Graphs'!$J$38:$J$43</c:f>
            </c:numRef>
          </c:val>
          <c:smooth val="0"/>
        </c:ser>
        <c:ser>
          <c:idx val="9"/>
          <c:order val="9"/>
          <c:tx>
            <c:strRef>
              <c:f>'Compliance Graphs'!$K$37</c:f>
              <c:strCache>
                <c:ptCount val="1"/>
              </c:strCache>
            </c:strRef>
          </c:tx>
          <c:spPr>
            <a:ln w="28575" cap="rnd">
              <a:solidFill>
                <a:schemeClr val="accent4">
                  <a:lumMod val="60000"/>
                </a:schemeClr>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Graphs'!$K$38:$K$43</c:f>
            </c:numRef>
          </c:val>
          <c:smooth val="0"/>
        </c:ser>
        <c:ser>
          <c:idx val="10"/>
          <c:order val="10"/>
          <c:tx>
            <c:strRef>
              <c:f>'Compliance Graphs'!$L$37</c:f>
              <c:strCache>
                <c:ptCount val="1"/>
              </c:strCache>
            </c:strRef>
          </c:tx>
          <c:spPr>
            <a:ln w="28575" cap="rnd">
              <a:solidFill>
                <a:schemeClr val="accent5">
                  <a:lumMod val="60000"/>
                </a:schemeClr>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Graphs'!$L$38:$L$43</c:f>
            </c:numRef>
          </c:val>
          <c:smooth val="0"/>
        </c:ser>
        <c:ser>
          <c:idx val="11"/>
          <c:order val="11"/>
          <c:tx>
            <c:strRef>
              <c:f>'Compliance Graphs'!$M$37</c:f>
              <c:strCache>
                <c:ptCount val="1"/>
                <c:pt idx="0">
                  <c:v>2016-17</c:v>
                </c:pt>
              </c:strCache>
            </c:strRef>
          </c:tx>
          <c:spPr>
            <a:ln w="28575" cap="rnd">
              <a:solidFill>
                <a:schemeClr val="tx2">
                  <a:lumMod val="60000"/>
                  <a:lumOff val="40000"/>
                </a:schemeClr>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Graphs'!$M$38:$M$43</c:f>
              <c:numCache>
                <c:formatCode>General</c:formatCode>
                <c:ptCount val="6"/>
                <c:pt idx="0">
                  <c:v>53.24</c:v>
                </c:pt>
                <c:pt idx="1">
                  <c:v>61.43</c:v>
                </c:pt>
                <c:pt idx="2">
                  <c:v>60.58</c:v>
                </c:pt>
                <c:pt idx="3">
                  <c:v>59.12</c:v>
                </c:pt>
                <c:pt idx="4">
                  <c:v>63.64</c:v>
                </c:pt>
                <c:pt idx="5">
                  <c:v>55</c:v>
                </c:pt>
              </c:numCache>
            </c:numRef>
          </c:val>
          <c:smooth val="0"/>
        </c:ser>
        <c:ser>
          <c:idx val="12"/>
          <c:order val="12"/>
          <c:tx>
            <c:strRef>
              <c:f>'Compliance Graphs'!$N$37</c:f>
              <c:strCache>
                <c:ptCount val="1"/>
                <c:pt idx="0">
                  <c:v>2017-18</c:v>
                </c:pt>
              </c:strCache>
            </c:strRef>
          </c:tx>
          <c:spPr>
            <a:ln w="28575" cap="rnd">
              <a:solidFill>
                <a:schemeClr val="accent2">
                  <a:lumMod val="75000"/>
                </a:schemeClr>
              </a:solidFill>
              <a:round/>
            </a:ln>
            <a:effectLst/>
          </c:spPr>
          <c:marker>
            <c:symbol val="none"/>
          </c:marker>
          <c:cat>
            <c:strRef>
              <c:f>'Compliance Graphs'!$A$38:$A$43</c:f>
              <c:strCache>
                <c:ptCount val="6"/>
                <c:pt idx="0">
                  <c:v>1. Annual monitoring program and activities are well publicised</c:v>
                </c:pt>
                <c:pt idx="1">
                  <c:v>2. Check testing policy, procedures and results are clearly communicated</c:v>
                </c:pt>
                <c:pt idx="2">
                  <c:v>3. The number of products check tested is sufficient</c:v>
                </c:pt>
                <c:pt idx="3">
                  <c:v>4. Details about breaches are accessible and act as a deterrent to non-compliance</c:v>
                </c:pt>
                <c:pt idx="4">
                  <c:v>5. There is an appropriate level of education and engagement to assist suppliers</c:v>
                </c:pt>
                <c:pt idx="5">
                  <c:v>6. Compliance activities take into consideration the operational needs of regulated businesses</c:v>
                </c:pt>
              </c:strCache>
            </c:strRef>
          </c:cat>
          <c:val>
            <c:numRef>
              <c:f>'Compliance Graphs'!$N$38:$N$43</c:f>
              <c:numCache>
                <c:formatCode>General</c:formatCode>
                <c:ptCount val="6"/>
                <c:pt idx="0">
                  <c:v>60.56</c:v>
                </c:pt>
                <c:pt idx="1">
                  <c:v>66.430000000000007</c:v>
                </c:pt>
                <c:pt idx="2">
                  <c:v>69.569999999999993</c:v>
                </c:pt>
                <c:pt idx="3">
                  <c:v>60.56</c:v>
                </c:pt>
                <c:pt idx="4">
                  <c:v>60.54</c:v>
                </c:pt>
                <c:pt idx="5">
                  <c:v>65.28</c:v>
                </c:pt>
              </c:numCache>
            </c:numRef>
          </c:val>
          <c:smooth val="0"/>
        </c:ser>
        <c:dLbls>
          <c:showLegendKey val="0"/>
          <c:showVal val="0"/>
          <c:showCatName val="0"/>
          <c:showSerName val="0"/>
          <c:showPercent val="0"/>
          <c:showBubbleSize val="0"/>
        </c:dLbls>
        <c:smooth val="0"/>
        <c:axId val="407327424"/>
        <c:axId val="407327032"/>
      </c:lineChart>
      <c:catAx>
        <c:axId val="40732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327032"/>
        <c:crosses val="autoZero"/>
        <c:auto val="0"/>
        <c:lblAlgn val="ctr"/>
        <c:lblOffset val="100"/>
        <c:noMultiLvlLbl val="0"/>
      </c:catAx>
      <c:valAx>
        <c:axId val="407327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327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Compliance and monitoring 2016-17 and 2017-18 Results Compared</a:t>
            </a:r>
          </a:p>
          <a:p>
            <a:pPr>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479473819481762"/>
          <c:y val="0.1882266481395708"/>
          <c:w val="0.50335943894110013"/>
          <c:h val="0.71987752742795208"/>
        </c:manualLayout>
      </c:layout>
      <c:barChart>
        <c:barDir val="bar"/>
        <c:grouping val="stacked"/>
        <c:varyColors val="0"/>
        <c:ser>
          <c:idx val="0"/>
          <c:order val="0"/>
          <c:tx>
            <c:strRef>
              <c:f>'Compliance Graphs'!$B$18</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Graphs'!$B$19:$B$35</c:f>
            </c:numRef>
          </c:val>
        </c:ser>
        <c:ser>
          <c:idx val="1"/>
          <c:order val="1"/>
          <c:tx>
            <c:strRef>
              <c:f>'Compliance Graphs'!$C$18</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Graphs'!$C$19:$C$35</c:f>
            </c:numRef>
          </c:val>
        </c:ser>
        <c:ser>
          <c:idx val="2"/>
          <c:order val="2"/>
          <c:tx>
            <c:strRef>
              <c:f>'Compliance Graphs'!$D$18</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Graphs'!$D$19:$D$35</c:f>
            </c:numRef>
          </c:val>
        </c:ser>
        <c:ser>
          <c:idx val="3"/>
          <c:order val="3"/>
          <c:tx>
            <c:strRef>
              <c:f>'Compliance Graphs'!$E$18</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Graphs'!$E$19:$E$35</c:f>
            </c:numRef>
          </c:val>
        </c:ser>
        <c:ser>
          <c:idx val="4"/>
          <c:order val="4"/>
          <c:tx>
            <c:strRef>
              <c:f>'Compliance Graphs'!$F$18</c:f>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Graphs'!$F$19:$F$35</c:f>
            </c:numRef>
          </c:val>
        </c:ser>
        <c:ser>
          <c:idx val="5"/>
          <c:order val="5"/>
          <c:tx>
            <c:strRef>
              <c:f>'Compliance Graphs'!$G$18</c:f>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Graphs'!$G$19:$G$35</c:f>
            </c:numRef>
          </c:val>
        </c:ser>
        <c:ser>
          <c:idx val="6"/>
          <c:order val="6"/>
          <c:tx>
            <c:strRef>
              <c:f>'Compliance Graphs'!$H$18</c:f>
              <c:strCache>
                <c:ptCount val="1"/>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Graphs'!$H$19:$H$35</c:f>
            </c:numRef>
          </c:val>
        </c:ser>
        <c:ser>
          <c:idx val="7"/>
          <c:order val="7"/>
          <c:tx>
            <c:strRef>
              <c:f>'Compliance Graphs'!$I$18</c:f>
              <c:strCache>
                <c:ptCount val="1"/>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Graphs'!$I$19:$I$35</c:f>
            </c:numRef>
          </c:val>
        </c:ser>
        <c:ser>
          <c:idx val="8"/>
          <c:order val="8"/>
          <c:tx>
            <c:strRef>
              <c:f>'Compliance Graphs'!$J$18</c:f>
              <c:strCache>
                <c:ptCount val="1"/>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Graphs'!$J$19:$J$35</c:f>
            </c:numRef>
          </c:val>
        </c:ser>
        <c:ser>
          <c:idx val="9"/>
          <c:order val="9"/>
          <c:tx>
            <c:strRef>
              <c:f>'Compliance Graphs'!$K$18</c:f>
              <c:strCache>
                <c:ptCount val="1"/>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Graphs'!$K$19:$K$35</c:f>
            </c:numRef>
          </c:val>
        </c:ser>
        <c:ser>
          <c:idx val="10"/>
          <c:order val="10"/>
          <c:tx>
            <c:strRef>
              <c:f>'Compliance Graphs'!$L$18</c:f>
              <c:strCache>
                <c:ptCount val="1"/>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Graphs'!$L$19:$L$35</c:f>
            </c:numRef>
          </c:val>
        </c:ser>
        <c:ser>
          <c:idx val="12"/>
          <c:order val="12"/>
          <c:tx>
            <c:strRef>
              <c:f>'Compliance Graphs'!$N$18</c:f>
              <c:strCache>
                <c:ptCount val="1"/>
                <c:pt idx="0">
                  <c:v>Satisfied total</c:v>
                </c:pt>
              </c:strCache>
            </c:strRef>
          </c:tx>
          <c:spPr>
            <a:solidFill>
              <a:schemeClr val="accent1">
                <a:lumMod val="80000"/>
                <a:lumOff val="20000"/>
              </a:schemeClr>
            </a:solidFill>
            <a:ln>
              <a:noFill/>
            </a:ln>
            <a:effectLst/>
          </c:spPr>
          <c:invertIfNegative val="0"/>
          <c:dPt>
            <c:idx val="1"/>
            <c:invertIfNegative val="0"/>
            <c:bubble3D val="0"/>
            <c:spPr>
              <a:solidFill>
                <a:schemeClr val="accent1">
                  <a:lumMod val="75000"/>
                </a:schemeClr>
              </a:solidFill>
              <a:ln>
                <a:noFill/>
              </a:ln>
              <a:effectLst/>
            </c:spPr>
          </c:dPt>
          <c:dPt>
            <c:idx val="4"/>
            <c:invertIfNegative val="0"/>
            <c:bubble3D val="0"/>
            <c:spPr>
              <a:solidFill>
                <a:schemeClr val="accent1">
                  <a:lumMod val="75000"/>
                </a:schemeClr>
              </a:solidFill>
              <a:ln>
                <a:noFill/>
              </a:ln>
              <a:effectLst/>
            </c:spPr>
          </c:dPt>
          <c:dPt>
            <c:idx val="7"/>
            <c:invertIfNegative val="0"/>
            <c:bubble3D val="0"/>
            <c:spPr>
              <a:solidFill>
                <a:schemeClr val="accent1">
                  <a:lumMod val="75000"/>
                </a:schemeClr>
              </a:solidFill>
              <a:ln>
                <a:noFill/>
              </a:ln>
              <a:effectLst/>
            </c:spPr>
          </c:dPt>
          <c:dPt>
            <c:idx val="10"/>
            <c:invertIfNegative val="0"/>
            <c:bubble3D val="0"/>
            <c:spPr>
              <a:solidFill>
                <a:schemeClr val="accent1">
                  <a:lumMod val="75000"/>
                </a:schemeClr>
              </a:solidFill>
              <a:ln>
                <a:noFill/>
              </a:ln>
              <a:effectLst/>
            </c:spPr>
          </c:dPt>
          <c:dPt>
            <c:idx val="13"/>
            <c:invertIfNegative val="0"/>
            <c:bubble3D val="0"/>
            <c:spPr>
              <a:solidFill>
                <a:schemeClr val="accent1">
                  <a:lumMod val="75000"/>
                </a:schemeClr>
              </a:solidFill>
              <a:ln>
                <a:noFill/>
              </a:ln>
              <a:effectLst/>
            </c:spPr>
          </c:dPt>
          <c:dPt>
            <c:idx val="16"/>
            <c:invertIfNegative val="0"/>
            <c:bubble3D val="0"/>
            <c:spPr>
              <a:solidFill>
                <a:schemeClr val="accent1">
                  <a:lumMod val="75000"/>
                </a:schemeClr>
              </a:solidFill>
              <a:ln>
                <a:noFill/>
              </a:ln>
              <a:effectLst/>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Graphs'!$N$19:$N$35</c:f>
              <c:numCache>
                <c:formatCode>0.00%</c:formatCode>
                <c:ptCount val="17"/>
                <c:pt idx="0">
                  <c:v>0.53237410071942448</c:v>
                </c:pt>
                <c:pt idx="1">
                  <c:v>0.60563380281690138</c:v>
                </c:pt>
                <c:pt idx="3">
                  <c:v>0.61428571428571432</c:v>
                </c:pt>
                <c:pt idx="4">
                  <c:v>0.66433566433566438</c:v>
                </c:pt>
                <c:pt idx="6">
                  <c:v>0.6058394160583942</c:v>
                </c:pt>
                <c:pt idx="7">
                  <c:v>0.69565217391304346</c:v>
                </c:pt>
                <c:pt idx="9">
                  <c:v>0.59124087591240881</c:v>
                </c:pt>
                <c:pt idx="10">
                  <c:v>0.60563380281690149</c:v>
                </c:pt>
                <c:pt idx="12">
                  <c:v>0.63636363636363635</c:v>
                </c:pt>
                <c:pt idx="13">
                  <c:v>0.60544217687074831</c:v>
                </c:pt>
                <c:pt idx="15">
                  <c:v>0.55000000000000004</c:v>
                </c:pt>
                <c:pt idx="16">
                  <c:v>0.65277777777777779</c:v>
                </c:pt>
              </c:numCache>
            </c:numRef>
          </c:val>
        </c:ser>
        <c:ser>
          <c:idx val="13"/>
          <c:order val="13"/>
          <c:tx>
            <c:strRef>
              <c:f>'Compliance Graphs'!$O$18</c:f>
              <c:strCache>
                <c:ptCount val="1"/>
                <c:pt idx="0">
                  <c:v>Neutral</c:v>
                </c:pt>
              </c:strCache>
            </c:strRef>
          </c:tx>
          <c:spPr>
            <a:solidFill>
              <a:schemeClr val="accent2">
                <a:lumMod val="80000"/>
                <a:lumOff val="20000"/>
              </a:schemeClr>
            </a:solidFill>
            <a:ln>
              <a:noFill/>
            </a:ln>
            <a:effectLst/>
          </c:spPr>
          <c:invertIfNegative val="0"/>
          <c:dPt>
            <c:idx val="1"/>
            <c:invertIfNegative val="0"/>
            <c:bubble3D val="0"/>
            <c:spPr>
              <a:solidFill>
                <a:schemeClr val="accent2">
                  <a:lumMod val="75000"/>
                </a:schemeClr>
              </a:solidFill>
              <a:ln>
                <a:noFill/>
              </a:ln>
              <a:effectLst/>
            </c:spPr>
          </c:dPt>
          <c:dPt>
            <c:idx val="4"/>
            <c:invertIfNegative val="0"/>
            <c:bubble3D val="0"/>
            <c:spPr>
              <a:solidFill>
                <a:schemeClr val="accent2">
                  <a:lumMod val="75000"/>
                </a:schemeClr>
              </a:solidFill>
              <a:ln>
                <a:noFill/>
              </a:ln>
              <a:effectLst/>
            </c:spPr>
          </c:dPt>
          <c:dPt>
            <c:idx val="7"/>
            <c:invertIfNegative val="0"/>
            <c:bubble3D val="0"/>
            <c:spPr>
              <a:solidFill>
                <a:schemeClr val="accent2">
                  <a:lumMod val="75000"/>
                </a:schemeClr>
              </a:solidFill>
              <a:ln>
                <a:noFill/>
              </a:ln>
              <a:effectLst/>
            </c:spPr>
          </c:dPt>
          <c:dPt>
            <c:idx val="10"/>
            <c:invertIfNegative val="0"/>
            <c:bubble3D val="0"/>
            <c:spPr>
              <a:solidFill>
                <a:schemeClr val="accent2">
                  <a:lumMod val="75000"/>
                </a:schemeClr>
              </a:solidFill>
              <a:ln>
                <a:noFill/>
              </a:ln>
              <a:effectLst/>
            </c:spPr>
          </c:dPt>
          <c:dPt>
            <c:idx val="13"/>
            <c:invertIfNegative val="0"/>
            <c:bubble3D val="0"/>
            <c:spPr>
              <a:solidFill>
                <a:schemeClr val="accent2">
                  <a:lumMod val="75000"/>
                </a:schemeClr>
              </a:solidFill>
              <a:ln>
                <a:noFill/>
              </a:ln>
              <a:effectLst/>
            </c:spPr>
          </c:dPt>
          <c:dPt>
            <c:idx val="16"/>
            <c:invertIfNegative val="0"/>
            <c:bubble3D val="0"/>
            <c:spPr>
              <a:solidFill>
                <a:schemeClr val="accent2">
                  <a:lumMod val="75000"/>
                </a:schemeClr>
              </a:solidFill>
              <a:ln>
                <a:noFill/>
              </a:ln>
              <a:effectLst/>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Graphs'!$O$19:$O$35</c:f>
              <c:numCache>
                <c:formatCode>0.00%</c:formatCode>
                <c:ptCount val="17"/>
                <c:pt idx="0">
                  <c:v>0.33812949640287771</c:v>
                </c:pt>
                <c:pt idx="1">
                  <c:v>0.28169014084507044</c:v>
                </c:pt>
                <c:pt idx="3">
                  <c:v>0.26428571428571429</c:v>
                </c:pt>
                <c:pt idx="4">
                  <c:v>0.23776223776223776</c:v>
                </c:pt>
                <c:pt idx="6">
                  <c:v>0.32116788321167883</c:v>
                </c:pt>
                <c:pt idx="7">
                  <c:v>0.2608695652173913</c:v>
                </c:pt>
                <c:pt idx="9">
                  <c:v>0.30656934306569344</c:v>
                </c:pt>
                <c:pt idx="10">
                  <c:v>0.27464788732394368</c:v>
                </c:pt>
                <c:pt idx="12">
                  <c:v>0.23776223776223776</c:v>
                </c:pt>
                <c:pt idx="13">
                  <c:v>0.29931972789115646</c:v>
                </c:pt>
                <c:pt idx="15">
                  <c:v>0.37142857142857144</c:v>
                </c:pt>
                <c:pt idx="16">
                  <c:v>0.27083333333333331</c:v>
                </c:pt>
              </c:numCache>
            </c:numRef>
          </c:val>
        </c:ser>
        <c:ser>
          <c:idx val="14"/>
          <c:order val="14"/>
          <c:tx>
            <c:strRef>
              <c:f>'Compliance Graphs'!$P$18</c:f>
              <c:strCache>
                <c:ptCount val="1"/>
                <c:pt idx="0">
                  <c:v>Dissatisfied total          The 17-18 totals (darker colours) are on the lower bar</c:v>
                </c:pt>
              </c:strCache>
            </c:strRef>
          </c:tx>
          <c:spPr>
            <a:solidFill>
              <a:schemeClr val="bg2">
                <a:lumMod val="90000"/>
              </a:schemeClr>
            </a:solidFill>
            <a:ln>
              <a:noFill/>
            </a:ln>
            <a:effectLst/>
          </c:spPr>
          <c:invertIfNegative val="0"/>
          <c:dPt>
            <c:idx val="1"/>
            <c:invertIfNegative val="0"/>
            <c:bubble3D val="0"/>
            <c:spPr>
              <a:solidFill>
                <a:schemeClr val="bg2">
                  <a:lumMod val="50000"/>
                </a:schemeClr>
              </a:solidFill>
              <a:ln>
                <a:noFill/>
              </a:ln>
              <a:effectLst/>
            </c:spPr>
          </c:dPt>
          <c:dPt>
            <c:idx val="4"/>
            <c:invertIfNegative val="0"/>
            <c:bubble3D val="0"/>
            <c:spPr>
              <a:solidFill>
                <a:schemeClr val="bg2">
                  <a:lumMod val="50000"/>
                </a:schemeClr>
              </a:solidFill>
              <a:ln>
                <a:noFill/>
              </a:ln>
              <a:effectLst/>
            </c:spPr>
          </c:dPt>
          <c:dPt>
            <c:idx val="7"/>
            <c:invertIfNegative val="0"/>
            <c:bubble3D val="0"/>
            <c:spPr>
              <a:solidFill>
                <a:schemeClr val="bg2">
                  <a:lumMod val="50000"/>
                </a:schemeClr>
              </a:solidFill>
              <a:ln>
                <a:noFill/>
              </a:ln>
              <a:effectLst/>
            </c:spPr>
          </c:dPt>
          <c:dPt>
            <c:idx val="10"/>
            <c:invertIfNegative val="0"/>
            <c:bubble3D val="0"/>
            <c:spPr>
              <a:solidFill>
                <a:schemeClr val="bg2">
                  <a:lumMod val="50000"/>
                </a:schemeClr>
              </a:solidFill>
              <a:ln>
                <a:noFill/>
              </a:ln>
              <a:effectLst/>
            </c:spPr>
          </c:dPt>
          <c:dPt>
            <c:idx val="13"/>
            <c:invertIfNegative val="0"/>
            <c:bubble3D val="0"/>
            <c:spPr>
              <a:solidFill>
                <a:schemeClr val="bg2">
                  <a:lumMod val="50000"/>
                </a:schemeClr>
              </a:solidFill>
              <a:ln>
                <a:noFill/>
              </a:ln>
              <a:effectLst/>
            </c:spPr>
          </c:dPt>
          <c:dPt>
            <c:idx val="16"/>
            <c:invertIfNegative val="0"/>
            <c:bubble3D val="0"/>
            <c:spPr>
              <a:solidFill>
                <a:schemeClr val="bg2">
                  <a:lumMod val="50000"/>
                </a:schemeClr>
              </a:solidFill>
              <a:ln>
                <a:noFill/>
              </a:ln>
              <a:effectLst/>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'Compliance Graphs'!$A$19:$A$35</c:f>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f>'Compliance Graphs'!$P$19:$P$35</c:f>
              <c:numCache>
                <c:formatCode>0.00%</c:formatCode>
                <c:ptCount val="17"/>
                <c:pt idx="0">
                  <c:v>0.12949640287769784</c:v>
                </c:pt>
                <c:pt idx="1">
                  <c:v>0.11267605633802816</c:v>
                </c:pt>
                <c:pt idx="3">
                  <c:v>0.12142857142857143</c:v>
                </c:pt>
                <c:pt idx="4">
                  <c:v>9.7902097902097904E-2</c:v>
                </c:pt>
                <c:pt idx="6">
                  <c:v>7.2992700729927001E-2</c:v>
                </c:pt>
                <c:pt idx="7">
                  <c:v>4.3478260869565216E-2</c:v>
                </c:pt>
                <c:pt idx="9">
                  <c:v>0.1021897810218978</c:v>
                </c:pt>
                <c:pt idx="10">
                  <c:v>0.11971830985915494</c:v>
                </c:pt>
                <c:pt idx="12">
                  <c:v>0.12587412587412589</c:v>
                </c:pt>
                <c:pt idx="13">
                  <c:v>9.5238095238095247E-2</c:v>
                </c:pt>
                <c:pt idx="15">
                  <c:v>7.857142857142857E-2</c:v>
                </c:pt>
                <c:pt idx="16">
                  <c:v>7.6388888888888895E-2</c:v>
                </c:pt>
              </c:numCache>
            </c:numRef>
          </c:val>
        </c:ser>
        <c:dLbls>
          <c:dLblPos val="ctr"/>
          <c:showLegendKey val="0"/>
          <c:showVal val="1"/>
          <c:showCatName val="0"/>
          <c:showSerName val="0"/>
          <c:showPercent val="0"/>
          <c:showBubbleSize val="0"/>
        </c:dLbls>
        <c:gapWidth val="50"/>
        <c:overlap val="100"/>
        <c:axId val="407329776"/>
        <c:axId val="406300128"/>
        <c:extLst>
          <c:ext xmlns:c15="http://schemas.microsoft.com/office/drawing/2012/chart" uri="{02D57815-91ED-43cb-92C2-25804820EDAC}">
            <c15:filteredBarSeries>
              <c15:ser>
                <c:idx val="11"/>
                <c:order val="11"/>
                <c:tx>
                  <c:strRef>
                    <c:extLst>
                      <c:ext uri="{02D57815-91ED-43cb-92C2-25804820EDAC}">
                        <c15:formulaRef>
                          <c15:sqref>'Compliance Graphs'!$M$18</c15:sqref>
                        </c15:formulaRef>
                      </c:ext>
                    </c:extLst>
                    <c:strCache>
                      <c:ptCount val="1"/>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'Compliance Graphs'!$A$19:$A$35</c15:sqref>
                        </c15:formulaRef>
                      </c:ext>
                    </c:extLst>
                    <c:strCache>
                      <c:ptCount val="16"/>
                      <c:pt idx="0">
                        <c:v>1. Annual monitoring program and activities are well publicised</c:v>
                      </c:pt>
                      <c:pt idx="3">
                        <c:v>2. Check testing policy, procedures and results are clearly communicated</c:v>
                      </c:pt>
                      <c:pt idx="6">
                        <c:v>3. The number of products check tested is sufficient</c:v>
                      </c:pt>
                      <c:pt idx="9">
                        <c:v>4. Details about breaches are accessible and act as a deterrent to non-compliance</c:v>
                      </c:pt>
                      <c:pt idx="12">
                        <c:v>5. There is an appropriate level of education and engagement to assist suppliers</c:v>
                      </c:pt>
                      <c:pt idx="15">
                        <c:v>6. Compliance activities take into consideration the operational needs of regulated businesses</c:v>
                      </c:pt>
                    </c:strCache>
                  </c:strRef>
                </c:cat>
                <c:val>
                  <c:numRef>
                    <c:extLst>
                      <c:ext uri="{02D57815-91ED-43cb-92C2-25804820EDAC}">
                        <c15:formulaRef>
                          <c15:sqref>'Compliance Graphs'!$M$19:$M$35</c15:sqref>
                        </c15:formulaRef>
                      </c:ext>
                    </c:extLst>
                    <c:numCache>
                      <c:formatCode>General</c:formatCode>
                      <c:ptCount val="17"/>
                    </c:numCache>
                  </c:numRef>
                </c:val>
              </c15:ser>
            </c15:filteredBarSeries>
          </c:ext>
        </c:extLst>
      </c:barChart>
      <c:catAx>
        <c:axId val="407329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300128"/>
        <c:crosses val="autoZero"/>
        <c:auto val="1"/>
        <c:lblAlgn val="ctr"/>
        <c:lblOffset val="100"/>
        <c:noMultiLvlLbl val="0"/>
      </c:catAx>
      <c:valAx>
        <c:axId val="406300128"/>
        <c:scaling>
          <c:orientation val="minMax"/>
        </c:scaling>
        <c:delete val="1"/>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Percentage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407329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Description xmlns="dca4b455-8b9b-405b-8a0f-4e99acf53253">Summary report of the 2018 stakeholder survey. This version is used for up-the-line and external reporting.</DocumentDescription>
    <Branch xmlns="dca4b455-8b9b-405b-8a0f-4e99acf53253">
      <UserInfo>
        <DisplayName/>
        <AccountId xsi:nil="true"/>
        <AccountType/>
      </UserInfo>
    </Branch>
    <RecordNumber xmlns="dca4b455-8b9b-405b-8a0f-4e99acf53253" xsi:nil="true"/>
    <Approval xmlns="dca4b455-8b9b-405b-8a0f-4e99acf53253" xsi:nil="true"/>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13DD0D1E0504704A9A546361C743C587010052C3201D688E074F91E2238D6540DB0A" ma:contentTypeVersion="7" ma:contentTypeDescription="Create a new Word Document" ma:contentTypeScope="" ma:versionID="0663a4aea258d91443b48f59404351f4">
  <xsd:schema xmlns:xsd="http://www.w3.org/2001/XMLSchema" xmlns:xs="http://www.w3.org/2001/XMLSchema" xmlns:p="http://schemas.microsoft.com/office/2006/metadata/properties" xmlns:ns2="dca4b455-8b9b-405b-8a0f-4e99acf53253" targetNamespace="http://schemas.microsoft.com/office/2006/metadata/properties" ma:root="true" ma:fieldsID="48a49f866e6a01abe5e51b62dfb4108d" ns2:_="">
    <xsd:import namespace="dca4b455-8b9b-405b-8a0f-4e99acf53253"/>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7125-CD60-4FF3-91A5-658197E63412}">
  <ds:schemaRefs>
    <ds:schemaRef ds:uri="http://schemas.microsoft.com/sharepoint/v3/contenttype/forms"/>
  </ds:schemaRefs>
</ds:datastoreItem>
</file>

<file path=customXml/itemProps2.xml><?xml version="1.0" encoding="utf-8"?>
<ds:datastoreItem xmlns:ds="http://schemas.openxmlformats.org/officeDocument/2006/customXml" ds:itemID="{CB505ADB-7265-4004-8AAE-F6745377120C}">
  <ds:schemaRef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dca4b455-8b9b-405b-8a0f-4e99acf5325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20D5564-426C-40B7-8A48-526CFB165CDC}">
  <ds:schemaRefs>
    <ds:schemaRef ds:uri="http://schemas.microsoft.com/sharepoint/events"/>
  </ds:schemaRefs>
</ds:datastoreItem>
</file>

<file path=customXml/itemProps4.xml><?xml version="1.0" encoding="utf-8"?>
<ds:datastoreItem xmlns:ds="http://schemas.openxmlformats.org/officeDocument/2006/customXml" ds:itemID="{E66CB006-173E-4B36-B2CA-865B46ECE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b455-8b9b-405b-8a0f-4e99acf53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6441FD-4828-4309-8184-302A1B2BE041}">
  <ds:schemaRefs>
    <ds:schemaRef ds:uri="http://schemas.microsoft.com/office/2006/metadata/customXsn"/>
  </ds:schemaRefs>
</ds:datastoreItem>
</file>

<file path=customXml/itemProps6.xml><?xml version="1.0" encoding="utf-8"?>
<ds:datastoreItem xmlns:ds="http://schemas.openxmlformats.org/officeDocument/2006/customXml" ds:itemID="{4B6C6976-91E2-415D-AEE4-F5939AD6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34C8F78E.dotm</Template>
  <TotalTime>0</TotalTime>
  <Pages>5</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GEMS stakeholder 2018 survey results published</vt:lpstr>
    </vt:vector>
  </TitlesOfParts>
  <Company>DEWHA</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GEMS stakeholder 2018 survey results published</dc:title>
  <dc:creator>SEWPAC</dc:creator>
  <dc:description/>
  <cp:lastModifiedBy>Norris, Christopher</cp:lastModifiedBy>
  <cp:revision>2</cp:revision>
  <cp:lastPrinted>2018-06-04T01:30:00Z</cp:lastPrinted>
  <dcterms:created xsi:type="dcterms:W3CDTF">2018-07-13T05:20:00Z</dcterms:created>
  <dcterms:modified xsi:type="dcterms:W3CDTF">2018-07-13T05:20:00Z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DRAFT </vt:lpwstr>
  </property>
  <property fmtid="{D5CDD505-2E9C-101B-9397-08002B2CF9AE}" pid="3" name="ContentTypeId">
    <vt:lpwstr>0x01010013DD0D1E0504704A9A546361C743C587010052C3201D688E074F91E2238D6540DB0A</vt:lpwstr>
  </property>
  <property fmtid="{D5CDD505-2E9C-101B-9397-08002B2CF9AE}" pid="4" name="PublishingContact">
    <vt:lpwstr/>
  </property>
  <property fmtid="{D5CDD505-2E9C-101B-9397-08002B2CF9AE}" pid="5" name="PublishingContactPicture">
    <vt:lpwstr>, </vt:lpwstr>
  </property>
  <property fmtid="{D5CDD505-2E9C-101B-9397-08002B2CF9AE}" pid="6" name="RedirectURL">
    <vt:lpwstr>, </vt:lpwstr>
  </property>
  <property fmtid="{D5CDD505-2E9C-101B-9397-08002B2CF9AE}" pid="7" name="PublishingVariationRelationshipLinkFieldID">
    <vt:lpwstr>, </vt:lpwstr>
  </property>
  <property fmtid="{D5CDD505-2E9C-101B-9397-08002B2CF9AE}" pid="8" name="RecordPoint_WorkflowType">
    <vt:lpwstr>ActiveSubmitStub</vt:lpwstr>
  </property>
  <property fmtid="{D5CDD505-2E9C-101B-9397-08002B2CF9AE}" pid="9" name="RecordPoint_ActiveItemSiteId">
    <vt:lpwstr>{5d5943af-3559-4aa8-b232-61db5aa26396}</vt:lpwstr>
  </property>
  <property fmtid="{D5CDD505-2E9C-101B-9397-08002B2CF9AE}" pid="10" name="RecordPoint_ActiveItemListId">
    <vt:lpwstr>{b233fcb5-9838-4857-8df9-6ea7f0b28bed}</vt:lpwstr>
  </property>
  <property fmtid="{D5CDD505-2E9C-101B-9397-08002B2CF9AE}" pid="11" name="RecordPoint_ActiveItemUniqueId">
    <vt:lpwstr>{d41131a1-e56e-471b-b025-bc2bd5e00f4f}</vt:lpwstr>
  </property>
  <property fmtid="{D5CDD505-2E9C-101B-9397-08002B2CF9AE}" pid="12" name="RecordPoint_ActiveItemWebId">
    <vt:lpwstr>{68fee9b5-4f7b-4b2f-a0dd-073f48edd636}</vt:lpwstr>
  </property>
  <property fmtid="{D5CDD505-2E9C-101B-9397-08002B2CF9AE}" pid="13" name="RecordPoint_SubmissionDate">
    <vt:lpwstr/>
  </property>
  <property fmtid="{D5CDD505-2E9C-101B-9397-08002B2CF9AE}" pid="14" name="RecordPoint_RecordNumberSubmitted">
    <vt:lpwstr/>
  </property>
  <property fmtid="{D5CDD505-2E9C-101B-9397-08002B2CF9AE}" pid="15" name="RecordPoint_RecordFormat">
    <vt:lpwstr/>
  </property>
  <property fmtid="{D5CDD505-2E9C-101B-9397-08002B2CF9AE}" pid="16" name="RecordPoint_ActiveItemMoved">
    <vt:lpwstr/>
  </property>
  <property fmtid="{D5CDD505-2E9C-101B-9397-08002B2CF9AE}" pid="17" name="RecordPoint_SubmissionCompleted">
    <vt:lpwstr/>
  </property>
</Properties>
</file>