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26" w:rsidRDefault="00811D43" w:rsidP="00FD01FB">
      <w:pPr>
        <w:pStyle w:val="Title"/>
        <w:ind w:right="662"/>
      </w:pPr>
      <w:bookmarkStart w:id="0" w:name="_GoBack"/>
      <w:bookmarkEnd w:id="0"/>
      <w:r>
        <w:rPr>
          <w:noProof/>
          <w:lang w:eastAsia="en-AU"/>
        </w:rPr>
        <w:drawing>
          <wp:anchor distT="0" distB="0" distL="114300" distR="114300" simplePos="0" relativeHeight="251659264" behindDoc="0" locked="0" layoutInCell="1" allowOverlap="1" wp14:anchorId="3820305E" wp14:editId="2E67DB76">
            <wp:simplePos x="0" y="0"/>
            <wp:positionH relativeFrom="column">
              <wp:posOffset>-417830</wp:posOffset>
            </wp:positionH>
            <wp:positionV relativeFrom="paragraph">
              <wp:posOffset>-382270</wp:posOffset>
            </wp:positionV>
            <wp:extent cx="2448560" cy="727710"/>
            <wp:effectExtent l="0" t="0" r="0" b="8890"/>
            <wp:wrapTopAndBottom/>
            <wp:docPr id="4" name="Picture 4"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9">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5D3D">
        <w:rPr>
          <w:noProof/>
          <w:lang w:eastAsia="en-AU"/>
        </w:rPr>
        <w:drawing>
          <wp:anchor distT="0" distB="0" distL="114300" distR="114300" simplePos="0" relativeHeight="251657215" behindDoc="1" locked="0" layoutInCell="1" allowOverlap="1" wp14:anchorId="21FE14BE" wp14:editId="4DE1488D">
            <wp:simplePos x="0" y="0"/>
            <wp:positionH relativeFrom="column">
              <wp:posOffset>-784860</wp:posOffset>
            </wp:positionH>
            <wp:positionV relativeFrom="paragraph">
              <wp:posOffset>-665480</wp:posOffset>
            </wp:positionV>
            <wp:extent cx="7272000" cy="10286287"/>
            <wp:effectExtent l="0" t="0" r="0" b="1270"/>
            <wp:wrapNone/>
            <wp:docPr id="1" name="Picture 1"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a:blip r:embed="rId10">
                      <a:extLst>
                        <a:ext uri="{28A0092B-C50C-407E-A947-70E740481C1C}">
                          <a14:useLocalDpi xmlns:a14="http://schemas.microsoft.com/office/drawing/2010/main" val="0"/>
                        </a:ext>
                      </a:extLst>
                    </a:blip>
                    <a:stretch>
                      <a:fillRect/>
                    </a:stretch>
                  </pic:blipFill>
                  <pic:spPr>
                    <a:xfrm>
                      <a:off x="0" y="0"/>
                      <a:ext cx="7272000" cy="10286287"/>
                    </a:xfrm>
                    <a:prstGeom prst="rect">
                      <a:avLst/>
                    </a:prstGeom>
                  </pic:spPr>
                </pic:pic>
              </a:graphicData>
            </a:graphic>
            <wp14:sizeRelH relativeFrom="page">
              <wp14:pctWidth>0</wp14:pctWidth>
            </wp14:sizeRelH>
            <wp14:sizeRelV relativeFrom="page">
              <wp14:pctHeight>0</wp14:pctHeight>
            </wp14:sizeRelV>
          </wp:anchor>
        </w:drawing>
      </w:r>
      <w:r w:rsidR="00E44D0E">
        <w:t>2016 GEMS Fees Review Issues Paper</w:t>
      </w:r>
    </w:p>
    <w:p w:rsidR="002300AC" w:rsidRDefault="00E44D0E" w:rsidP="00FD01FB">
      <w:pPr>
        <w:pStyle w:val="Subtitle"/>
        <w:ind w:right="662"/>
      </w:pPr>
      <w:r>
        <w:t>Department of Industry, Innovation and Science</w:t>
      </w:r>
    </w:p>
    <w:p w:rsidR="00163B54" w:rsidRDefault="00E44D0E" w:rsidP="00FD01FB">
      <w:pPr>
        <w:pStyle w:val="Subtitle"/>
        <w:ind w:right="662"/>
      </w:pPr>
      <w:r>
        <w:t>March 2016</w:t>
      </w:r>
    </w:p>
    <w:p w:rsidR="001A2DC6" w:rsidRDefault="001A2DC6" w:rsidP="001A25AE">
      <w:pPr>
        <w:ind w:left="993" w:right="804"/>
        <w:rPr>
          <w:rStyle w:val="Hyperlink"/>
        </w:rPr>
      </w:pPr>
    </w:p>
    <w:p w:rsidR="001A2DC6" w:rsidRDefault="001A2DC6" w:rsidP="00163B54">
      <w:pPr>
        <w:rPr>
          <w:rStyle w:val="Hyperlink"/>
        </w:rPr>
        <w:sectPr w:rsidR="001A2DC6" w:rsidSect="0088639D">
          <w:footerReference w:type="even" r:id="rId11"/>
          <w:pgSz w:w="11906" w:h="16838"/>
          <w:pgMar w:top="1440" w:right="1440" w:bottom="1440" w:left="1440" w:header="708" w:footer="708" w:gutter="0"/>
          <w:cols w:space="708"/>
          <w:docGrid w:linePitch="360"/>
        </w:sectPr>
      </w:pPr>
    </w:p>
    <w:p w:rsidR="00CB2680" w:rsidRDefault="00CB2680" w:rsidP="00CB2680">
      <w:pPr>
        <w:pStyle w:val="TOCHeading"/>
      </w:pPr>
      <w:bookmarkStart w:id="1" w:name="_Toc419991345"/>
      <w:r>
        <w:lastRenderedPageBreak/>
        <w:t>Contents</w:t>
      </w:r>
    </w:p>
    <w:p w:rsidR="00C221F9" w:rsidRDefault="00B37916">
      <w:pPr>
        <w:pStyle w:val="TOC1"/>
        <w:tabs>
          <w:tab w:val="right" w:leader="dot" w:pos="9016"/>
        </w:tabs>
        <w:rPr>
          <w:rFonts w:eastAsiaTheme="minorEastAsia"/>
          <w:noProof/>
          <w:sz w:val="22"/>
          <w:lang w:eastAsia="en-AU"/>
        </w:rPr>
      </w:pPr>
      <w:r>
        <w:rPr>
          <w:b/>
          <w:bCs/>
        </w:rPr>
        <w:fldChar w:fldCharType="begin"/>
      </w:r>
      <w:r>
        <w:rPr>
          <w:b/>
          <w:bCs/>
        </w:rPr>
        <w:instrText xml:space="preserve"> TOC \o "1-4" </w:instrText>
      </w:r>
      <w:r>
        <w:rPr>
          <w:b/>
          <w:bCs/>
        </w:rPr>
        <w:fldChar w:fldCharType="separate"/>
      </w:r>
      <w:r w:rsidR="00C221F9">
        <w:rPr>
          <w:noProof/>
        </w:rPr>
        <w:t>Background</w:t>
      </w:r>
      <w:r w:rsidR="00C221F9">
        <w:rPr>
          <w:noProof/>
        </w:rPr>
        <w:tab/>
      </w:r>
      <w:r w:rsidR="00C221F9">
        <w:rPr>
          <w:noProof/>
        </w:rPr>
        <w:fldChar w:fldCharType="begin"/>
      </w:r>
      <w:r w:rsidR="00C221F9">
        <w:rPr>
          <w:noProof/>
        </w:rPr>
        <w:instrText xml:space="preserve"> PAGEREF _Toc446056327 \h </w:instrText>
      </w:r>
      <w:r w:rsidR="00C221F9">
        <w:rPr>
          <w:noProof/>
        </w:rPr>
      </w:r>
      <w:r w:rsidR="00C221F9">
        <w:rPr>
          <w:noProof/>
        </w:rPr>
        <w:fldChar w:fldCharType="separate"/>
      </w:r>
      <w:r w:rsidR="00FB39CD">
        <w:rPr>
          <w:noProof/>
        </w:rPr>
        <w:t>3</w:t>
      </w:r>
      <w:r w:rsidR="00C221F9">
        <w:rPr>
          <w:noProof/>
        </w:rPr>
        <w:fldChar w:fldCharType="end"/>
      </w:r>
    </w:p>
    <w:p w:rsidR="00C221F9" w:rsidRDefault="00C221F9">
      <w:pPr>
        <w:pStyle w:val="TOC1"/>
        <w:tabs>
          <w:tab w:val="right" w:leader="dot" w:pos="9016"/>
        </w:tabs>
        <w:rPr>
          <w:rFonts w:eastAsiaTheme="minorEastAsia"/>
          <w:noProof/>
          <w:sz w:val="22"/>
          <w:lang w:eastAsia="en-AU"/>
        </w:rPr>
      </w:pPr>
      <w:r>
        <w:rPr>
          <w:noProof/>
        </w:rPr>
        <w:t>Purpose of the Review</w:t>
      </w:r>
      <w:r>
        <w:rPr>
          <w:noProof/>
        </w:rPr>
        <w:tab/>
      </w:r>
      <w:r>
        <w:rPr>
          <w:noProof/>
        </w:rPr>
        <w:fldChar w:fldCharType="begin"/>
      </w:r>
      <w:r>
        <w:rPr>
          <w:noProof/>
        </w:rPr>
        <w:instrText xml:space="preserve"> PAGEREF _Toc446056328 \h </w:instrText>
      </w:r>
      <w:r>
        <w:rPr>
          <w:noProof/>
        </w:rPr>
      </w:r>
      <w:r>
        <w:rPr>
          <w:noProof/>
        </w:rPr>
        <w:fldChar w:fldCharType="separate"/>
      </w:r>
      <w:r w:rsidR="00FB39CD">
        <w:rPr>
          <w:noProof/>
        </w:rPr>
        <w:t>3</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Out of scope issues</w:t>
      </w:r>
      <w:r>
        <w:rPr>
          <w:noProof/>
        </w:rPr>
        <w:tab/>
      </w:r>
      <w:r>
        <w:rPr>
          <w:noProof/>
        </w:rPr>
        <w:fldChar w:fldCharType="begin"/>
      </w:r>
      <w:r>
        <w:rPr>
          <w:noProof/>
        </w:rPr>
        <w:instrText xml:space="preserve"> PAGEREF _Toc446056329 \h </w:instrText>
      </w:r>
      <w:r>
        <w:rPr>
          <w:noProof/>
        </w:rPr>
      </w:r>
      <w:r>
        <w:rPr>
          <w:noProof/>
        </w:rPr>
        <w:fldChar w:fldCharType="separate"/>
      </w:r>
      <w:r w:rsidR="00FB39CD">
        <w:rPr>
          <w:noProof/>
        </w:rPr>
        <w:t>3</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Policy Framework for the Review</w:t>
      </w:r>
      <w:r>
        <w:rPr>
          <w:noProof/>
        </w:rPr>
        <w:tab/>
      </w:r>
      <w:r>
        <w:rPr>
          <w:noProof/>
        </w:rPr>
        <w:fldChar w:fldCharType="begin"/>
      </w:r>
      <w:r>
        <w:rPr>
          <w:noProof/>
        </w:rPr>
        <w:instrText xml:space="preserve"> PAGEREF _Toc446056330 \h </w:instrText>
      </w:r>
      <w:r>
        <w:rPr>
          <w:noProof/>
        </w:rPr>
      </w:r>
      <w:r>
        <w:rPr>
          <w:noProof/>
        </w:rPr>
        <w:fldChar w:fldCharType="separate"/>
      </w:r>
      <w:r w:rsidR="00FB39CD">
        <w:rPr>
          <w:noProof/>
        </w:rPr>
        <w:t>4</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Scope</w:t>
      </w:r>
      <w:r>
        <w:rPr>
          <w:noProof/>
        </w:rPr>
        <w:tab/>
      </w:r>
      <w:r>
        <w:rPr>
          <w:noProof/>
        </w:rPr>
        <w:fldChar w:fldCharType="begin"/>
      </w:r>
      <w:r>
        <w:rPr>
          <w:noProof/>
        </w:rPr>
        <w:instrText xml:space="preserve"> PAGEREF _Toc446056331 \h </w:instrText>
      </w:r>
      <w:r>
        <w:rPr>
          <w:noProof/>
        </w:rPr>
      </w:r>
      <w:r>
        <w:rPr>
          <w:noProof/>
        </w:rPr>
        <w:fldChar w:fldCharType="separate"/>
      </w:r>
      <w:r w:rsidR="00FB39CD">
        <w:rPr>
          <w:noProof/>
        </w:rPr>
        <w:t>4</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Stakeholder consultation process</w:t>
      </w:r>
      <w:r>
        <w:rPr>
          <w:noProof/>
        </w:rPr>
        <w:tab/>
      </w:r>
      <w:r>
        <w:rPr>
          <w:noProof/>
        </w:rPr>
        <w:fldChar w:fldCharType="begin"/>
      </w:r>
      <w:r>
        <w:rPr>
          <w:noProof/>
        </w:rPr>
        <w:instrText xml:space="preserve"> PAGEREF _Toc446056332 \h </w:instrText>
      </w:r>
      <w:r>
        <w:rPr>
          <w:noProof/>
        </w:rPr>
      </w:r>
      <w:r>
        <w:rPr>
          <w:noProof/>
        </w:rPr>
        <w:fldChar w:fldCharType="separate"/>
      </w:r>
      <w:r w:rsidR="00FB39CD">
        <w:rPr>
          <w:noProof/>
        </w:rPr>
        <w:t>4</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Next steps</w:t>
      </w:r>
      <w:r>
        <w:rPr>
          <w:noProof/>
        </w:rPr>
        <w:tab/>
      </w:r>
      <w:r>
        <w:rPr>
          <w:noProof/>
        </w:rPr>
        <w:fldChar w:fldCharType="begin"/>
      </w:r>
      <w:r>
        <w:rPr>
          <w:noProof/>
        </w:rPr>
        <w:instrText xml:space="preserve"> PAGEREF _Toc446056333 \h </w:instrText>
      </w:r>
      <w:r>
        <w:rPr>
          <w:noProof/>
        </w:rPr>
      </w:r>
      <w:r>
        <w:rPr>
          <w:noProof/>
        </w:rPr>
        <w:fldChar w:fldCharType="separate"/>
      </w:r>
      <w:r w:rsidR="00FB39CD">
        <w:rPr>
          <w:noProof/>
        </w:rPr>
        <w:t>5</w:t>
      </w:r>
      <w:r>
        <w:rPr>
          <w:noProof/>
        </w:rPr>
        <w:fldChar w:fldCharType="end"/>
      </w:r>
    </w:p>
    <w:p w:rsidR="00C221F9" w:rsidRDefault="00C221F9">
      <w:pPr>
        <w:pStyle w:val="TOC1"/>
        <w:tabs>
          <w:tab w:val="right" w:leader="dot" w:pos="9016"/>
        </w:tabs>
        <w:rPr>
          <w:rFonts w:eastAsiaTheme="minorEastAsia"/>
          <w:noProof/>
          <w:sz w:val="22"/>
          <w:lang w:eastAsia="en-AU"/>
        </w:rPr>
      </w:pPr>
      <w:r>
        <w:rPr>
          <w:noProof/>
        </w:rPr>
        <w:t>Timeline</w:t>
      </w:r>
      <w:r>
        <w:rPr>
          <w:noProof/>
        </w:rPr>
        <w:tab/>
      </w:r>
      <w:r>
        <w:rPr>
          <w:noProof/>
        </w:rPr>
        <w:fldChar w:fldCharType="begin"/>
      </w:r>
      <w:r>
        <w:rPr>
          <w:noProof/>
        </w:rPr>
        <w:instrText xml:space="preserve"> PAGEREF _Toc446056334 \h </w:instrText>
      </w:r>
      <w:r>
        <w:rPr>
          <w:noProof/>
        </w:rPr>
      </w:r>
      <w:r>
        <w:rPr>
          <w:noProof/>
        </w:rPr>
        <w:fldChar w:fldCharType="separate"/>
      </w:r>
      <w:r w:rsidR="00FB39CD">
        <w:rPr>
          <w:noProof/>
        </w:rPr>
        <w:t>5</w:t>
      </w:r>
      <w:r>
        <w:rPr>
          <w:noProof/>
        </w:rPr>
        <w:fldChar w:fldCharType="end"/>
      </w:r>
    </w:p>
    <w:p w:rsidR="00FD5DE8" w:rsidRDefault="00B37916" w:rsidP="00163B54">
      <w:pPr>
        <w:pStyle w:val="Heading1"/>
      </w:pPr>
      <w:r>
        <w:rPr>
          <w:rFonts w:asciiTheme="minorHAnsi" w:eastAsiaTheme="minorHAnsi" w:hAnsiTheme="minorHAnsi" w:cstheme="minorBidi"/>
          <w:b w:val="0"/>
          <w:bCs w:val="0"/>
          <w:color w:val="auto"/>
          <w:sz w:val="24"/>
          <w:szCs w:val="22"/>
        </w:rPr>
        <w:fldChar w:fldCharType="end"/>
      </w:r>
      <w:r w:rsidR="00FD5DE8">
        <w:br w:type="page"/>
      </w:r>
    </w:p>
    <w:p w:rsidR="00E44D0E" w:rsidRDefault="00E44D0E" w:rsidP="00C221F9">
      <w:pPr>
        <w:pStyle w:val="Heading1"/>
      </w:pPr>
      <w:bookmarkStart w:id="2" w:name="_Toc446056327"/>
      <w:r>
        <w:lastRenderedPageBreak/>
        <w:t>Background</w:t>
      </w:r>
      <w:bookmarkEnd w:id="2"/>
    </w:p>
    <w:p w:rsidR="00E44D0E" w:rsidRDefault="00E44D0E" w:rsidP="00E44D0E">
      <w:pPr>
        <w:spacing w:after="0"/>
      </w:pPr>
    </w:p>
    <w:p w:rsidR="00E44D0E" w:rsidRDefault="00E44D0E" w:rsidP="00C221F9">
      <w:pPr>
        <w:spacing w:after="0" w:line="240" w:lineRule="auto"/>
      </w:pPr>
      <w:r>
        <w:t xml:space="preserve">In 2016, the Australian Government is conducting a review of the fees charged under the </w:t>
      </w:r>
      <w:r w:rsidRPr="00C221F9">
        <w:rPr>
          <w:i/>
        </w:rPr>
        <w:t>Greenhouse and Energy Minimum Standards (GEMS) Act</w:t>
      </w:r>
      <w:r w:rsidR="00C221F9" w:rsidRPr="00C221F9">
        <w:rPr>
          <w:i/>
        </w:rPr>
        <w:t xml:space="preserve"> 2012</w:t>
      </w:r>
      <w:r>
        <w:t xml:space="preserve">, to </w:t>
      </w:r>
      <w:r w:rsidR="004E6C9F">
        <w:t>meet the expectation that they would be reviewed every three years to facilitate a move towards full cost recovery over time.</w:t>
      </w:r>
    </w:p>
    <w:p w:rsidR="004E6C9F" w:rsidRDefault="004E6C9F" w:rsidP="00C221F9">
      <w:pPr>
        <w:spacing w:after="0" w:line="240" w:lineRule="auto"/>
      </w:pPr>
    </w:p>
    <w:p w:rsidR="00E44D0E" w:rsidRDefault="00E44D0E" w:rsidP="00C221F9">
      <w:pPr>
        <w:spacing w:after="0" w:line="240" w:lineRule="auto"/>
      </w:pPr>
      <w:r>
        <w:t xml:space="preserve">The review is being conducted by the Australian Government Department of Industry, Innovation and Science, in which the GEMS Regulator is based. </w:t>
      </w:r>
      <w:r>
        <w:br/>
      </w:r>
    </w:p>
    <w:p w:rsidR="00E44D0E" w:rsidRDefault="00E44D0E" w:rsidP="00C221F9">
      <w:pPr>
        <w:spacing w:after="0" w:line="240" w:lineRule="auto"/>
      </w:pPr>
      <w:r w:rsidRPr="007B7133">
        <w:t xml:space="preserve">The objective of the GEMS Act is to promote the development and adoption of products that use less energy, produce fewer greenhouse gas emissions, or contribute to reducing the amount of energy used, or greenhouse gases produced, by other products. </w:t>
      </w:r>
      <w:r>
        <w:t xml:space="preserve">The legislation underpins the work in Australia of the Equipment Energy Efficiency (E3) Program, a joint Commonwealth and State and Territory Government program. </w:t>
      </w:r>
    </w:p>
    <w:p w:rsidR="00E44D0E" w:rsidRDefault="00E44D0E" w:rsidP="00C221F9">
      <w:pPr>
        <w:spacing w:after="0" w:line="240" w:lineRule="auto"/>
      </w:pPr>
    </w:p>
    <w:p w:rsidR="00E44D0E" w:rsidRDefault="00E44D0E" w:rsidP="00C221F9">
      <w:pPr>
        <w:spacing w:after="0" w:line="240" w:lineRule="auto"/>
      </w:pPr>
      <w:r>
        <w:t xml:space="preserve">Importers, manufacturers or suppliers of products that are regulated for energy efficiency under the GEMS Act are required to register their products, for which they are charged a fee.  </w:t>
      </w:r>
      <w:r w:rsidRPr="007B7133">
        <w:t xml:space="preserve">The registration fees collected </w:t>
      </w:r>
      <w:r>
        <w:t>by the Commonwealth recover</w:t>
      </w:r>
      <w:r w:rsidRPr="007B7133">
        <w:t xml:space="preserve"> </w:t>
      </w:r>
      <w:r>
        <w:t xml:space="preserve">part of </w:t>
      </w:r>
      <w:r w:rsidRPr="007B7133">
        <w:t xml:space="preserve">the costs of providing a product registration service and </w:t>
      </w:r>
      <w:r>
        <w:t xml:space="preserve">the </w:t>
      </w:r>
      <w:r w:rsidRPr="007B7133">
        <w:t xml:space="preserve">compliance monitoring and enforcement program </w:t>
      </w:r>
      <w:r>
        <w:t xml:space="preserve">required </w:t>
      </w:r>
      <w:r w:rsidRPr="007B7133">
        <w:t>under the Act.</w:t>
      </w:r>
      <w:r>
        <w:t xml:space="preserve"> Approval to charge these fees derives from the </w:t>
      </w:r>
      <w:r w:rsidRPr="00C221F9">
        <w:rPr>
          <w:i/>
        </w:rPr>
        <w:t>GEMS (Registration Fees) Act 2012</w:t>
      </w:r>
      <w:r>
        <w:t>.</w:t>
      </w:r>
    </w:p>
    <w:p w:rsidR="00C221F9" w:rsidRDefault="00C221F9" w:rsidP="00C221F9">
      <w:pPr>
        <w:spacing w:after="0" w:line="240" w:lineRule="auto"/>
      </w:pPr>
    </w:p>
    <w:p w:rsidR="00E44D0E" w:rsidRDefault="00E44D0E" w:rsidP="00C221F9">
      <w:pPr>
        <w:spacing w:after="0" w:line="240" w:lineRule="auto"/>
      </w:pPr>
      <w:r>
        <w:t>The Australian Government’s approval for the program in 2012 was on the basis of phased in cost recovery, with the clear expectation that it would move over time towards the full recovery of costs. The current rate of cost recovery is around 50 per cent. That is, around 50 per cent of the costs of the program are covered by the registration fees collected.</w:t>
      </w:r>
    </w:p>
    <w:p w:rsidR="00C221F9" w:rsidRDefault="00C221F9" w:rsidP="00C221F9">
      <w:pPr>
        <w:spacing w:after="0" w:line="240" w:lineRule="auto"/>
      </w:pPr>
    </w:p>
    <w:p w:rsidR="00E44D0E" w:rsidRDefault="00E44D0E" w:rsidP="00C221F9">
      <w:pPr>
        <w:spacing w:after="0" w:line="240" w:lineRule="auto"/>
      </w:pPr>
      <w:r>
        <w:t xml:space="preserve">In 2015, an independent review of the GEMS scheme found that, in general, it was operating well and meeting its objectives.  The review recommended that the Commonwealth take account of stakeholders’ views in its 2016 review of the fees charged under GEMS. This purpose of this paper is to guide stakeholders in framing their views around the issues to be considered under the Fees Review. </w:t>
      </w:r>
    </w:p>
    <w:p w:rsidR="00E44D0E" w:rsidRDefault="00E44D0E" w:rsidP="00C221F9">
      <w:pPr>
        <w:pStyle w:val="Heading1"/>
      </w:pPr>
      <w:bookmarkStart w:id="3" w:name="_Toc446056328"/>
      <w:r>
        <w:t>Purpose of the Review</w:t>
      </w:r>
      <w:bookmarkEnd w:id="3"/>
    </w:p>
    <w:p w:rsidR="00E44D0E" w:rsidRDefault="00E44D0E" w:rsidP="00E44D0E">
      <w:r>
        <w:t>The purpose of the review is:</w:t>
      </w:r>
    </w:p>
    <w:p w:rsidR="00E44D0E" w:rsidRPr="00AB5425" w:rsidRDefault="00E44D0E" w:rsidP="00AB5425">
      <w:pPr>
        <w:pStyle w:val="Bullets1stindent"/>
        <w:rPr>
          <w:rFonts w:asciiTheme="minorHAnsi" w:hAnsiTheme="minorHAnsi"/>
          <w:sz w:val="20"/>
          <w:szCs w:val="20"/>
        </w:rPr>
      </w:pPr>
      <w:r w:rsidRPr="00AB5425">
        <w:rPr>
          <w:rFonts w:asciiTheme="minorHAnsi" w:hAnsiTheme="minorHAnsi"/>
          <w:sz w:val="20"/>
          <w:szCs w:val="20"/>
        </w:rPr>
        <w:t xml:space="preserve">to compare the actual fee revenue and costs in delivering the scheme to date with the initial cost recovery assumptions made when the program was being set up; </w:t>
      </w:r>
    </w:p>
    <w:p w:rsidR="00E44D0E" w:rsidRPr="00AB5425" w:rsidRDefault="00E44D0E" w:rsidP="00AB5425">
      <w:pPr>
        <w:pStyle w:val="Bullets1stindent"/>
        <w:rPr>
          <w:rFonts w:asciiTheme="minorHAnsi" w:hAnsiTheme="minorHAnsi"/>
          <w:sz w:val="20"/>
          <w:szCs w:val="20"/>
        </w:rPr>
      </w:pPr>
      <w:r w:rsidRPr="00AB5425">
        <w:rPr>
          <w:rFonts w:asciiTheme="minorHAnsi" w:hAnsiTheme="minorHAnsi"/>
          <w:sz w:val="20"/>
          <w:szCs w:val="20"/>
        </w:rPr>
        <w:t>to test the model used to establish the registration fees and fee bands and consider whether it is still appropriate; and</w:t>
      </w:r>
    </w:p>
    <w:p w:rsidR="00E44D0E" w:rsidRPr="00AB5425" w:rsidRDefault="00E44D0E" w:rsidP="00AB5425">
      <w:pPr>
        <w:pStyle w:val="Bullets1stindent"/>
        <w:rPr>
          <w:rFonts w:asciiTheme="minorHAnsi" w:hAnsiTheme="minorHAnsi"/>
          <w:sz w:val="20"/>
          <w:szCs w:val="20"/>
        </w:rPr>
      </w:pPr>
      <w:proofErr w:type="gramStart"/>
      <w:r w:rsidRPr="00AB5425">
        <w:rPr>
          <w:rFonts w:asciiTheme="minorHAnsi" w:hAnsiTheme="minorHAnsi"/>
          <w:sz w:val="20"/>
          <w:szCs w:val="20"/>
        </w:rPr>
        <w:t>to</w:t>
      </w:r>
      <w:proofErr w:type="gramEnd"/>
      <w:r w:rsidRPr="00AB5425">
        <w:rPr>
          <w:rFonts w:asciiTheme="minorHAnsi" w:hAnsiTheme="minorHAnsi"/>
          <w:sz w:val="20"/>
          <w:szCs w:val="20"/>
        </w:rPr>
        <w:t xml:space="preserve"> determine the appropriate level of cost recovery going forward.</w:t>
      </w:r>
    </w:p>
    <w:p w:rsidR="00E44D0E" w:rsidRDefault="00E44D0E" w:rsidP="00C221F9">
      <w:pPr>
        <w:pStyle w:val="Heading1"/>
      </w:pPr>
      <w:bookmarkStart w:id="4" w:name="_Toc446056329"/>
      <w:r>
        <w:t>Out of scope issues</w:t>
      </w:r>
      <w:bookmarkEnd w:id="4"/>
    </w:p>
    <w:p w:rsidR="00E44D0E" w:rsidRDefault="00E44D0E" w:rsidP="00E44D0E">
      <w:r>
        <w:t>Given the imperative to move the program towards full cost recovery, there is no scope within this review to consider:</w:t>
      </w:r>
    </w:p>
    <w:p w:rsidR="00E44D0E" w:rsidRPr="00AB5425" w:rsidRDefault="00E44D0E" w:rsidP="00AB5425">
      <w:pPr>
        <w:pStyle w:val="Bullets1stindent"/>
        <w:rPr>
          <w:rFonts w:asciiTheme="minorHAnsi" w:hAnsiTheme="minorHAnsi"/>
          <w:sz w:val="20"/>
          <w:szCs w:val="20"/>
        </w:rPr>
      </w:pPr>
      <w:r w:rsidRPr="00AB5425">
        <w:rPr>
          <w:rFonts w:asciiTheme="minorHAnsi" w:hAnsiTheme="minorHAnsi"/>
          <w:sz w:val="20"/>
          <w:szCs w:val="20"/>
        </w:rPr>
        <w:t xml:space="preserve">whether or not the program </w:t>
      </w:r>
      <w:r w:rsidRPr="00FB39CD">
        <w:rPr>
          <w:rFonts w:asciiTheme="minorHAnsi" w:hAnsiTheme="minorHAnsi"/>
          <w:i/>
          <w:sz w:val="20"/>
          <w:szCs w:val="20"/>
        </w:rPr>
        <w:t>should</w:t>
      </w:r>
      <w:r w:rsidRPr="00AB5425">
        <w:rPr>
          <w:rFonts w:asciiTheme="minorHAnsi" w:hAnsiTheme="minorHAnsi"/>
          <w:sz w:val="20"/>
          <w:szCs w:val="20"/>
        </w:rPr>
        <w:t xml:space="preserve"> operate on a cost recovery basis;</w:t>
      </w:r>
    </w:p>
    <w:p w:rsidR="00E44D0E" w:rsidRPr="00AB5425" w:rsidRDefault="00E44D0E" w:rsidP="00AB5425">
      <w:pPr>
        <w:pStyle w:val="Bullets1stindent"/>
        <w:rPr>
          <w:rFonts w:asciiTheme="minorHAnsi" w:hAnsiTheme="minorHAnsi"/>
          <w:sz w:val="20"/>
          <w:szCs w:val="20"/>
        </w:rPr>
      </w:pPr>
      <w:r w:rsidRPr="00AB5425">
        <w:rPr>
          <w:rFonts w:asciiTheme="minorHAnsi" w:hAnsiTheme="minorHAnsi"/>
          <w:sz w:val="20"/>
          <w:szCs w:val="20"/>
        </w:rPr>
        <w:t>maintaining registration fees at their current level; or</w:t>
      </w:r>
    </w:p>
    <w:p w:rsidR="00AB5425" w:rsidRPr="00DC41CE" w:rsidRDefault="00E44D0E" w:rsidP="00DC41CE">
      <w:pPr>
        <w:pStyle w:val="Bullets1stindent"/>
        <w:rPr>
          <w:rStyle w:val="Heading1Char"/>
          <w:rFonts w:asciiTheme="minorHAnsi" w:eastAsiaTheme="minorEastAsia" w:hAnsiTheme="minorHAnsi" w:cs="Times New Roman"/>
          <w:b w:val="0"/>
          <w:color w:val="auto"/>
          <w:sz w:val="20"/>
          <w:szCs w:val="22"/>
        </w:rPr>
      </w:pPr>
      <w:proofErr w:type="gramStart"/>
      <w:r w:rsidRPr="00AB5425">
        <w:rPr>
          <w:rFonts w:asciiTheme="minorHAnsi" w:hAnsiTheme="minorHAnsi"/>
          <w:sz w:val="20"/>
          <w:szCs w:val="20"/>
        </w:rPr>
        <w:t>reducing</w:t>
      </w:r>
      <w:proofErr w:type="gramEnd"/>
      <w:r w:rsidRPr="00AB5425">
        <w:rPr>
          <w:rFonts w:asciiTheme="minorHAnsi" w:hAnsiTheme="minorHAnsi"/>
          <w:sz w:val="20"/>
          <w:szCs w:val="20"/>
        </w:rPr>
        <w:t xml:space="preserve"> registration fees from their current level.</w:t>
      </w:r>
      <w:bookmarkStart w:id="5" w:name="_Toc446056330"/>
      <w:r w:rsidR="00DC41CE">
        <w:t xml:space="preserve"> </w:t>
      </w:r>
      <w:r w:rsidR="00DC41CE">
        <w:br w:type="page"/>
      </w:r>
    </w:p>
    <w:p w:rsidR="00E44D0E" w:rsidRDefault="00E44D0E" w:rsidP="00AB5425">
      <w:pPr>
        <w:spacing w:before="480" w:after="0"/>
      </w:pPr>
      <w:r w:rsidRPr="00C221F9">
        <w:rPr>
          <w:rStyle w:val="Heading1Char"/>
        </w:rPr>
        <w:lastRenderedPageBreak/>
        <w:t>Policy Framework for the Review</w:t>
      </w:r>
      <w:bookmarkEnd w:id="5"/>
      <w:r w:rsidRPr="00C221F9">
        <w:rPr>
          <w:rStyle w:val="Heading1Char"/>
        </w:rPr>
        <w:br/>
      </w:r>
      <w:r>
        <w:t>The review will be undertaken with reference to the</w:t>
      </w:r>
      <w:r w:rsidRPr="00543CB6">
        <w:rPr>
          <w:lang w:val="en"/>
        </w:rPr>
        <w:t xml:space="preserve"> </w:t>
      </w:r>
      <w:hyperlink r:id="rId12" w:history="1">
        <w:r w:rsidRPr="008E1EA0">
          <w:rPr>
            <w:rStyle w:val="Hyperlink"/>
            <w:lang w:val="en"/>
          </w:rPr>
          <w:t>Australian Government Charging Framework</w:t>
        </w:r>
      </w:hyperlink>
      <w:r>
        <w:rPr>
          <w:lang w:val="en"/>
        </w:rPr>
        <w:t xml:space="preserve">, introduced from July 2015 to support government entities to design, implement and review government charging.  The framework incorporates the Cost Recovery Guidelines, which continue to apply to regulatory charging activities. </w:t>
      </w:r>
    </w:p>
    <w:p w:rsidR="006B63BA" w:rsidRDefault="006B63BA" w:rsidP="001B49B0">
      <w:pPr>
        <w:spacing w:after="0" w:line="240" w:lineRule="auto"/>
      </w:pPr>
    </w:p>
    <w:p w:rsidR="00E44D0E" w:rsidRPr="00706814" w:rsidRDefault="00E44D0E" w:rsidP="00E44D0E">
      <w:r>
        <w:t>According to the Framework, t</w:t>
      </w:r>
      <w:r w:rsidRPr="00706814">
        <w:t>here must be alignment between the expenses of the activity (the costs involved in providing it) and the revenue (the income generated through charges for it). Cost recovery charges should be:</w:t>
      </w:r>
    </w:p>
    <w:p w:rsidR="00E44D0E" w:rsidRPr="00C221F9" w:rsidRDefault="00E44D0E" w:rsidP="00E44D0E">
      <w:pPr>
        <w:pStyle w:val="Bullets1stindent"/>
        <w:rPr>
          <w:rFonts w:asciiTheme="minorHAnsi" w:hAnsiTheme="minorHAnsi"/>
          <w:sz w:val="20"/>
          <w:szCs w:val="20"/>
        </w:rPr>
      </w:pPr>
      <w:r w:rsidRPr="00C221F9">
        <w:rPr>
          <w:rFonts w:asciiTheme="minorHAnsi" w:hAnsiTheme="minorHAnsi"/>
          <w:sz w:val="20"/>
          <w:szCs w:val="20"/>
        </w:rPr>
        <w:t>clear and easy to understand</w:t>
      </w:r>
    </w:p>
    <w:p w:rsidR="00E44D0E" w:rsidRPr="00C221F9" w:rsidRDefault="00E44D0E" w:rsidP="00E44D0E">
      <w:pPr>
        <w:pStyle w:val="Bullets1stindent"/>
        <w:rPr>
          <w:rFonts w:asciiTheme="minorHAnsi" w:hAnsiTheme="minorHAnsi"/>
          <w:sz w:val="20"/>
          <w:szCs w:val="20"/>
        </w:rPr>
      </w:pPr>
      <w:r w:rsidRPr="00C221F9">
        <w:rPr>
          <w:rFonts w:asciiTheme="minorHAnsi" w:hAnsiTheme="minorHAnsi"/>
          <w:sz w:val="20"/>
          <w:szCs w:val="20"/>
        </w:rPr>
        <w:t>closely linked to the specific activity</w:t>
      </w:r>
    </w:p>
    <w:p w:rsidR="00E44D0E" w:rsidRPr="00C221F9" w:rsidRDefault="00E44D0E" w:rsidP="00E44D0E">
      <w:pPr>
        <w:pStyle w:val="Bullets1stindent"/>
        <w:rPr>
          <w:rFonts w:asciiTheme="minorHAnsi" w:hAnsiTheme="minorHAnsi"/>
          <w:sz w:val="20"/>
          <w:szCs w:val="20"/>
        </w:rPr>
      </w:pPr>
      <w:r w:rsidRPr="00C221F9">
        <w:rPr>
          <w:rFonts w:asciiTheme="minorHAnsi" w:hAnsiTheme="minorHAnsi"/>
          <w:sz w:val="20"/>
          <w:szCs w:val="20"/>
        </w:rPr>
        <w:t>set to recover the full efficient costs of the specific activity</w:t>
      </w:r>
      <w:r w:rsidRPr="00C221F9">
        <w:rPr>
          <w:rStyle w:val="FootnoteReference"/>
          <w:rFonts w:asciiTheme="minorHAnsi" w:hAnsiTheme="minorHAnsi"/>
          <w:sz w:val="20"/>
          <w:szCs w:val="20"/>
        </w:rPr>
        <w:footnoteReference w:id="1"/>
      </w:r>
    </w:p>
    <w:p w:rsidR="00E44D0E" w:rsidRPr="00C221F9" w:rsidRDefault="00E44D0E" w:rsidP="00E44D0E">
      <w:pPr>
        <w:pStyle w:val="Bullets1stindent"/>
        <w:rPr>
          <w:rFonts w:asciiTheme="minorHAnsi" w:hAnsiTheme="minorHAnsi"/>
          <w:sz w:val="20"/>
          <w:szCs w:val="20"/>
        </w:rPr>
      </w:pPr>
      <w:r w:rsidRPr="00C221F9">
        <w:rPr>
          <w:rFonts w:asciiTheme="minorHAnsi" w:hAnsiTheme="minorHAnsi"/>
          <w:sz w:val="20"/>
          <w:szCs w:val="20"/>
        </w:rPr>
        <w:t>efficient to determine, collect and enforce</w:t>
      </w:r>
    </w:p>
    <w:p w:rsidR="00E44D0E" w:rsidRPr="00C221F9" w:rsidRDefault="00E44D0E" w:rsidP="00E44D0E">
      <w:pPr>
        <w:pStyle w:val="Bullets1stindent"/>
        <w:rPr>
          <w:rFonts w:asciiTheme="minorHAnsi" w:hAnsiTheme="minorHAnsi"/>
          <w:sz w:val="20"/>
          <w:szCs w:val="20"/>
        </w:rPr>
      </w:pPr>
      <w:proofErr w:type="gramStart"/>
      <w:r w:rsidRPr="00C221F9">
        <w:rPr>
          <w:rFonts w:asciiTheme="minorHAnsi" w:hAnsiTheme="minorHAnsi"/>
          <w:sz w:val="20"/>
          <w:szCs w:val="20"/>
        </w:rPr>
        <w:t>set</w:t>
      </w:r>
      <w:proofErr w:type="gramEnd"/>
      <w:r w:rsidRPr="00C221F9">
        <w:rPr>
          <w:rFonts w:asciiTheme="minorHAnsi" w:hAnsiTheme="minorHAnsi"/>
          <w:sz w:val="20"/>
          <w:szCs w:val="20"/>
        </w:rPr>
        <w:t xml:space="preserve"> to avoid volatility, while still being flexible enough to allow for changes based on fluctuations in demand or costs.</w:t>
      </w:r>
    </w:p>
    <w:p w:rsidR="00E44D0E" w:rsidRDefault="00E44D0E" w:rsidP="00C221F9">
      <w:pPr>
        <w:pStyle w:val="Heading1"/>
      </w:pPr>
      <w:bookmarkStart w:id="6" w:name="_Toc446056331"/>
      <w:r>
        <w:t>Scope</w:t>
      </w:r>
      <w:bookmarkEnd w:id="6"/>
      <w:r>
        <w:tab/>
      </w:r>
    </w:p>
    <w:p w:rsidR="00E44D0E" w:rsidRPr="00DA12FC" w:rsidRDefault="00E44D0E" w:rsidP="00E44D0E">
      <w:r>
        <w:t xml:space="preserve">The review will consider a range of issues, which have been presented here as questions for stakeholders to consider.  Stakeholders are invited to provide their views on all issues or only on those considered relevant. </w:t>
      </w:r>
    </w:p>
    <w:p w:rsidR="00E44D0E"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Is the model that was used to set the current fees/fee bands (cost of assessing a registration application, plus a proportion of the cost of compliance and enforcement based on cost to purchase and test individuals products) still appropriate/relevant?</w:t>
      </w:r>
    </w:p>
    <w:p w:rsidR="00E44D0E"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Have the costs changed since the commencement of the Act?</w:t>
      </w:r>
    </w:p>
    <w:p w:rsidR="00E44D0E"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 xml:space="preserve">What level of cost recovery, beyond the current 50 per cent, would be appropriate for the program? </w:t>
      </w:r>
    </w:p>
    <w:p w:rsidR="00E44D0E" w:rsidRPr="00AB5425" w:rsidRDefault="00E44D0E" w:rsidP="00AB5425">
      <w:pPr>
        <w:pStyle w:val="Bullets1stindent"/>
        <w:numPr>
          <w:ilvl w:val="0"/>
          <w:numId w:val="22"/>
        </w:numPr>
        <w:ind w:left="1418"/>
        <w:rPr>
          <w:rFonts w:asciiTheme="minorHAnsi" w:hAnsiTheme="minorHAnsi" w:cstheme="minorHAnsi"/>
          <w:sz w:val="20"/>
          <w:szCs w:val="20"/>
        </w:rPr>
      </w:pPr>
      <w:r w:rsidRPr="00AB5425">
        <w:rPr>
          <w:rFonts w:asciiTheme="minorHAnsi" w:hAnsiTheme="minorHAnsi" w:cstheme="minorHAnsi"/>
          <w:sz w:val="20"/>
          <w:szCs w:val="20"/>
        </w:rPr>
        <w:t xml:space="preserve">Within what timeframe should any increase be implemented? </w:t>
      </w:r>
    </w:p>
    <w:p w:rsidR="00AB5425"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Should there be different registration periods for different products?</w:t>
      </w:r>
    </w:p>
    <w:p w:rsidR="00E44D0E" w:rsidRPr="00AB5425" w:rsidRDefault="00E44D0E" w:rsidP="00AB5425">
      <w:pPr>
        <w:pStyle w:val="Bullets2ndindent"/>
        <w:rPr>
          <w:rFonts w:asciiTheme="minorHAnsi" w:hAnsiTheme="minorHAnsi" w:cstheme="minorHAnsi"/>
          <w:sz w:val="20"/>
          <w:szCs w:val="20"/>
        </w:rPr>
      </w:pPr>
      <w:r w:rsidRPr="00AB5425">
        <w:rPr>
          <w:rFonts w:asciiTheme="minorHAnsi" w:hAnsiTheme="minorHAnsi" w:cstheme="minorHAnsi"/>
          <w:sz w:val="20"/>
          <w:szCs w:val="20"/>
        </w:rPr>
        <w:t>Is there a case for shorter/longer registration periods based on expected product life?</w:t>
      </w:r>
    </w:p>
    <w:p w:rsidR="00E44D0E"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 xml:space="preserve">Currently fees are only charged for registrations.  Should fees be introduced for processes other than registrations (for example, exemptions and variations) given the disproportionately high length of time needed to process these? </w:t>
      </w:r>
    </w:p>
    <w:p w:rsidR="00E44D0E" w:rsidRPr="00AB5425" w:rsidRDefault="00E44D0E" w:rsidP="00AB5425">
      <w:pPr>
        <w:pStyle w:val="Bullets1stindent"/>
        <w:rPr>
          <w:rFonts w:asciiTheme="minorHAnsi" w:hAnsiTheme="minorHAnsi" w:cstheme="minorHAnsi"/>
          <w:sz w:val="20"/>
          <w:szCs w:val="20"/>
        </w:rPr>
      </w:pPr>
      <w:r w:rsidRPr="00AB5425">
        <w:rPr>
          <w:rFonts w:asciiTheme="minorHAnsi" w:hAnsiTheme="minorHAnsi" w:cstheme="minorHAnsi"/>
          <w:sz w:val="20"/>
          <w:szCs w:val="20"/>
        </w:rPr>
        <w:t xml:space="preserve">Currently registrants can only pay their fees using Visa or </w:t>
      </w:r>
      <w:proofErr w:type="spellStart"/>
      <w:r w:rsidRPr="00AB5425">
        <w:rPr>
          <w:rFonts w:asciiTheme="minorHAnsi" w:hAnsiTheme="minorHAnsi" w:cstheme="minorHAnsi"/>
          <w:sz w:val="20"/>
          <w:szCs w:val="20"/>
        </w:rPr>
        <w:t>Mastercard</w:t>
      </w:r>
      <w:proofErr w:type="spellEnd"/>
      <w:r w:rsidRPr="00AB5425">
        <w:rPr>
          <w:rFonts w:asciiTheme="minorHAnsi" w:hAnsiTheme="minorHAnsi" w:cstheme="minorHAnsi"/>
          <w:sz w:val="20"/>
          <w:szCs w:val="20"/>
        </w:rPr>
        <w:t xml:space="preserve">.  Should additional payment mechanisms such as EFTPOS, American Express and Diners Club be available also (noting that these may have cost and administrative implications, both for the Regulator and registrants)? </w:t>
      </w:r>
    </w:p>
    <w:p w:rsidR="00E44D0E" w:rsidRDefault="00E44D0E" w:rsidP="00C221F9">
      <w:pPr>
        <w:pStyle w:val="Heading1"/>
      </w:pPr>
      <w:bookmarkStart w:id="7" w:name="_Toc446056332"/>
      <w:r>
        <w:t>Stakeholder consultation process</w:t>
      </w:r>
      <w:bookmarkEnd w:id="7"/>
    </w:p>
    <w:p w:rsidR="00DC41CE" w:rsidRDefault="00E44D0E" w:rsidP="001B49B0">
      <w:pPr>
        <w:spacing w:after="0" w:line="240" w:lineRule="auto"/>
      </w:pPr>
      <w:r>
        <w:t>Stakeholders can play a key role in the GEMS Fees Review by sharing their views on the issues identified above, and on other issues considered to be related.</w:t>
      </w:r>
    </w:p>
    <w:p w:rsidR="00DC41CE" w:rsidRDefault="00DC41CE" w:rsidP="001B49B0">
      <w:pPr>
        <w:spacing w:after="0" w:line="240" w:lineRule="auto"/>
      </w:pPr>
    </w:p>
    <w:p w:rsidR="00E44D0E" w:rsidRDefault="00E44D0E" w:rsidP="001B49B0">
      <w:pPr>
        <w:spacing w:after="0" w:line="240" w:lineRule="auto"/>
      </w:pPr>
      <w:r>
        <w:t xml:space="preserve">We welcome submissions both from individual registrants and industry associations/peak bodies. Submissions on the issues set out in this paper and related issues will be accepted up until </w:t>
      </w:r>
      <w:proofErr w:type="spellStart"/>
      <w:r>
        <w:t>c</w:t>
      </w:r>
      <w:r w:rsidR="00C221F9">
        <w:t>.</w:t>
      </w:r>
      <w:r>
        <w:t>o</w:t>
      </w:r>
      <w:r w:rsidR="00C221F9">
        <w:t>.b</w:t>
      </w:r>
      <w:proofErr w:type="spellEnd"/>
      <w:r w:rsidR="00C221F9">
        <w:t xml:space="preserve">. </w:t>
      </w:r>
      <w:r w:rsidRPr="00440B20">
        <w:rPr>
          <w:b/>
        </w:rPr>
        <w:t>Friday 15 April 2016</w:t>
      </w:r>
      <w:r>
        <w:rPr>
          <w:b/>
        </w:rPr>
        <w:t xml:space="preserve">.  </w:t>
      </w:r>
      <w:r w:rsidRPr="00CC7C17">
        <w:t xml:space="preserve">Submissions should </w:t>
      </w:r>
      <w:r>
        <w:t xml:space="preserve">be lodged by email </w:t>
      </w:r>
      <w:r w:rsidR="001B49B0">
        <w:t xml:space="preserve">(with subject heading of GEMS Fees Review) </w:t>
      </w:r>
      <w:r>
        <w:t xml:space="preserve">to </w:t>
      </w:r>
      <w:hyperlink r:id="rId13" w:history="1">
        <w:r w:rsidRPr="000C687A">
          <w:rPr>
            <w:rStyle w:val="Hyperlink"/>
          </w:rPr>
          <w:t>energyrating@industry.gov.au</w:t>
        </w:r>
      </w:hyperlink>
      <w:r>
        <w:t>.</w:t>
      </w:r>
    </w:p>
    <w:p w:rsidR="00E44D0E" w:rsidRDefault="00E44D0E" w:rsidP="00C221F9">
      <w:pPr>
        <w:pStyle w:val="Heading1"/>
      </w:pPr>
      <w:bookmarkStart w:id="8" w:name="_Toc446056333"/>
      <w:r>
        <w:lastRenderedPageBreak/>
        <w:t>Next steps</w:t>
      </w:r>
      <w:bookmarkEnd w:id="8"/>
    </w:p>
    <w:p w:rsidR="00E44D0E" w:rsidRDefault="00E44D0E" w:rsidP="006B63BA">
      <w:pPr>
        <w:spacing w:after="0" w:line="240" w:lineRule="auto"/>
      </w:pPr>
      <w:r>
        <w:t xml:space="preserve">We invite interested stakeholders to express their views on the issues raised in this paper.  Submissions received by </w:t>
      </w:r>
      <w:r w:rsidRPr="007B5428">
        <w:rPr>
          <w:b/>
        </w:rPr>
        <w:t>Friday 15 April</w:t>
      </w:r>
      <w:r>
        <w:t xml:space="preserve"> will be used to develop a draft policy position and discussion paper.  This will then form the basis for a further round of consultation with stakeholders in mid-late May, before recommendations to the Minister are finalised.</w:t>
      </w:r>
    </w:p>
    <w:p w:rsidR="006B63BA" w:rsidRDefault="006B63BA" w:rsidP="006B63BA">
      <w:pPr>
        <w:spacing w:after="0" w:line="240" w:lineRule="auto"/>
      </w:pPr>
    </w:p>
    <w:p w:rsidR="00E44D0E" w:rsidRDefault="00E44D0E" w:rsidP="006B63BA">
      <w:pPr>
        <w:spacing w:after="0" w:line="240" w:lineRule="auto"/>
      </w:pPr>
      <w:r>
        <w:t>We are considering holding face to face consultation forums on the draft policy position during May, in Sydney and Melbourne.  We would welcome your views on whether or not this would be valuable to you.</w:t>
      </w:r>
    </w:p>
    <w:p w:rsidR="00E44D0E" w:rsidRDefault="00E44D0E" w:rsidP="00C221F9">
      <w:pPr>
        <w:pStyle w:val="Heading1"/>
      </w:pPr>
      <w:bookmarkStart w:id="9" w:name="_Toc446056334"/>
      <w:r>
        <w:t>Timeline</w:t>
      </w:r>
      <w:bookmarkEnd w:id="9"/>
    </w:p>
    <w:p w:rsidR="00E44D0E" w:rsidRPr="00E30D28" w:rsidRDefault="00E44D0E" w:rsidP="00E44D0E">
      <w:r>
        <w:t>Fri</w:t>
      </w:r>
      <w:r w:rsidRPr="00E30D28">
        <w:t xml:space="preserve"> 18 March</w:t>
      </w:r>
      <w:r w:rsidRPr="00E30D28">
        <w:tab/>
      </w:r>
      <w:r>
        <w:tab/>
        <w:t>Issues</w:t>
      </w:r>
      <w:r w:rsidRPr="00E30D28">
        <w:t xml:space="preserve"> paper released </w:t>
      </w:r>
    </w:p>
    <w:p w:rsidR="00E44D0E" w:rsidRPr="00E30D28" w:rsidRDefault="00E44D0E" w:rsidP="00E44D0E">
      <w:r w:rsidRPr="00E30D28">
        <w:t>Fri 15 April</w:t>
      </w:r>
      <w:r w:rsidRPr="00E30D28">
        <w:tab/>
      </w:r>
      <w:r w:rsidRPr="00E30D28">
        <w:tab/>
      </w:r>
      <w:r>
        <w:t xml:space="preserve">Final date for receipt of stakeholder submissions on the issues paper </w:t>
      </w:r>
    </w:p>
    <w:p w:rsidR="00E44D0E" w:rsidRPr="00E30D28" w:rsidRDefault="00E44D0E" w:rsidP="00E44D0E">
      <w:r w:rsidRPr="00E30D28">
        <w:t>Fri 6 May</w:t>
      </w:r>
      <w:r w:rsidRPr="00E30D28">
        <w:tab/>
      </w:r>
      <w:r w:rsidRPr="00E30D28">
        <w:tab/>
      </w:r>
      <w:r>
        <w:t xml:space="preserve">Consultation with stakeholders on draft policy position commences </w:t>
      </w:r>
    </w:p>
    <w:p w:rsidR="00E44D0E" w:rsidRPr="00E30D28" w:rsidRDefault="00E44D0E" w:rsidP="00E44D0E">
      <w:r w:rsidRPr="00E30D28">
        <w:t>Fri 3 June</w:t>
      </w:r>
      <w:r w:rsidRPr="00E30D28">
        <w:tab/>
      </w:r>
      <w:r w:rsidRPr="00E30D28">
        <w:tab/>
      </w:r>
      <w:r>
        <w:t xml:space="preserve">Consultation </w:t>
      </w:r>
      <w:r w:rsidRPr="00E30D28">
        <w:t>concludes</w:t>
      </w:r>
    </w:p>
    <w:p w:rsidR="00E44D0E" w:rsidRPr="00E30D28" w:rsidRDefault="00E44D0E" w:rsidP="00E44D0E">
      <w:r w:rsidRPr="00E30D28">
        <w:t>June</w:t>
      </w:r>
      <w:r w:rsidR="00DC41CE">
        <w:tab/>
      </w:r>
      <w:r w:rsidR="00DC41CE">
        <w:tab/>
      </w:r>
      <w:r w:rsidR="00DC41CE">
        <w:tab/>
      </w:r>
      <w:r>
        <w:t xml:space="preserve">Finalisation of recommendations to Minister </w:t>
      </w:r>
      <w:r w:rsidRPr="00E30D28">
        <w:t xml:space="preserve"> </w:t>
      </w:r>
    </w:p>
    <w:p w:rsidR="00E44D0E" w:rsidRPr="00E30D28" w:rsidRDefault="00E44D0E" w:rsidP="00E44D0E">
      <w:r>
        <w:t>Thurs 30 June</w:t>
      </w:r>
      <w:r>
        <w:tab/>
      </w:r>
      <w:r>
        <w:tab/>
      </w:r>
      <w:r w:rsidRPr="00E30D28">
        <w:t>Review completed</w:t>
      </w:r>
    </w:p>
    <w:p w:rsidR="00E44D0E" w:rsidRPr="00C41ED0" w:rsidRDefault="00E44D0E" w:rsidP="00E44D0E"/>
    <w:p w:rsidR="00163B54" w:rsidRDefault="00163B54" w:rsidP="00163B54">
      <w:pPr>
        <w:pStyle w:val="Heading1"/>
      </w:pPr>
    </w:p>
    <w:bookmarkEnd w:id="1"/>
    <w:sectPr w:rsidR="00163B54" w:rsidSect="0031658C">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3F" w:rsidRDefault="00C7103F" w:rsidP="00B526AB">
      <w:pPr>
        <w:spacing w:after="0" w:line="240" w:lineRule="auto"/>
      </w:pPr>
      <w:r>
        <w:separator/>
      </w:r>
    </w:p>
  </w:endnote>
  <w:endnote w:type="continuationSeparator" w:id="0">
    <w:p w:rsidR="00C7103F" w:rsidRDefault="00C7103F"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EFD" w:rsidRDefault="009F1EFD"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13D">
      <w:rPr>
        <w:rStyle w:val="PageNumber"/>
        <w:noProof/>
      </w:rPr>
      <w:t>4</w:t>
    </w:r>
    <w:r>
      <w:rPr>
        <w:rStyle w:val="PageNumber"/>
      </w:rPr>
      <w:fldChar w:fldCharType="end"/>
    </w:r>
  </w:p>
  <w:p w:rsidR="009F1EFD" w:rsidRDefault="00E44D0E" w:rsidP="004E6C9F">
    <w:pPr>
      <w:pStyle w:val="Footer"/>
      <w:ind w:right="360"/>
      <w:jc w:val="center"/>
    </w:pPr>
    <w:r>
      <w:t>2016 GEMS Fees Review</w:t>
    </w:r>
    <w:r w:rsidR="004E6C9F">
      <w:t xml:space="preserve"> – Issues Paper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FD" w:rsidRDefault="009F1EFD"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1EFD" w:rsidRDefault="009F1EFD"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3F" w:rsidRDefault="00C7103F" w:rsidP="00B526AB">
      <w:pPr>
        <w:spacing w:after="0" w:line="240" w:lineRule="auto"/>
      </w:pPr>
      <w:r>
        <w:separator/>
      </w:r>
    </w:p>
  </w:footnote>
  <w:footnote w:type="continuationSeparator" w:id="0">
    <w:p w:rsidR="00C7103F" w:rsidRDefault="00C7103F" w:rsidP="00B526AB">
      <w:pPr>
        <w:spacing w:after="0" w:line="240" w:lineRule="auto"/>
      </w:pPr>
      <w:r>
        <w:continuationSeparator/>
      </w:r>
    </w:p>
  </w:footnote>
  <w:footnote w:id="1">
    <w:p w:rsidR="00E44D0E" w:rsidRPr="00920833" w:rsidRDefault="00E44D0E" w:rsidP="00E44D0E">
      <w:pPr>
        <w:pStyle w:val="FootnoteText"/>
        <w:ind w:left="709" w:hanging="709"/>
      </w:pPr>
      <w:r w:rsidRPr="00BE36AB">
        <w:rPr>
          <w:sz w:val="18"/>
          <w:szCs w:val="18"/>
        </w:rPr>
        <w:footnoteRef/>
      </w:r>
      <w:r w:rsidRPr="00BE36AB">
        <w:rPr>
          <w:sz w:val="18"/>
          <w:szCs w:val="18"/>
        </w:rPr>
        <w:tab/>
        <w:t>Or at the level set by the Australian Government if partial cost recovery has been agreed.</w:t>
      </w:r>
      <w:r w:rsidRPr="0092083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FD" w:rsidRPr="00E44D0E" w:rsidRDefault="009F1EFD" w:rsidP="00E44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FD" w:rsidRDefault="009F1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36FD56"/>
    <w:lvl w:ilvl="0">
      <w:start w:val="1"/>
      <w:numFmt w:val="decimal"/>
      <w:lvlText w:val="%1."/>
      <w:lvlJc w:val="left"/>
      <w:pPr>
        <w:tabs>
          <w:tab w:val="num" w:pos="1492"/>
        </w:tabs>
        <w:ind w:left="1492" w:hanging="360"/>
      </w:pPr>
    </w:lvl>
  </w:abstractNum>
  <w:abstractNum w:abstractNumId="1">
    <w:nsid w:val="FFFFFF7D"/>
    <w:multiLevelType w:val="singleLevel"/>
    <w:tmpl w:val="2E7CD51A"/>
    <w:lvl w:ilvl="0">
      <w:start w:val="1"/>
      <w:numFmt w:val="decimal"/>
      <w:lvlText w:val="%1."/>
      <w:lvlJc w:val="left"/>
      <w:pPr>
        <w:tabs>
          <w:tab w:val="num" w:pos="1209"/>
        </w:tabs>
        <w:ind w:left="1209" w:hanging="360"/>
      </w:pPr>
    </w:lvl>
  </w:abstractNum>
  <w:abstractNum w:abstractNumId="2">
    <w:nsid w:val="FFFFFF7E"/>
    <w:multiLevelType w:val="singleLevel"/>
    <w:tmpl w:val="0B82E9A2"/>
    <w:lvl w:ilvl="0">
      <w:start w:val="1"/>
      <w:numFmt w:val="decimal"/>
      <w:lvlText w:val="%1."/>
      <w:lvlJc w:val="left"/>
      <w:pPr>
        <w:tabs>
          <w:tab w:val="num" w:pos="926"/>
        </w:tabs>
        <w:ind w:left="926" w:hanging="360"/>
      </w:pPr>
    </w:lvl>
  </w:abstractNum>
  <w:abstractNum w:abstractNumId="3">
    <w:nsid w:val="FFFFFF7F"/>
    <w:multiLevelType w:val="singleLevel"/>
    <w:tmpl w:val="DB2EF1BC"/>
    <w:lvl w:ilvl="0">
      <w:start w:val="1"/>
      <w:numFmt w:val="decimal"/>
      <w:lvlText w:val="%1."/>
      <w:lvlJc w:val="left"/>
      <w:pPr>
        <w:tabs>
          <w:tab w:val="num" w:pos="643"/>
        </w:tabs>
        <w:ind w:left="643" w:hanging="360"/>
      </w:pPr>
    </w:lvl>
  </w:abstractNum>
  <w:abstractNum w:abstractNumId="4">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nsid w:val="FFFFFF88"/>
    <w:multiLevelType w:val="singleLevel"/>
    <w:tmpl w:val="9350D2C6"/>
    <w:lvl w:ilvl="0">
      <w:start w:val="1"/>
      <w:numFmt w:val="decimal"/>
      <w:lvlText w:val="%1."/>
      <w:lvlJc w:val="left"/>
      <w:pPr>
        <w:tabs>
          <w:tab w:val="num" w:pos="360"/>
        </w:tabs>
        <w:ind w:left="360" w:hanging="360"/>
      </w:pPr>
    </w:lvl>
  </w:abstractNum>
  <w:abstractNum w:abstractNumId="9">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nsid w:val="039B0892"/>
    <w:multiLevelType w:val="hybridMultilevel"/>
    <w:tmpl w:val="AF389680"/>
    <w:lvl w:ilvl="0" w:tplc="6B204036">
      <w:start w:val="2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D655AB"/>
    <w:multiLevelType w:val="hybridMultilevel"/>
    <w:tmpl w:val="88327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E50B5D"/>
    <w:multiLevelType w:val="hybridMultilevel"/>
    <w:tmpl w:val="3156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6B1D7A"/>
    <w:multiLevelType w:val="hybridMultilevel"/>
    <w:tmpl w:val="EFFA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E4083F"/>
    <w:multiLevelType w:val="hybridMultilevel"/>
    <w:tmpl w:val="7660BD90"/>
    <w:lvl w:ilvl="0" w:tplc="667052F8">
      <w:start w:val="1"/>
      <w:numFmt w:val="bullet"/>
      <w:pStyle w:val="Bullets1stindent"/>
      <w:lvlText w:val=""/>
      <w:lvlJc w:val="left"/>
      <w:pPr>
        <w:ind w:left="720" w:hanging="360"/>
      </w:pPr>
      <w:rPr>
        <w:rFonts w:ascii="Symbol" w:hAnsi="Symbol" w:hint="default"/>
        <w:color w:val="005677" w:themeColor="accent1"/>
      </w:rPr>
    </w:lvl>
    <w:lvl w:ilvl="1" w:tplc="0C090003">
      <w:start w:val="1"/>
      <w:numFmt w:val="bullet"/>
      <w:pStyle w:val="Bullets2ndinde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8610BA"/>
    <w:multiLevelType w:val="hybridMultilevel"/>
    <w:tmpl w:val="E0B8B492"/>
    <w:lvl w:ilvl="0" w:tplc="0C090003">
      <w:start w:val="1"/>
      <w:numFmt w:val="bullet"/>
      <w:lvlText w:val="o"/>
      <w:lvlJc w:val="left"/>
      <w:pPr>
        <w:ind w:left="1080" w:hanging="360"/>
      </w:pPr>
      <w:rPr>
        <w:rFonts w:ascii="Courier New" w:hAnsi="Courier New" w:cs="Courier New" w:hint="default"/>
        <w:color w:val="005677" w:themeColor="accen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2"/>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3F"/>
    <w:rsid w:val="00163B54"/>
    <w:rsid w:val="001A25AE"/>
    <w:rsid w:val="001A2DC6"/>
    <w:rsid w:val="001B49B0"/>
    <w:rsid w:val="002300AC"/>
    <w:rsid w:val="00244596"/>
    <w:rsid w:val="00263E00"/>
    <w:rsid w:val="002831AD"/>
    <w:rsid w:val="002B57BF"/>
    <w:rsid w:val="002D3954"/>
    <w:rsid w:val="002E14EA"/>
    <w:rsid w:val="002E201E"/>
    <w:rsid w:val="002F65AF"/>
    <w:rsid w:val="00304F04"/>
    <w:rsid w:val="0031658C"/>
    <w:rsid w:val="00333C59"/>
    <w:rsid w:val="003630F9"/>
    <w:rsid w:val="0038442D"/>
    <w:rsid w:val="00402E42"/>
    <w:rsid w:val="00407ECA"/>
    <w:rsid w:val="004111E9"/>
    <w:rsid w:val="00436B60"/>
    <w:rsid w:val="00452BA6"/>
    <w:rsid w:val="004E6C9F"/>
    <w:rsid w:val="005642F2"/>
    <w:rsid w:val="00585806"/>
    <w:rsid w:val="005D0228"/>
    <w:rsid w:val="005F1934"/>
    <w:rsid w:val="00602C92"/>
    <w:rsid w:val="006820A5"/>
    <w:rsid w:val="006B63BA"/>
    <w:rsid w:val="006C2852"/>
    <w:rsid w:val="00706764"/>
    <w:rsid w:val="00723B30"/>
    <w:rsid w:val="007B6E7A"/>
    <w:rsid w:val="00811D43"/>
    <w:rsid w:val="00822068"/>
    <w:rsid w:val="00850038"/>
    <w:rsid w:val="008602BC"/>
    <w:rsid w:val="0088639D"/>
    <w:rsid w:val="00915145"/>
    <w:rsid w:val="00956813"/>
    <w:rsid w:val="00975726"/>
    <w:rsid w:val="00991FDD"/>
    <w:rsid w:val="009A0EF0"/>
    <w:rsid w:val="009D7BB6"/>
    <w:rsid w:val="009F0F4D"/>
    <w:rsid w:val="009F1EFD"/>
    <w:rsid w:val="00A45D77"/>
    <w:rsid w:val="00A51E16"/>
    <w:rsid w:val="00A7513D"/>
    <w:rsid w:val="00A83162"/>
    <w:rsid w:val="00A85BA1"/>
    <w:rsid w:val="00AB5425"/>
    <w:rsid w:val="00B37916"/>
    <w:rsid w:val="00B526AB"/>
    <w:rsid w:val="00C14C8F"/>
    <w:rsid w:val="00C221F9"/>
    <w:rsid w:val="00C7103F"/>
    <w:rsid w:val="00CB2680"/>
    <w:rsid w:val="00CB5D3D"/>
    <w:rsid w:val="00CC7875"/>
    <w:rsid w:val="00D46D83"/>
    <w:rsid w:val="00D87BC8"/>
    <w:rsid w:val="00DC41CE"/>
    <w:rsid w:val="00DE0076"/>
    <w:rsid w:val="00E029B2"/>
    <w:rsid w:val="00E44D0E"/>
    <w:rsid w:val="00E72774"/>
    <w:rsid w:val="00ED17D8"/>
    <w:rsid w:val="00F11C75"/>
    <w:rsid w:val="00F25F29"/>
    <w:rsid w:val="00FB39CD"/>
    <w:rsid w:val="00FC70DE"/>
    <w:rsid w:val="00FD01FB"/>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FC70DE"/>
    <w:pPr>
      <w:spacing w:before="44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FC70DE"/>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9D7BB6"/>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qFormat/>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Normal"/>
    <w:uiPriority w:val="34"/>
    <w:qFormat/>
    <w:rsid w:val="00E44D0E"/>
    <w:pPr>
      <w:spacing w:after="200"/>
      <w:ind w:left="720"/>
      <w:contextualSpacing/>
    </w:pPr>
    <w:rPr>
      <w:sz w:val="22"/>
    </w:rPr>
  </w:style>
  <w:style w:type="paragraph" w:customStyle="1" w:styleId="Bullets1stindent">
    <w:name w:val="Bullets (1st indent)"/>
    <w:basedOn w:val="ListParagraph"/>
    <w:link w:val="Bullets1stindentChar"/>
    <w:qFormat/>
    <w:rsid w:val="00E44D0E"/>
    <w:pPr>
      <w:widowControl w:val="0"/>
      <w:numPr>
        <w:numId w:val="13"/>
      </w:numPr>
      <w:autoSpaceDE w:val="0"/>
      <w:autoSpaceDN w:val="0"/>
      <w:adjustRightInd w:val="0"/>
      <w:spacing w:after="120" w:line="240" w:lineRule="auto"/>
      <w:contextualSpacing w:val="0"/>
    </w:pPr>
    <w:rPr>
      <w:rFonts w:ascii="Times New Roman" w:eastAsiaTheme="minorEastAsia" w:hAnsi="Times New Roman" w:cs="Times New Roman"/>
      <w:bCs/>
      <w:sz w:val="24"/>
      <w:szCs w:val="24"/>
      <w:lang w:eastAsia="en-AU"/>
    </w:rPr>
  </w:style>
  <w:style w:type="paragraph" w:customStyle="1" w:styleId="Bullets2ndindent">
    <w:name w:val="Bullets (2nd indent)"/>
    <w:basedOn w:val="Bullets1stindent"/>
    <w:qFormat/>
    <w:rsid w:val="00E44D0E"/>
    <w:pPr>
      <w:numPr>
        <w:ilvl w:val="1"/>
      </w:numPr>
    </w:pPr>
  </w:style>
  <w:style w:type="character" w:customStyle="1" w:styleId="Bullets1stindentChar">
    <w:name w:val="Bullets (1st indent) Char"/>
    <w:basedOn w:val="DefaultParagraphFont"/>
    <w:link w:val="Bullets1stindent"/>
    <w:rsid w:val="00E44D0E"/>
    <w:rPr>
      <w:rFonts w:ascii="Times New Roman" w:eastAsiaTheme="minorEastAsia" w:hAnsi="Times New Roman" w:cs="Times New Roman"/>
      <w:bC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FC70DE"/>
    <w:pPr>
      <w:spacing w:before="44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FC70DE"/>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9D7BB6"/>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qFormat/>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Normal"/>
    <w:uiPriority w:val="34"/>
    <w:qFormat/>
    <w:rsid w:val="00E44D0E"/>
    <w:pPr>
      <w:spacing w:after="200"/>
      <w:ind w:left="720"/>
      <w:contextualSpacing/>
    </w:pPr>
    <w:rPr>
      <w:sz w:val="22"/>
    </w:rPr>
  </w:style>
  <w:style w:type="paragraph" w:customStyle="1" w:styleId="Bullets1stindent">
    <w:name w:val="Bullets (1st indent)"/>
    <w:basedOn w:val="ListParagraph"/>
    <w:link w:val="Bullets1stindentChar"/>
    <w:qFormat/>
    <w:rsid w:val="00E44D0E"/>
    <w:pPr>
      <w:widowControl w:val="0"/>
      <w:numPr>
        <w:numId w:val="13"/>
      </w:numPr>
      <w:autoSpaceDE w:val="0"/>
      <w:autoSpaceDN w:val="0"/>
      <w:adjustRightInd w:val="0"/>
      <w:spacing w:after="120" w:line="240" w:lineRule="auto"/>
      <w:contextualSpacing w:val="0"/>
    </w:pPr>
    <w:rPr>
      <w:rFonts w:ascii="Times New Roman" w:eastAsiaTheme="minorEastAsia" w:hAnsi="Times New Roman" w:cs="Times New Roman"/>
      <w:bCs/>
      <w:sz w:val="24"/>
      <w:szCs w:val="24"/>
      <w:lang w:eastAsia="en-AU"/>
    </w:rPr>
  </w:style>
  <w:style w:type="paragraph" w:customStyle="1" w:styleId="Bullets2ndindent">
    <w:name w:val="Bullets (2nd indent)"/>
    <w:basedOn w:val="Bullets1stindent"/>
    <w:qFormat/>
    <w:rsid w:val="00E44D0E"/>
    <w:pPr>
      <w:numPr>
        <w:ilvl w:val="1"/>
      </w:numPr>
    </w:pPr>
  </w:style>
  <w:style w:type="character" w:customStyle="1" w:styleId="Bullets1stindentChar">
    <w:name w:val="Bullets (1st indent) Char"/>
    <w:basedOn w:val="DefaultParagraphFont"/>
    <w:link w:val="Bullets1stindent"/>
    <w:rsid w:val="00E44D0E"/>
    <w:rPr>
      <w:rFonts w:ascii="Times New Roman" w:eastAsiaTheme="minorEastAsia" w:hAnsi="Times New Roman" w:cs="Times New Roman"/>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ergyrating@industry.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ce.gov.au/resource-management/charging-framewor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AE1B-AF28-468A-A297-F2F98044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42</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Report</vt:lpstr>
    </vt:vector>
  </TitlesOfParts>
  <Company>Australian Government | Department of Industry, Innovation and Science</Company>
  <LinksUpToDate>false</LinksUpToDate>
  <CharactersWithSpaces>7116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GEMS Fees Review 2016</dc:title>
  <dc:creator>GEMS Regulator</dc:creator>
  <cp:keywords>Report template</cp:keywords>
  <cp:lastModifiedBy>Bergan, Laura</cp:lastModifiedBy>
  <cp:revision>9</cp:revision>
  <cp:lastPrinted>2015-09-21T00:08:00Z</cp:lastPrinted>
  <dcterms:created xsi:type="dcterms:W3CDTF">2016-03-17T22:06:00Z</dcterms:created>
  <dcterms:modified xsi:type="dcterms:W3CDTF">2016-03-18T02:56:00Z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MarkAsFinal">
    <vt:bool>true</vt:bool>
  </property>
</Properties>
</file>