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CB" w:rsidRPr="00C51E9C" w:rsidRDefault="003D1BCB" w:rsidP="00D5307C">
      <w:pPr>
        <w:spacing w:after="0" w:line="240" w:lineRule="auto"/>
        <w:rPr>
          <w:rFonts w:ascii="Arial" w:eastAsiaTheme="majorEastAsia" w:hAnsi="Arial" w:cstheme="majorBidi"/>
          <w:b/>
          <w:bCs/>
          <w:color w:val="4A7729"/>
          <w:kern w:val="28"/>
          <w:sz w:val="30"/>
          <w:szCs w:val="30"/>
          <w:lang w:val="en-US" w:eastAsia="en-US"/>
        </w:rPr>
      </w:pPr>
      <w:r w:rsidRPr="00C51E9C">
        <w:rPr>
          <w:rFonts w:ascii="Arial" w:eastAsiaTheme="majorEastAsia" w:hAnsi="Arial" w:cstheme="majorBidi"/>
          <w:b/>
          <w:bCs/>
          <w:color w:val="4A7729"/>
          <w:kern w:val="28"/>
          <w:sz w:val="30"/>
          <w:szCs w:val="30"/>
          <w:lang w:val="en-US" w:eastAsia="en-US"/>
        </w:rPr>
        <w:t xml:space="preserve">GEMS </w:t>
      </w:r>
      <w:r w:rsidR="0036316F" w:rsidRPr="00C51E9C">
        <w:rPr>
          <w:rFonts w:ascii="Arial" w:eastAsiaTheme="majorEastAsia" w:hAnsi="Arial" w:cstheme="majorBidi"/>
          <w:b/>
          <w:bCs/>
          <w:color w:val="4A7729"/>
          <w:kern w:val="28"/>
          <w:sz w:val="30"/>
          <w:szCs w:val="30"/>
          <w:lang w:val="en-US" w:eastAsia="en-US"/>
        </w:rPr>
        <w:t xml:space="preserve">ACT </w:t>
      </w:r>
      <w:r w:rsidRPr="00C51E9C">
        <w:rPr>
          <w:rFonts w:ascii="Arial" w:eastAsiaTheme="majorEastAsia" w:hAnsi="Arial" w:cstheme="majorBidi"/>
          <w:b/>
          <w:bCs/>
          <w:color w:val="4A7729"/>
          <w:kern w:val="28"/>
          <w:sz w:val="30"/>
          <w:szCs w:val="30"/>
          <w:lang w:val="en-US" w:eastAsia="en-US"/>
        </w:rPr>
        <w:t>COMPLIANCE:</w:t>
      </w:r>
    </w:p>
    <w:p w:rsidR="006D5A8C" w:rsidRDefault="009D2EC4" w:rsidP="006D5A8C">
      <w:pPr>
        <w:spacing w:after="0" w:line="240" w:lineRule="auto"/>
        <w:rPr>
          <w:rFonts w:ascii="Arial" w:eastAsiaTheme="majorEastAsia" w:hAnsi="Arial" w:cstheme="majorBidi"/>
          <w:b/>
          <w:bCs/>
          <w:color w:val="4A7729"/>
          <w:kern w:val="28"/>
          <w:sz w:val="30"/>
          <w:szCs w:val="30"/>
          <w:lang w:val="en-US" w:eastAsia="en-US"/>
        </w:rPr>
      </w:pPr>
      <w:r w:rsidRPr="00C51E9C">
        <w:rPr>
          <w:rFonts w:ascii="Arial" w:eastAsiaTheme="majorEastAsia" w:hAnsi="Arial" w:cstheme="majorBidi"/>
          <w:b/>
          <w:bCs/>
          <w:color w:val="4A7729"/>
          <w:kern w:val="28"/>
          <w:sz w:val="30"/>
          <w:szCs w:val="30"/>
          <w:lang w:val="en-US" w:eastAsia="en-US"/>
        </w:rPr>
        <w:t xml:space="preserve">MARKET SURVEILLANCE </w:t>
      </w:r>
      <w:r w:rsidR="00224A07" w:rsidRPr="00C51E9C">
        <w:rPr>
          <w:rFonts w:ascii="Arial" w:eastAsiaTheme="majorEastAsia" w:hAnsi="Arial" w:cstheme="majorBidi"/>
          <w:b/>
          <w:bCs/>
          <w:color w:val="4A7729"/>
          <w:kern w:val="28"/>
          <w:sz w:val="30"/>
          <w:szCs w:val="30"/>
          <w:lang w:val="en-US" w:eastAsia="en-US"/>
        </w:rPr>
        <w:t>RESULTS</w:t>
      </w:r>
      <w:r w:rsidR="00586AE1" w:rsidRPr="00C51E9C">
        <w:rPr>
          <w:rFonts w:ascii="Arial" w:eastAsiaTheme="majorEastAsia" w:hAnsi="Arial" w:cstheme="majorBidi"/>
          <w:b/>
          <w:bCs/>
          <w:color w:val="4A7729"/>
          <w:kern w:val="28"/>
          <w:sz w:val="30"/>
          <w:szCs w:val="30"/>
          <w:lang w:val="en-US" w:eastAsia="en-US"/>
        </w:rPr>
        <w:t xml:space="preserve"> - </w:t>
      </w:r>
      <w:r w:rsidR="00857E87" w:rsidRPr="00C51E9C">
        <w:rPr>
          <w:rFonts w:ascii="Arial" w:eastAsiaTheme="majorEastAsia" w:hAnsi="Arial" w:cstheme="majorBidi"/>
          <w:b/>
          <w:bCs/>
          <w:color w:val="4A7729"/>
          <w:kern w:val="28"/>
          <w:sz w:val="30"/>
          <w:szCs w:val="30"/>
          <w:lang w:val="en-US" w:eastAsia="en-US"/>
        </w:rPr>
        <w:t>JULY</w:t>
      </w:r>
      <w:r w:rsidR="002A1579" w:rsidRPr="00C51E9C">
        <w:rPr>
          <w:rFonts w:ascii="Arial" w:eastAsiaTheme="majorEastAsia" w:hAnsi="Arial" w:cstheme="majorBidi"/>
          <w:b/>
          <w:bCs/>
          <w:color w:val="4A7729"/>
          <w:kern w:val="28"/>
          <w:sz w:val="30"/>
          <w:szCs w:val="30"/>
          <w:lang w:val="en-US" w:eastAsia="en-US"/>
        </w:rPr>
        <w:t xml:space="preserve"> 201</w:t>
      </w:r>
      <w:r w:rsidR="004B7D24">
        <w:rPr>
          <w:rFonts w:ascii="Arial" w:eastAsiaTheme="majorEastAsia" w:hAnsi="Arial" w:cstheme="majorBidi"/>
          <w:b/>
          <w:bCs/>
          <w:color w:val="4A7729"/>
          <w:kern w:val="28"/>
          <w:sz w:val="30"/>
          <w:szCs w:val="30"/>
          <w:lang w:val="en-US" w:eastAsia="en-US"/>
        </w:rPr>
        <w:t>6</w:t>
      </w:r>
      <w:r w:rsidR="00857E87" w:rsidRPr="00C51E9C">
        <w:rPr>
          <w:rFonts w:ascii="Arial" w:eastAsiaTheme="majorEastAsia" w:hAnsi="Arial" w:cstheme="majorBidi"/>
          <w:b/>
          <w:bCs/>
          <w:color w:val="4A7729"/>
          <w:kern w:val="28"/>
          <w:sz w:val="30"/>
          <w:szCs w:val="30"/>
          <w:lang w:val="en-US" w:eastAsia="en-US"/>
        </w:rPr>
        <w:t xml:space="preserve"> to JUNE 201</w:t>
      </w:r>
      <w:r w:rsidR="004B7D24">
        <w:rPr>
          <w:rFonts w:ascii="Arial" w:eastAsiaTheme="majorEastAsia" w:hAnsi="Arial" w:cstheme="majorBidi"/>
          <w:b/>
          <w:bCs/>
          <w:color w:val="4A7729"/>
          <w:kern w:val="28"/>
          <w:sz w:val="30"/>
          <w:szCs w:val="30"/>
          <w:lang w:val="en-US" w:eastAsia="en-US"/>
        </w:rPr>
        <w:t>7</w:t>
      </w:r>
    </w:p>
    <w:p w:rsidR="00E50AAA" w:rsidRPr="00104818" w:rsidRDefault="003E35A9" w:rsidP="006D5A8C">
      <w:pPr>
        <w:spacing w:after="0" w:line="240" w:lineRule="auto"/>
        <w:rPr>
          <w:rFonts w:ascii="Arial" w:eastAsiaTheme="majorEastAsia" w:hAnsi="Arial" w:cstheme="majorBidi"/>
          <w:b/>
          <w:bCs/>
          <w:color w:val="4A7729"/>
          <w:kern w:val="28"/>
          <w:sz w:val="32"/>
          <w:szCs w:val="32"/>
          <w:lang w:val="en-US" w:eastAsia="en-US"/>
        </w:rPr>
      </w:pPr>
      <w:r>
        <w:rPr>
          <w:rFonts w:ascii="Arial" w:eastAsiaTheme="majorEastAsia" w:hAnsi="Arial" w:cstheme="majorBidi"/>
          <w:b/>
          <w:bCs/>
          <w:color w:val="4A7729"/>
          <w:kern w:val="28"/>
          <w:sz w:val="30"/>
          <w:szCs w:val="30"/>
          <w:lang w:val="en-US" w:eastAsia="en-US"/>
        </w:rPr>
        <w:t xml:space="preserve">COMPLIANCE WITH </w:t>
      </w:r>
      <w:r w:rsidR="00C04525">
        <w:rPr>
          <w:rFonts w:ascii="Arial" w:eastAsiaTheme="majorEastAsia" w:hAnsi="Arial" w:cstheme="majorBidi"/>
          <w:b/>
          <w:bCs/>
          <w:color w:val="4A7729"/>
          <w:kern w:val="28"/>
          <w:sz w:val="30"/>
          <w:szCs w:val="30"/>
          <w:lang w:val="en-US" w:eastAsia="en-US"/>
        </w:rPr>
        <w:t xml:space="preserve">REGISTRATION AND </w:t>
      </w:r>
      <w:r>
        <w:rPr>
          <w:rFonts w:ascii="Arial" w:eastAsiaTheme="majorEastAsia" w:hAnsi="Arial" w:cstheme="majorBidi"/>
          <w:b/>
          <w:bCs/>
          <w:color w:val="4A7729"/>
          <w:kern w:val="28"/>
          <w:sz w:val="30"/>
          <w:szCs w:val="30"/>
          <w:lang w:val="en-US" w:eastAsia="en-US"/>
        </w:rPr>
        <w:t>ENERGY RATING LABEL REQUIREMENTS</w:t>
      </w:r>
    </w:p>
    <w:p w:rsidR="006D5A8C" w:rsidRPr="00861BDE" w:rsidRDefault="006D5A8C" w:rsidP="00F1661C">
      <w:pPr>
        <w:spacing w:after="0" w:line="240" w:lineRule="auto"/>
        <w:rPr>
          <w:rFonts w:ascii="Arial" w:hAnsi="Arial" w:cs="Arial"/>
          <w:sz w:val="20"/>
          <w:szCs w:val="20"/>
        </w:rPr>
      </w:pPr>
    </w:p>
    <w:p w:rsidR="00F1661C" w:rsidRPr="00861BDE" w:rsidRDefault="00F1661C" w:rsidP="00F1661C">
      <w:pPr>
        <w:spacing w:after="0" w:line="240" w:lineRule="auto"/>
        <w:rPr>
          <w:rFonts w:ascii="Arial" w:hAnsi="Arial" w:cs="Arial"/>
          <w:sz w:val="20"/>
          <w:szCs w:val="20"/>
        </w:rPr>
      </w:pPr>
    </w:p>
    <w:p w:rsidR="006D5A8C" w:rsidRPr="009237BC" w:rsidRDefault="009D2EC4" w:rsidP="008F7D96">
      <w:pPr>
        <w:pStyle w:val="ListParagraph"/>
        <w:numPr>
          <w:ilvl w:val="0"/>
          <w:numId w:val="17"/>
        </w:numPr>
        <w:spacing w:after="120" w:line="240" w:lineRule="auto"/>
        <w:ind w:left="357" w:hanging="357"/>
        <w:rPr>
          <w:rFonts w:ascii="Arial" w:eastAsiaTheme="majorEastAsia" w:hAnsi="Arial" w:cstheme="majorBidi"/>
          <w:b/>
          <w:bCs/>
          <w:color w:val="4A7729"/>
          <w:kern w:val="28"/>
          <w:sz w:val="28"/>
          <w:szCs w:val="28"/>
          <w:lang w:val="en-US"/>
        </w:rPr>
      </w:pPr>
      <w:r>
        <w:rPr>
          <w:rFonts w:ascii="Arial" w:eastAsiaTheme="majorEastAsia" w:hAnsi="Arial" w:cstheme="majorBidi"/>
          <w:b/>
          <w:bCs/>
          <w:color w:val="4A7729"/>
          <w:kern w:val="28"/>
          <w:sz w:val="28"/>
          <w:szCs w:val="28"/>
          <w:lang w:val="en-US"/>
        </w:rPr>
        <w:t>Purpose</w:t>
      </w:r>
    </w:p>
    <w:p w:rsidR="00874A05" w:rsidRDefault="00791951" w:rsidP="00874A05">
      <w:pPr>
        <w:spacing w:after="0" w:line="240" w:lineRule="auto"/>
        <w:rPr>
          <w:rFonts w:ascii="Arial" w:hAnsi="Arial" w:cs="Arial"/>
          <w:sz w:val="20"/>
          <w:szCs w:val="20"/>
        </w:rPr>
      </w:pPr>
      <w:r>
        <w:rPr>
          <w:rFonts w:ascii="Arial" w:hAnsi="Arial" w:cs="Arial"/>
          <w:sz w:val="20"/>
          <w:szCs w:val="20"/>
        </w:rPr>
        <w:t xml:space="preserve">This report, covering the period </w:t>
      </w:r>
      <w:r w:rsidRPr="00C51E9C">
        <w:rPr>
          <w:rFonts w:ascii="Arial" w:hAnsi="Arial" w:cs="Arial"/>
          <w:sz w:val="20"/>
          <w:szCs w:val="20"/>
        </w:rPr>
        <w:t>between 1 July 201</w:t>
      </w:r>
      <w:r>
        <w:rPr>
          <w:rFonts w:ascii="Arial" w:hAnsi="Arial" w:cs="Arial"/>
          <w:sz w:val="20"/>
          <w:szCs w:val="20"/>
        </w:rPr>
        <w:t>6</w:t>
      </w:r>
      <w:r w:rsidRPr="00C51E9C">
        <w:rPr>
          <w:rFonts w:ascii="Arial" w:hAnsi="Arial" w:cs="Arial"/>
          <w:sz w:val="20"/>
          <w:szCs w:val="20"/>
        </w:rPr>
        <w:t xml:space="preserve"> and 30 June 201</w:t>
      </w:r>
      <w:r>
        <w:rPr>
          <w:rFonts w:ascii="Arial" w:hAnsi="Arial" w:cs="Arial"/>
          <w:sz w:val="20"/>
          <w:szCs w:val="20"/>
        </w:rPr>
        <w:t>7, presents the results of m</w:t>
      </w:r>
      <w:r w:rsidR="009D2EC4" w:rsidRPr="00C51E9C">
        <w:rPr>
          <w:rFonts w:ascii="Arial" w:hAnsi="Arial" w:cs="Arial"/>
          <w:sz w:val="20"/>
          <w:szCs w:val="20"/>
        </w:rPr>
        <w:t>arket surveillance</w:t>
      </w:r>
      <w:r w:rsidR="004D56E5" w:rsidRPr="00C51E9C">
        <w:rPr>
          <w:rFonts w:ascii="Arial" w:hAnsi="Arial" w:cs="Arial"/>
          <w:sz w:val="20"/>
          <w:szCs w:val="20"/>
        </w:rPr>
        <w:t xml:space="preserve"> </w:t>
      </w:r>
      <w:r w:rsidR="009D2EC4" w:rsidRPr="00C51E9C">
        <w:rPr>
          <w:rFonts w:ascii="Arial" w:hAnsi="Arial" w:cs="Arial"/>
          <w:sz w:val="20"/>
          <w:szCs w:val="20"/>
        </w:rPr>
        <w:t>of models of</w:t>
      </w:r>
      <w:r w:rsidR="008A169A" w:rsidRPr="00C51E9C">
        <w:rPr>
          <w:rFonts w:ascii="Arial" w:hAnsi="Arial" w:cs="Arial"/>
          <w:sz w:val="20"/>
          <w:szCs w:val="20"/>
        </w:rPr>
        <w:t xml:space="preserve"> </w:t>
      </w:r>
      <w:r w:rsidR="00C04525">
        <w:rPr>
          <w:rFonts w:ascii="Arial" w:hAnsi="Arial" w:cs="Arial"/>
          <w:sz w:val="20"/>
          <w:szCs w:val="20"/>
        </w:rPr>
        <w:t xml:space="preserve">eight </w:t>
      </w:r>
      <w:r w:rsidR="008A169A" w:rsidRPr="00C51E9C">
        <w:rPr>
          <w:rFonts w:ascii="Arial" w:hAnsi="Arial" w:cs="Arial"/>
          <w:sz w:val="20"/>
          <w:szCs w:val="20"/>
        </w:rPr>
        <w:t>GEMS products</w:t>
      </w:r>
      <w:r w:rsidR="00934497" w:rsidRPr="00C51E9C">
        <w:rPr>
          <w:rFonts w:ascii="Arial" w:hAnsi="Arial" w:cs="Arial"/>
          <w:sz w:val="20"/>
          <w:szCs w:val="20"/>
        </w:rPr>
        <w:t xml:space="preserve"> </w:t>
      </w:r>
      <w:r w:rsidR="00C04525">
        <w:rPr>
          <w:rFonts w:ascii="Arial" w:hAnsi="Arial" w:cs="Arial"/>
          <w:sz w:val="20"/>
          <w:szCs w:val="20"/>
        </w:rPr>
        <w:t>required to display an</w:t>
      </w:r>
      <w:r w:rsidR="00934497" w:rsidRPr="00C51E9C">
        <w:rPr>
          <w:rFonts w:ascii="Arial" w:hAnsi="Arial" w:cs="Arial"/>
          <w:sz w:val="20"/>
          <w:szCs w:val="20"/>
        </w:rPr>
        <w:t xml:space="preserve"> Energy Rating L</w:t>
      </w:r>
      <w:r w:rsidR="00C04525">
        <w:rPr>
          <w:rFonts w:ascii="Arial" w:hAnsi="Arial" w:cs="Arial"/>
          <w:sz w:val="20"/>
          <w:szCs w:val="20"/>
        </w:rPr>
        <w:t>abel</w:t>
      </w:r>
      <w:r w:rsidR="00DB724E" w:rsidRPr="00C51E9C">
        <w:rPr>
          <w:rFonts w:ascii="Arial" w:hAnsi="Arial" w:cs="Arial"/>
          <w:sz w:val="20"/>
          <w:szCs w:val="20"/>
        </w:rPr>
        <w:t xml:space="preserve"> (ERL)</w:t>
      </w:r>
      <w:r w:rsidR="008C4041">
        <w:rPr>
          <w:rFonts w:ascii="Arial" w:hAnsi="Arial" w:cs="Arial"/>
          <w:sz w:val="20"/>
          <w:szCs w:val="20"/>
        </w:rPr>
        <w:t xml:space="preserve"> </w:t>
      </w:r>
      <w:r w:rsidR="00C04525">
        <w:rPr>
          <w:rFonts w:ascii="Arial" w:hAnsi="Arial" w:cs="Arial"/>
          <w:sz w:val="20"/>
          <w:szCs w:val="20"/>
        </w:rPr>
        <w:t>when supplied</w:t>
      </w:r>
      <w:r w:rsidR="00874A05" w:rsidRPr="00C51E9C">
        <w:rPr>
          <w:rFonts w:ascii="Arial" w:hAnsi="Arial" w:cs="Arial"/>
          <w:sz w:val="20"/>
          <w:szCs w:val="20"/>
        </w:rPr>
        <w:t>.</w:t>
      </w:r>
    </w:p>
    <w:p w:rsidR="004D56E5" w:rsidRDefault="004D56E5" w:rsidP="00224A07">
      <w:pPr>
        <w:spacing w:after="0" w:line="240" w:lineRule="auto"/>
        <w:rPr>
          <w:rFonts w:ascii="Arial" w:hAnsi="Arial" w:cs="Arial"/>
          <w:sz w:val="20"/>
          <w:szCs w:val="20"/>
        </w:rPr>
      </w:pPr>
    </w:p>
    <w:p w:rsidR="009D2EC4" w:rsidRPr="00B24F4C" w:rsidRDefault="00B24F4C" w:rsidP="00B24F4C">
      <w:pPr>
        <w:pStyle w:val="ListParagraph"/>
        <w:numPr>
          <w:ilvl w:val="0"/>
          <w:numId w:val="17"/>
        </w:numPr>
        <w:spacing w:after="120" w:line="240" w:lineRule="auto"/>
        <w:ind w:left="357" w:hanging="357"/>
        <w:rPr>
          <w:rFonts w:ascii="Arial" w:eastAsiaTheme="majorEastAsia" w:hAnsi="Arial" w:cstheme="majorBidi"/>
          <w:b/>
          <w:bCs/>
          <w:color w:val="4A7729"/>
          <w:kern w:val="28"/>
          <w:sz w:val="28"/>
          <w:szCs w:val="28"/>
          <w:lang w:val="en-US"/>
        </w:rPr>
      </w:pPr>
      <w:r w:rsidRPr="00B24F4C">
        <w:rPr>
          <w:rFonts w:ascii="Arial" w:eastAsiaTheme="majorEastAsia" w:hAnsi="Arial" w:cstheme="majorBidi"/>
          <w:b/>
          <w:bCs/>
          <w:color w:val="4A7729"/>
          <w:kern w:val="28"/>
          <w:sz w:val="28"/>
          <w:szCs w:val="28"/>
          <w:lang w:val="en-US"/>
        </w:rPr>
        <w:t>Background</w:t>
      </w:r>
    </w:p>
    <w:p w:rsidR="00401C23" w:rsidRDefault="00B24F4C" w:rsidP="00224A07">
      <w:pPr>
        <w:spacing w:after="0" w:line="240" w:lineRule="auto"/>
        <w:rPr>
          <w:rFonts w:ascii="Arial" w:hAnsi="Arial" w:cs="Arial"/>
          <w:sz w:val="20"/>
          <w:szCs w:val="20"/>
        </w:rPr>
      </w:pPr>
      <w:r w:rsidRPr="00C51E9C">
        <w:rPr>
          <w:rFonts w:ascii="Arial" w:hAnsi="Arial" w:cs="Arial"/>
          <w:sz w:val="20"/>
          <w:szCs w:val="20"/>
        </w:rPr>
        <w:t>Market surveillance refers to activities undertaken by GEMS inspectors to ensure models of GEMS products meet GEMS registration and labelling requirements once in the marketplace</w:t>
      </w:r>
      <w:r w:rsidR="00F81783" w:rsidRPr="00C51E9C">
        <w:rPr>
          <w:rFonts w:ascii="Arial" w:hAnsi="Arial" w:cs="Arial"/>
          <w:sz w:val="20"/>
          <w:szCs w:val="20"/>
        </w:rPr>
        <w:t>. It is focused on</w:t>
      </w:r>
      <w:r w:rsidR="00C22EC2">
        <w:rPr>
          <w:rFonts w:ascii="Arial" w:hAnsi="Arial" w:cs="Arial"/>
          <w:sz w:val="20"/>
          <w:szCs w:val="20"/>
        </w:rPr>
        <w:t xml:space="preserve"> suppliers - </w:t>
      </w:r>
      <w:r w:rsidR="00791951">
        <w:rPr>
          <w:rFonts w:ascii="Arial" w:hAnsi="Arial" w:cs="Arial"/>
          <w:sz w:val="20"/>
          <w:szCs w:val="20"/>
        </w:rPr>
        <w:t xml:space="preserve">retailers, importers - </w:t>
      </w:r>
      <w:r w:rsidR="00F81783" w:rsidRPr="00C51E9C">
        <w:rPr>
          <w:rFonts w:ascii="Arial" w:hAnsi="Arial" w:cs="Arial"/>
          <w:sz w:val="20"/>
          <w:szCs w:val="20"/>
        </w:rPr>
        <w:t>and where applicable, manufacturers.</w:t>
      </w:r>
      <w:r w:rsidR="00401C23" w:rsidRPr="00C51E9C">
        <w:rPr>
          <w:rFonts w:ascii="Arial" w:hAnsi="Arial" w:cs="Arial"/>
          <w:sz w:val="20"/>
          <w:szCs w:val="20"/>
        </w:rPr>
        <w:t xml:space="preserve"> </w:t>
      </w:r>
    </w:p>
    <w:p w:rsidR="00531B05" w:rsidRDefault="00531B05" w:rsidP="00224A07">
      <w:pPr>
        <w:spacing w:after="0" w:line="240" w:lineRule="auto"/>
        <w:rPr>
          <w:rFonts w:ascii="Arial" w:hAnsi="Arial" w:cs="Arial"/>
          <w:sz w:val="20"/>
          <w:szCs w:val="20"/>
        </w:rPr>
      </w:pPr>
    </w:p>
    <w:p w:rsidR="00BB614D" w:rsidRPr="00BB614D" w:rsidRDefault="003E35A9" w:rsidP="00BB614D">
      <w:pPr>
        <w:pStyle w:val="ListParagraph"/>
        <w:numPr>
          <w:ilvl w:val="0"/>
          <w:numId w:val="17"/>
        </w:numPr>
        <w:spacing w:after="120" w:line="240" w:lineRule="auto"/>
        <w:ind w:left="357" w:hanging="357"/>
        <w:rPr>
          <w:rFonts w:ascii="Arial" w:eastAsiaTheme="majorEastAsia" w:hAnsi="Arial" w:cstheme="majorBidi"/>
          <w:b/>
          <w:bCs/>
          <w:color w:val="4A7729"/>
          <w:kern w:val="28"/>
          <w:sz w:val="28"/>
          <w:szCs w:val="28"/>
          <w:lang w:val="en-US"/>
        </w:rPr>
      </w:pPr>
      <w:r>
        <w:rPr>
          <w:rFonts w:ascii="Arial" w:eastAsiaTheme="majorEastAsia" w:hAnsi="Arial" w:cstheme="majorBidi"/>
          <w:b/>
          <w:bCs/>
          <w:color w:val="4A7729"/>
          <w:kern w:val="28"/>
          <w:sz w:val="28"/>
          <w:szCs w:val="28"/>
          <w:lang w:val="en-US"/>
        </w:rPr>
        <w:t xml:space="preserve">The </w:t>
      </w:r>
      <w:r w:rsidR="00C04525">
        <w:rPr>
          <w:rFonts w:ascii="Arial" w:eastAsiaTheme="majorEastAsia" w:hAnsi="Arial" w:cstheme="majorBidi"/>
          <w:b/>
          <w:bCs/>
          <w:color w:val="4A7729"/>
          <w:kern w:val="28"/>
          <w:sz w:val="28"/>
          <w:szCs w:val="28"/>
          <w:lang w:val="en-US"/>
        </w:rPr>
        <w:t>Market Surveillance</w:t>
      </w:r>
      <w:r>
        <w:rPr>
          <w:rFonts w:ascii="Arial" w:eastAsiaTheme="majorEastAsia" w:hAnsi="Arial" w:cstheme="majorBidi"/>
          <w:b/>
          <w:bCs/>
          <w:color w:val="4A7729"/>
          <w:kern w:val="28"/>
          <w:sz w:val="28"/>
          <w:szCs w:val="28"/>
          <w:lang w:val="en-US"/>
        </w:rPr>
        <w:t xml:space="preserve"> </w:t>
      </w:r>
    </w:p>
    <w:p w:rsidR="003E35A9" w:rsidRDefault="0083595E" w:rsidP="00224A07">
      <w:pPr>
        <w:spacing w:after="0" w:line="240" w:lineRule="auto"/>
        <w:rPr>
          <w:rFonts w:ascii="Arial" w:hAnsi="Arial" w:cs="Arial"/>
          <w:sz w:val="20"/>
          <w:szCs w:val="20"/>
        </w:rPr>
      </w:pPr>
      <w:r w:rsidRPr="009837DC">
        <w:rPr>
          <w:rFonts w:ascii="Arial" w:hAnsi="Arial" w:cs="Arial"/>
          <w:sz w:val="20"/>
          <w:szCs w:val="20"/>
        </w:rPr>
        <w:t xml:space="preserve">During this period </w:t>
      </w:r>
      <w:r w:rsidR="00BB614D" w:rsidRPr="009837DC">
        <w:rPr>
          <w:rFonts w:ascii="Arial" w:hAnsi="Arial" w:cs="Arial"/>
          <w:sz w:val="20"/>
          <w:szCs w:val="20"/>
        </w:rPr>
        <w:t xml:space="preserve">GEMS inspectors attended </w:t>
      </w:r>
      <w:r w:rsidR="00A74901" w:rsidRPr="009837DC">
        <w:rPr>
          <w:rFonts w:ascii="Arial" w:hAnsi="Arial" w:cs="Arial"/>
          <w:sz w:val="20"/>
          <w:szCs w:val="20"/>
        </w:rPr>
        <w:t xml:space="preserve">the stores of </w:t>
      </w:r>
      <w:r w:rsidR="00E13D11" w:rsidRPr="009837DC">
        <w:rPr>
          <w:rFonts w:ascii="Arial" w:hAnsi="Arial" w:cs="Arial"/>
          <w:sz w:val="20"/>
          <w:szCs w:val="20"/>
        </w:rPr>
        <w:t xml:space="preserve">34 </w:t>
      </w:r>
      <w:r w:rsidR="006C18E2" w:rsidRPr="009837DC">
        <w:rPr>
          <w:rFonts w:ascii="Arial" w:hAnsi="Arial" w:cs="Arial"/>
          <w:sz w:val="20"/>
          <w:szCs w:val="20"/>
        </w:rPr>
        <w:t xml:space="preserve">different </w:t>
      </w:r>
      <w:r w:rsidR="003D296D" w:rsidRPr="009837DC">
        <w:rPr>
          <w:rFonts w:ascii="Arial" w:hAnsi="Arial" w:cs="Arial"/>
          <w:sz w:val="20"/>
          <w:szCs w:val="20"/>
        </w:rPr>
        <w:t xml:space="preserve">national </w:t>
      </w:r>
      <w:r w:rsidR="009837DC" w:rsidRPr="009837DC">
        <w:rPr>
          <w:rFonts w:ascii="Arial" w:hAnsi="Arial" w:cs="Arial"/>
          <w:sz w:val="20"/>
          <w:szCs w:val="20"/>
        </w:rPr>
        <w:t>retail chains and franchises and</w:t>
      </w:r>
      <w:r w:rsidR="00E13D11" w:rsidRPr="009837DC">
        <w:rPr>
          <w:rFonts w:ascii="Arial" w:hAnsi="Arial" w:cs="Arial"/>
          <w:sz w:val="20"/>
          <w:szCs w:val="20"/>
        </w:rPr>
        <w:t xml:space="preserve"> state-</w:t>
      </w:r>
      <w:r w:rsidR="003D296D" w:rsidRPr="009837DC">
        <w:rPr>
          <w:rFonts w:ascii="Arial" w:hAnsi="Arial" w:cs="Arial"/>
          <w:sz w:val="20"/>
          <w:szCs w:val="20"/>
        </w:rPr>
        <w:t>based</w:t>
      </w:r>
      <w:r w:rsidR="00BB614D" w:rsidRPr="009837DC">
        <w:rPr>
          <w:rFonts w:ascii="Arial" w:hAnsi="Arial" w:cs="Arial"/>
          <w:sz w:val="20"/>
          <w:szCs w:val="20"/>
        </w:rPr>
        <w:t xml:space="preserve"> </w:t>
      </w:r>
      <w:r w:rsidR="00E13D11" w:rsidRPr="009837DC">
        <w:rPr>
          <w:rFonts w:ascii="Arial" w:hAnsi="Arial" w:cs="Arial"/>
          <w:sz w:val="20"/>
          <w:szCs w:val="20"/>
        </w:rPr>
        <w:t xml:space="preserve">local independent </w:t>
      </w:r>
      <w:r w:rsidR="009837DC" w:rsidRPr="009837DC">
        <w:rPr>
          <w:rFonts w:ascii="Arial" w:hAnsi="Arial" w:cs="Arial"/>
          <w:sz w:val="20"/>
          <w:szCs w:val="20"/>
        </w:rPr>
        <w:t>retail stores dealing in whitegoods, electrical and computer products, ac</w:t>
      </w:r>
      <w:r w:rsidR="00BB614D" w:rsidRPr="009837DC">
        <w:rPr>
          <w:rFonts w:ascii="Arial" w:hAnsi="Arial" w:cs="Arial"/>
          <w:sz w:val="20"/>
          <w:szCs w:val="20"/>
        </w:rPr>
        <w:t xml:space="preserve">ross the </w:t>
      </w:r>
      <w:r w:rsidR="00B60787" w:rsidRPr="009837DC">
        <w:rPr>
          <w:rFonts w:ascii="Arial" w:hAnsi="Arial" w:cs="Arial"/>
          <w:sz w:val="20"/>
          <w:szCs w:val="20"/>
        </w:rPr>
        <w:t>central business districts</w:t>
      </w:r>
      <w:r w:rsidR="00A467E4" w:rsidRPr="009837DC">
        <w:rPr>
          <w:rFonts w:ascii="Arial" w:hAnsi="Arial" w:cs="Arial"/>
          <w:sz w:val="20"/>
          <w:szCs w:val="20"/>
        </w:rPr>
        <w:t xml:space="preserve">, </w:t>
      </w:r>
      <w:r w:rsidR="00B60787" w:rsidRPr="009837DC">
        <w:rPr>
          <w:rFonts w:ascii="Arial" w:hAnsi="Arial" w:cs="Arial"/>
          <w:sz w:val="20"/>
          <w:szCs w:val="20"/>
        </w:rPr>
        <w:t>suburb</w:t>
      </w:r>
      <w:r w:rsidR="009837DC" w:rsidRPr="009837DC">
        <w:rPr>
          <w:rFonts w:ascii="Arial" w:hAnsi="Arial" w:cs="Arial"/>
          <w:sz w:val="20"/>
          <w:szCs w:val="20"/>
        </w:rPr>
        <w:t xml:space="preserve">s, and regional areas </w:t>
      </w:r>
      <w:r w:rsidR="00C04525">
        <w:rPr>
          <w:rFonts w:ascii="Arial" w:hAnsi="Arial" w:cs="Arial"/>
          <w:sz w:val="20"/>
          <w:szCs w:val="20"/>
        </w:rPr>
        <w:t xml:space="preserve">of </w:t>
      </w:r>
      <w:r w:rsidR="009837DC" w:rsidRPr="009837DC">
        <w:rPr>
          <w:rFonts w:ascii="Arial" w:hAnsi="Arial" w:cs="Arial"/>
          <w:sz w:val="20"/>
          <w:szCs w:val="20"/>
        </w:rPr>
        <w:t>all states and territories of Australia</w:t>
      </w:r>
      <w:r w:rsidR="00C04525">
        <w:rPr>
          <w:rFonts w:ascii="Arial" w:hAnsi="Arial" w:cs="Arial"/>
          <w:sz w:val="20"/>
          <w:szCs w:val="20"/>
        </w:rPr>
        <w:t>. GEMS Inspectors also conducted online market surveillance to ensure models of GEMS products offered for supply, met GEMS registration requirements.</w:t>
      </w:r>
      <w:r w:rsidR="00C04525">
        <w:rPr>
          <w:rStyle w:val="FootnoteReference"/>
          <w:rFonts w:ascii="Arial" w:hAnsi="Arial" w:cs="Arial"/>
          <w:sz w:val="20"/>
          <w:szCs w:val="20"/>
        </w:rPr>
        <w:footnoteReference w:id="1"/>
      </w:r>
    </w:p>
    <w:p w:rsidR="004E4F15" w:rsidRDefault="004E4F15" w:rsidP="00224A07">
      <w:pPr>
        <w:spacing w:after="0" w:line="240" w:lineRule="auto"/>
        <w:rPr>
          <w:rFonts w:ascii="Arial" w:hAnsi="Arial" w:cs="Arial"/>
          <w:sz w:val="20"/>
          <w:szCs w:val="20"/>
        </w:rPr>
      </w:pPr>
    </w:p>
    <w:p w:rsidR="003E35A9" w:rsidRDefault="00C04525" w:rsidP="00224A07">
      <w:pPr>
        <w:spacing w:after="0" w:line="240" w:lineRule="auto"/>
        <w:rPr>
          <w:rFonts w:ascii="Arial" w:hAnsi="Arial" w:cs="Arial"/>
          <w:sz w:val="20"/>
          <w:szCs w:val="20"/>
        </w:rPr>
      </w:pPr>
      <w:r>
        <w:rPr>
          <w:rFonts w:ascii="Arial" w:hAnsi="Arial" w:cs="Arial"/>
          <w:sz w:val="20"/>
          <w:szCs w:val="20"/>
        </w:rPr>
        <w:t>A tot</w:t>
      </w:r>
      <w:r w:rsidR="00EE4789">
        <w:rPr>
          <w:rFonts w:ascii="Arial" w:hAnsi="Arial" w:cs="Arial"/>
          <w:sz w:val="20"/>
          <w:szCs w:val="20"/>
        </w:rPr>
        <w:t xml:space="preserve">al of 3,591 products of models </w:t>
      </w:r>
      <w:r>
        <w:rPr>
          <w:rFonts w:ascii="Arial" w:hAnsi="Arial" w:cs="Arial"/>
          <w:sz w:val="20"/>
          <w:szCs w:val="20"/>
        </w:rPr>
        <w:t xml:space="preserve">were surveyed to ensure GEMS registration compliance. 3,367 of these were surveyed to ensure compliance with ERL requirements. </w:t>
      </w:r>
    </w:p>
    <w:p w:rsidR="00C04525" w:rsidRPr="009837DC" w:rsidRDefault="00C04525" w:rsidP="00224A07">
      <w:pPr>
        <w:spacing w:after="0" w:line="240" w:lineRule="auto"/>
        <w:rPr>
          <w:rFonts w:ascii="Arial" w:hAnsi="Arial" w:cs="Arial"/>
          <w:sz w:val="20"/>
          <w:szCs w:val="20"/>
        </w:rPr>
      </w:pPr>
    </w:p>
    <w:p w:rsidR="005067C7" w:rsidRPr="00C51E9C" w:rsidRDefault="005067C7" w:rsidP="00224A07">
      <w:pPr>
        <w:spacing w:after="0" w:line="240" w:lineRule="auto"/>
        <w:rPr>
          <w:rFonts w:ascii="Arial" w:hAnsi="Arial" w:cs="Arial"/>
          <w:sz w:val="20"/>
          <w:szCs w:val="20"/>
        </w:rPr>
      </w:pPr>
    </w:p>
    <w:p w:rsidR="00F81783" w:rsidRDefault="00FB2C59" w:rsidP="00F81783">
      <w:pPr>
        <w:pStyle w:val="ListParagraph"/>
        <w:numPr>
          <w:ilvl w:val="0"/>
          <w:numId w:val="17"/>
        </w:numPr>
        <w:spacing w:after="120" w:line="240" w:lineRule="auto"/>
        <w:ind w:left="357" w:hanging="357"/>
        <w:rPr>
          <w:rFonts w:ascii="Arial" w:eastAsiaTheme="majorEastAsia" w:hAnsi="Arial" w:cstheme="majorBidi"/>
          <w:b/>
          <w:bCs/>
          <w:color w:val="4A7729"/>
          <w:kern w:val="28"/>
          <w:sz w:val="28"/>
          <w:szCs w:val="28"/>
          <w:lang w:val="en-US"/>
        </w:rPr>
      </w:pPr>
      <w:r>
        <w:rPr>
          <w:rFonts w:ascii="Arial" w:eastAsiaTheme="majorEastAsia" w:hAnsi="Arial" w:cstheme="majorBidi"/>
          <w:b/>
          <w:bCs/>
          <w:color w:val="4A7729"/>
          <w:kern w:val="28"/>
          <w:sz w:val="28"/>
          <w:szCs w:val="28"/>
          <w:lang w:val="en-US"/>
        </w:rPr>
        <w:t>The Results</w:t>
      </w:r>
    </w:p>
    <w:p w:rsidR="00D54E7C" w:rsidRDefault="00D54E7C" w:rsidP="00F81783">
      <w:pPr>
        <w:spacing w:after="0" w:line="240" w:lineRule="auto"/>
        <w:rPr>
          <w:rFonts w:ascii="Arial" w:hAnsi="Arial" w:cs="Arial"/>
          <w:sz w:val="20"/>
          <w:szCs w:val="20"/>
        </w:rPr>
      </w:pPr>
      <w:r w:rsidRPr="00C51E9C">
        <w:rPr>
          <w:rFonts w:ascii="Arial" w:hAnsi="Arial" w:cs="Arial"/>
          <w:sz w:val="20"/>
          <w:szCs w:val="20"/>
        </w:rPr>
        <w:t xml:space="preserve">The following tables </w:t>
      </w:r>
      <w:r w:rsidR="00190233" w:rsidRPr="00C51E9C">
        <w:rPr>
          <w:rFonts w:ascii="Arial" w:hAnsi="Arial" w:cs="Arial"/>
          <w:sz w:val="20"/>
          <w:szCs w:val="20"/>
        </w:rPr>
        <w:t xml:space="preserve">summarise </w:t>
      </w:r>
      <w:r w:rsidR="00523187" w:rsidRPr="00C51E9C">
        <w:rPr>
          <w:rFonts w:ascii="Arial" w:hAnsi="Arial" w:cs="Arial"/>
          <w:sz w:val="20"/>
          <w:szCs w:val="20"/>
        </w:rPr>
        <w:t xml:space="preserve">the key </w:t>
      </w:r>
      <w:r w:rsidR="001522A3" w:rsidRPr="00C51E9C">
        <w:rPr>
          <w:rFonts w:ascii="Arial" w:hAnsi="Arial" w:cs="Arial"/>
          <w:sz w:val="20"/>
          <w:szCs w:val="20"/>
        </w:rPr>
        <w:t>results. Further</w:t>
      </w:r>
      <w:r w:rsidR="003D7187" w:rsidRPr="00C51E9C">
        <w:rPr>
          <w:rFonts w:ascii="Arial" w:hAnsi="Arial" w:cs="Arial"/>
          <w:sz w:val="20"/>
          <w:szCs w:val="20"/>
        </w:rPr>
        <w:t xml:space="preserve"> table</w:t>
      </w:r>
      <w:r w:rsidR="00E315E0" w:rsidRPr="00C51E9C">
        <w:rPr>
          <w:rFonts w:ascii="Arial" w:hAnsi="Arial" w:cs="Arial"/>
          <w:sz w:val="20"/>
          <w:szCs w:val="20"/>
        </w:rPr>
        <w:t xml:space="preserve">s are </w:t>
      </w:r>
      <w:r w:rsidR="003D7187" w:rsidRPr="00C51E9C">
        <w:rPr>
          <w:rFonts w:ascii="Arial" w:hAnsi="Arial" w:cs="Arial"/>
          <w:sz w:val="20"/>
          <w:szCs w:val="20"/>
        </w:rPr>
        <w:t xml:space="preserve">available at </w:t>
      </w:r>
      <w:r w:rsidR="00301108" w:rsidRPr="00C51E9C">
        <w:rPr>
          <w:rFonts w:ascii="Arial" w:hAnsi="Arial" w:cs="Arial"/>
          <w:sz w:val="20"/>
          <w:szCs w:val="20"/>
        </w:rPr>
        <w:t>Attachment</w:t>
      </w:r>
      <w:r w:rsidR="003D7187" w:rsidRPr="00C51E9C">
        <w:rPr>
          <w:rFonts w:ascii="Arial" w:hAnsi="Arial" w:cs="Arial"/>
          <w:sz w:val="20"/>
          <w:szCs w:val="20"/>
        </w:rPr>
        <w:t xml:space="preserve"> “A”.</w:t>
      </w:r>
    </w:p>
    <w:p w:rsidR="00DE48D4" w:rsidRDefault="00DE48D4" w:rsidP="00F81783">
      <w:pPr>
        <w:spacing w:after="0" w:line="240" w:lineRule="auto"/>
        <w:rPr>
          <w:rFonts w:ascii="Arial" w:hAnsi="Arial" w:cs="Arial"/>
          <w:sz w:val="20"/>
          <w:szCs w:val="20"/>
        </w:rPr>
      </w:pPr>
    </w:p>
    <w:p w:rsidR="00DE48D4" w:rsidRDefault="00DE48D4" w:rsidP="00DE48D4">
      <w:pPr>
        <w:pStyle w:val="ListParagraph"/>
        <w:numPr>
          <w:ilvl w:val="1"/>
          <w:numId w:val="17"/>
        </w:numPr>
        <w:spacing w:after="120" w:line="240" w:lineRule="auto"/>
        <w:ind w:left="788" w:hanging="431"/>
        <w:rPr>
          <w:rFonts w:ascii="Arial" w:eastAsiaTheme="majorEastAsia" w:hAnsi="Arial" w:cstheme="majorBidi"/>
          <w:b/>
          <w:bCs/>
          <w:color w:val="4A7729"/>
          <w:kern w:val="28"/>
          <w:sz w:val="26"/>
          <w:szCs w:val="26"/>
          <w:lang w:val="en-US"/>
        </w:rPr>
      </w:pPr>
      <w:r>
        <w:rPr>
          <w:rFonts w:ascii="Arial" w:eastAsiaTheme="majorEastAsia" w:hAnsi="Arial" w:cstheme="majorBidi"/>
          <w:b/>
          <w:bCs/>
          <w:color w:val="4A7729"/>
          <w:kern w:val="28"/>
          <w:sz w:val="26"/>
          <w:szCs w:val="26"/>
          <w:lang w:val="en-US"/>
        </w:rPr>
        <w:t>Approved Registrations</w:t>
      </w:r>
    </w:p>
    <w:p w:rsidR="00DE48D4" w:rsidRDefault="00DE48D4" w:rsidP="00DE48D4">
      <w:pPr>
        <w:pStyle w:val="Caption"/>
        <w:keepNext/>
      </w:pPr>
      <w:r>
        <w:t xml:space="preserve">Table </w:t>
      </w:r>
      <w:fldSimple w:instr=" SEQ Table \* ARABIC ">
        <w:r w:rsidR="00BA25D1">
          <w:rPr>
            <w:noProof/>
          </w:rPr>
          <w:t>1</w:t>
        </w:r>
      </w:fldSimple>
      <w:r>
        <w:t xml:space="preserve"> - Approved Registrations</w:t>
      </w:r>
    </w:p>
    <w:tbl>
      <w:tblPr>
        <w:tblW w:w="86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quot;Approved&quot; registrations."/>
        <w:tblDescription w:val="This table shows the number and percentage of products holding “Approved” registrations at the time of the market surveillance."/>
      </w:tblPr>
      <w:tblGrid>
        <w:gridCol w:w="3397"/>
        <w:gridCol w:w="1560"/>
        <w:gridCol w:w="1579"/>
        <w:gridCol w:w="2126"/>
      </w:tblGrid>
      <w:tr w:rsidR="00C04525" w:rsidRPr="00DE48D4" w:rsidTr="00455347">
        <w:tc>
          <w:tcPr>
            <w:tcW w:w="3397" w:type="dxa"/>
            <w:shd w:val="clear" w:color="auto" w:fill="D6E3BC" w:themeFill="accent3" w:themeFillTint="66"/>
            <w:noWrap/>
            <w:hideMark/>
          </w:tcPr>
          <w:p w:rsidR="00C04525" w:rsidRPr="00DE48D4" w:rsidRDefault="00C04525" w:rsidP="00455347">
            <w:pPr>
              <w:spacing w:before="100" w:beforeAutospacing="1" w:after="100" w:afterAutospacing="1" w:line="240" w:lineRule="auto"/>
              <w:rPr>
                <w:rFonts w:ascii="Arial" w:eastAsia="Times New Roman" w:hAnsi="Arial" w:cs="Arial"/>
                <w:b/>
                <w:sz w:val="20"/>
                <w:szCs w:val="20"/>
              </w:rPr>
            </w:pPr>
            <w:r w:rsidRPr="00DE48D4">
              <w:rPr>
                <w:rFonts w:ascii="Arial" w:eastAsia="Times New Roman" w:hAnsi="Arial" w:cs="Arial"/>
                <w:b/>
                <w:sz w:val="20"/>
                <w:szCs w:val="20"/>
              </w:rPr>
              <w:t>GEMS Product</w:t>
            </w:r>
          </w:p>
        </w:tc>
        <w:tc>
          <w:tcPr>
            <w:tcW w:w="1560" w:type="dxa"/>
            <w:shd w:val="clear" w:color="auto" w:fill="D6E3BC" w:themeFill="accent3" w:themeFillTint="66"/>
          </w:tcPr>
          <w:p w:rsidR="00C04525" w:rsidRPr="00DE48D4" w:rsidRDefault="00C04525" w:rsidP="00455347">
            <w:pPr>
              <w:spacing w:before="100" w:beforeAutospacing="1" w:after="100" w:afterAutospacing="1" w:line="240" w:lineRule="auto"/>
              <w:jc w:val="right"/>
              <w:rPr>
                <w:rFonts w:ascii="Arial" w:eastAsia="Times New Roman" w:hAnsi="Arial" w:cs="Arial"/>
                <w:b/>
                <w:sz w:val="20"/>
                <w:szCs w:val="20"/>
              </w:rPr>
            </w:pPr>
            <w:r w:rsidRPr="00DE48D4">
              <w:rPr>
                <w:rFonts w:ascii="Arial" w:eastAsia="Times New Roman" w:hAnsi="Arial" w:cs="Arial"/>
                <w:b/>
                <w:sz w:val="20"/>
                <w:szCs w:val="20"/>
              </w:rPr>
              <w:t>Total number inspected</w:t>
            </w:r>
          </w:p>
        </w:tc>
        <w:tc>
          <w:tcPr>
            <w:tcW w:w="1579" w:type="dxa"/>
            <w:shd w:val="clear" w:color="auto" w:fill="D6E3BC" w:themeFill="accent3" w:themeFillTint="66"/>
            <w:noWrap/>
            <w:hideMark/>
          </w:tcPr>
          <w:p w:rsidR="00C04525" w:rsidRPr="00DE48D4" w:rsidRDefault="00C04525" w:rsidP="00455347">
            <w:pPr>
              <w:spacing w:before="100" w:beforeAutospacing="1" w:after="100" w:afterAutospacing="1" w:line="240" w:lineRule="auto"/>
              <w:jc w:val="right"/>
              <w:rPr>
                <w:rFonts w:ascii="Arial" w:eastAsia="Times New Roman" w:hAnsi="Arial" w:cs="Arial"/>
                <w:b/>
                <w:sz w:val="20"/>
                <w:szCs w:val="20"/>
              </w:rPr>
            </w:pPr>
            <w:r w:rsidRPr="00DE48D4">
              <w:rPr>
                <w:rFonts w:ascii="Arial" w:eastAsia="Times New Roman" w:hAnsi="Arial" w:cs="Arial"/>
                <w:b/>
                <w:sz w:val="20"/>
                <w:szCs w:val="20"/>
              </w:rPr>
              <w:t>Number Approved</w:t>
            </w:r>
          </w:p>
        </w:tc>
        <w:tc>
          <w:tcPr>
            <w:tcW w:w="2126" w:type="dxa"/>
            <w:shd w:val="clear" w:color="auto" w:fill="D6E3BC" w:themeFill="accent3" w:themeFillTint="66"/>
            <w:noWrap/>
            <w:hideMark/>
          </w:tcPr>
          <w:p w:rsidR="00C04525" w:rsidRPr="00DE48D4" w:rsidRDefault="00DE48D4" w:rsidP="00455347">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 xml:space="preserve">% </w:t>
            </w:r>
            <w:r w:rsidR="00C04525" w:rsidRPr="00DE48D4">
              <w:rPr>
                <w:rFonts w:ascii="Arial" w:eastAsia="Times New Roman" w:hAnsi="Arial" w:cs="Arial"/>
                <w:b/>
                <w:sz w:val="20"/>
                <w:szCs w:val="20"/>
              </w:rPr>
              <w:t>Percentage Approved</w:t>
            </w:r>
          </w:p>
        </w:tc>
      </w:tr>
      <w:tr w:rsidR="00C04525" w:rsidRPr="00DE48D4" w:rsidTr="00455347">
        <w:tc>
          <w:tcPr>
            <w:tcW w:w="3397" w:type="dxa"/>
            <w:shd w:val="clear" w:color="auto" w:fill="auto"/>
            <w:noWrap/>
          </w:tcPr>
          <w:p w:rsidR="00C04525" w:rsidRPr="00DE48D4" w:rsidRDefault="00C04525" w:rsidP="00455347">
            <w:pPr>
              <w:spacing w:before="100" w:beforeAutospacing="1" w:after="100" w:afterAutospacing="1" w:line="240" w:lineRule="auto"/>
              <w:rPr>
                <w:rFonts w:ascii="Arial" w:eastAsia="Times New Roman" w:hAnsi="Arial" w:cs="Arial"/>
                <w:color w:val="000000"/>
                <w:sz w:val="20"/>
                <w:szCs w:val="20"/>
              </w:rPr>
            </w:pPr>
            <w:r w:rsidRPr="00DE48D4">
              <w:rPr>
                <w:rFonts w:ascii="Arial" w:eastAsia="Times New Roman" w:hAnsi="Arial" w:cs="Arial"/>
                <w:color w:val="000000"/>
                <w:sz w:val="20"/>
                <w:szCs w:val="20"/>
              </w:rPr>
              <w:t>Clothes Washer</w:t>
            </w:r>
            <w:r w:rsidR="00DE48D4">
              <w:rPr>
                <w:rFonts w:ascii="Arial" w:eastAsia="Times New Roman" w:hAnsi="Arial" w:cs="Arial"/>
                <w:color w:val="000000"/>
                <w:sz w:val="20"/>
                <w:szCs w:val="20"/>
              </w:rPr>
              <w:t>s</w:t>
            </w:r>
            <w:r w:rsidRPr="00DE48D4">
              <w:rPr>
                <w:rFonts w:ascii="Arial" w:eastAsia="Times New Roman" w:hAnsi="Arial" w:cs="Arial"/>
                <w:color w:val="000000"/>
                <w:sz w:val="20"/>
                <w:szCs w:val="20"/>
              </w:rPr>
              <w:t>/Dryer</w:t>
            </w:r>
            <w:r w:rsidR="00DE48D4">
              <w:rPr>
                <w:rFonts w:ascii="Arial" w:eastAsia="Times New Roman" w:hAnsi="Arial" w:cs="Arial"/>
                <w:color w:val="000000"/>
                <w:sz w:val="20"/>
                <w:szCs w:val="20"/>
              </w:rPr>
              <w:t>s</w:t>
            </w:r>
            <w:r w:rsidRPr="00DE48D4">
              <w:rPr>
                <w:rFonts w:ascii="Arial" w:eastAsia="Times New Roman" w:hAnsi="Arial" w:cs="Arial"/>
                <w:color w:val="000000"/>
                <w:sz w:val="20"/>
                <w:szCs w:val="20"/>
              </w:rPr>
              <w:t xml:space="preserve"> </w:t>
            </w:r>
            <w:r w:rsidRPr="00DE48D4">
              <w:rPr>
                <w:rStyle w:val="FootnoteReference"/>
                <w:rFonts w:ascii="Arial" w:eastAsia="Times New Roman" w:hAnsi="Arial" w:cs="Arial"/>
                <w:color w:val="000000"/>
                <w:sz w:val="20"/>
                <w:szCs w:val="20"/>
              </w:rPr>
              <w:footnoteReference w:id="2"/>
            </w:r>
          </w:p>
        </w:tc>
        <w:tc>
          <w:tcPr>
            <w:tcW w:w="1560" w:type="dxa"/>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12</w:t>
            </w:r>
          </w:p>
        </w:tc>
        <w:tc>
          <w:tcPr>
            <w:tcW w:w="1579"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12</w:t>
            </w:r>
          </w:p>
        </w:tc>
        <w:tc>
          <w:tcPr>
            <w:tcW w:w="2126" w:type="dxa"/>
            <w:shd w:val="clear" w:color="auto" w:fill="auto"/>
            <w:noWrap/>
          </w:tcPr>
          <w:p w:rsidR="00C04525" w:rsidRPr="00DE48D4" w:rsidRDefault="00DE48D4" w:rsidP="00455347">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100.0</w:t>
            </w:r>
          </w:p>
        </w:tc>
      </w:tr>
      <w:tr w:rsidR="00C04525" w:rsidRPr="00DE48D4" w:rsidTr="00455347">
        <w:tc>
          <w:tcPr>
            <w:tcW w:w="3397" w:type="dxa"/>
            <w:shd w:val="clear" w:color="auto" w:fill="auto"/>
            <w:noWrap/>
          </w:tcPr>
          <w:p w:rsidR="00C04525" w:rsidRPr="00DE48D4" w:rsidRDefault="00C04525" w:rsidP="00455347">
            <w:pPr>
              <w:spacing w:before="100" w:beforeAutospacing="1" w:after="100" w:afterAutospacing="1" w:line="240" w:lineRule="auto"/>
              <w:rPr>
                <w:rFonts w:ascii="Arial" w:eastAsia="Times New Roman" w:hAnsi="Arial" w:cs="Arial"/>
                <w:color w:val="000000"/>
                <w:sz w:val="20"/>
                <w:szCs w:val="20"/>
              </w:rPr>
            </w:pPr>
            <w:r w:rsidRPr="00DE48D4">
              <w:rPr>
                <w:rFonts w:ascii="Arial" w:eastAsia="Times New Roman" w:hAnsi="Arial" w:cs="Arial"/>
                <w:color w:val="000000"/>
                <w:sz w:val="20"/>
                <w:szCs w:val="20"/>
              </w:rPr>
              <w:t>Clothes Dryer</w:t>
            </w:r>
            <w:r w:rsidR="00DE48D4">
              <w:rPr>
                <w:rFonts w:ascii="Arial" w:eastAsia="Times New Roman" w:hAnsi="Arial" w:cs="Arial"/>
                <w:color w:val="000000"/>
                <w:sz w:val="20"/>
                <w:szCs w:val="20"/>
              </w:rPr>
              <w:t>s</w:t>
            </w:r>
            <w:r w:rsidRPr="00DE48D4">
              <w:rPr>
                <w:rFonts w:ascii="Arial" w:eastAsia="Times New Roman" w:hAnsi="Arial" w:cs="Arial"/>
                <w:color w:val="000000"/>
                <w:sz w:val="20"/>
                <w:szCs w:val="20"/>
              </w:rPr>
              <w:t xml:space="preserve"> </w:t>
            </w:r>
          </w:p>
        </w:tc>
        <w:tc>
          <w:tcPr>
            <w:tcW w:w="1560" w:type="dxa"/>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310</w:t>
            </w:r>
          </w:p>
        </w:tc>
        <w:tc>
          <w:tcPr>
            <w:tcW w:w="1579"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307</w:t>
            </w:r>
          </w:p>
        </w:tc>
        <w:tc>
          <w:tcPr>
            <w:tcW w:w="2126" w:type="dxa"/>
            <w:shd w:val="clear" w:color="auto" w:fill="auto"/>
            <w:noWrap/>
          </w:tcPr>
          <w:p w:rsidR="00C04525" w:rsidRPr="00DE48D4" w:rsidRDefault="00DE48D4" w:rsidP="00455347">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99.0</w:t>
            </w:r>
          </w:p>
        </w:tc>
      </w:tr>
      <w:tr w:rsidR="00C04525" w:rsidRPr="00DE48D4" w:rsidTr="00455347">
        <w:tc>
          <w:tcPr>
            <w:tcW w:w="3397" w:type="dxa"/>
            <w:shd w:val="clear" w:color="auto" w:fill="auto"/>
            <w:noWrap/>
          </w:tcPr>
          <w:p w:rsidR="00DE48D4" w:rsidRPr="00DE48D4" w:rsidRDefault="00C04525" w:rsidP="00455347">
            <w:pPr>
              <w:spacing w:before="100" w:beforeAutospacing="1" w:after="100" w:afterAutospacing="1" w:line="240" w:lineRule="auto"/>
              <w:rPr>
                <w:rFonts w:ascii="Arial" w:eastAsia="Times New Roman" w:hAnsi="Arial" w:cs="Arial"/>
                <w:color w:val="000000"/>
                <w:sz w:val="20"/>
                <w:szCs w:val="20"/>
              </w:rPr>
            </w:pPr>
            <w:r w:rsidRPr="00DE48D4">
              <w:rPr>
                <w:rFonts w:ascii="Arial" w:eastAsia="Times New Roman" w:hAnsi="Arial" w:cs="Arial"/>
                <w:color w:val="000000"/>
                <w:sz w:val="20"/>
                <w:szCs w:val="20"/>
              </w:rPr>
              <w:t>Television</w:t>
            </w:r>
            <w:r w:rsidR="00DE48D4">
              <w:rPr>
                <w:rFonts w:ascii="Arial" w:eastAsia="Times New Roman" w:hAnsi="Arial" w:cs="Arial"/>
                <w:color w:val="000000"/>
                <w:sz w:val="20"/>
                <w:szCs w:val="20"/>
              </w:rPr>
              <w:t>s</w:t>
            </w:r>
            <w:r w:rsidRPr="00DE48D4">
              <w:rPr>
                <w:rFonts w:ascii="Arial" w:eastAsia="Times New Roman" w:hAnsi="Arial" w:cs="Arial"/>
                <w:color w:val="000000"/>
                <w:sz w:val="20"/>
                <w:szCs w:val="20"/>
              </w:rPr>
              <w:t xml:space="preserve"> </w:t>
            </w:r>
          </w:p>
        </w:tc>
        <w:tc>
          <w:tcPr>
            <w:tcW w:w="1560" w:type="dxa"/>
          </w:tcPr>
          <w:p w:rsidR="00C04525" w:rsidRPr="00DE48D4" w:rsidRDefault="00C04525" w:rsidP="00455347">
            <w:pPr>
              <w:spacing w:before="100" w:beforeAutospacing="1" w:after="100" w:afterAutospacing="1" w:line="240" w:lineRule="auto"/>
              <w:jc w:val="right"/>
              <w:rPr>
                <w:rFonts w:ascii="Arial" w:eastAsia="Times New Roman" w:hAnsi="Arial" w:cs="Arial"/>
                <w:color w:val="000000"/>
                <w:sz w:val="20"/>
                <w:szCs w:val="20"/>
              </w:rPr>
            </w:pPr>
            <w:r w:rsidRPr="00DE48D4">
              <w:rPr>
                <w:rFonts w:ascii="Arial" w:eastAsia="Times New Roman" w:hAnsi="Arial" w:cs="Arial"/>
                <w:color w:val="000000"/>
                <w:sz w:val="20"/>
                <w:szCs w:val="20"/>
              </w:rPr>
              <w:t>586</w:t>
            </w:r>
          </w:p>
        </w:tc>
        <w:tc>
          <w:tcPr>
            <w:tcW w:w="1579" w:type="dxa"/>
            <w:shd w:val="clear" w:color="auto" w:fill="auto"/>
            <w:noWrap/>
          </w:tcPr>
          <w:p w:rsidR="00C04525" w:rsidRPr="00DE48D4" w:rsidRDefault="00C04525" w:rsidP="00455347">
            <w:pPr>
              <w:spacing w:before="100" w:beforeAutospacing="1" w:after="100" w:afterAutospacing="1" w:line="240" w:lineRule="auto"/>
              <w:jc w:val="right"/>
              <w:rPr>
                <w:rFonts w:ascii="Arial" w:eastAsia="Times New Roman" w:hAnsi="Arial" w:cs="Arial"/>
                <w:color w:val="000000"/>
                <w:sz w:val="20"/>
                <w:szCs w:val="20"/>
              </w:rPr>
            </w:pPr>
            <w:r w:rsidRPr="00DE48D4">
              <w:rPr>
                <w:rFonts w:ascii="Arial" w:eastAsia="Times New Roman" w:hAnsi="Arial" w:cs="Arial"/>
                <w:color w:val="000000"/>
                <w:sz w:val="20"/>
                <w:szCs w:val="20"/>
              </w:rPr>
              <w:t>576</w:t>
            </w:r>
          </w:p>
        </w:tc>
        <w:tc>
          <w:tcPr>
            <w:tcW w:w="2126" w:type="dxa"/>
            <w:shd w:val="clear" w:color="auto" w:fill="auto"/>
            <w:noWrap/>
          </w:tcPr>
          <w:p w:rsidR="00C04525" w:rsidRPr="00DE48D4" w:rsidRDefault="00DE48D4" w:rsidP="00455347">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98.3</w:t>
            </w:r>
          </w:p>
        </w:tc>
      </w:tr>
      <w:tr w:rsidR="00C04525" w:rsidRPr="00DE48D4" w:rsidTr="00455347">
        <w:tc>
          <w:tcPr>
            <w:tcW w:w="3397" w:type="dxa"/>
            <w:shd w:val="clear" w:color="auto" w:fill="auto"/>
            <w:noWrap/>
          </w:tcPr>
          <w:p w:rsidR="00C04525" w:rsidRPr="00DE48D4" w:rsidRDefault="00C04525" w:rsidP="00455347">
            <w:pPr>
              <w:spacing w:before="100" w:beforeAutospacing="1" w:after="100" w:afterAutospacing="1" w:line="240" w:lineRule="auto"/>
              <w:rPr>
                <w:rFonts w:ascii="Arial" w:eastAsia="Times New Roman" w:hAnsi="Arial" w:cs="Arial"/>
                <w:color w:val="000000"/>
                <w:sz w:val="20"/>
                <w:szCs w:val="20"/>
              </w:rPr>
            </w:pPr>
            <w:r w:rsidRPr="00DE48D4">
              <w:rPr>
                <w:rFonts w:ascii="Arial" w:eastAsia="Times New Roman" w:hAnsi="Arial" w:cs="Arial"/>
                <w:color w:val="000000"/>
                <w:sz w:val="20"/>
                <w:szCs w:val="20"/>
              </w:rPr>
              <w:t>Dishwasher</w:t>
            </w:r>
            <w:r w:rsidR="00DE48D4">
              <w:rPr>
                <w:rFonts w:ascii="Arial" w:eastAsia="Times New Roman" w:hAnsi="Arial" w:cs="Arial"/>
                <w:color w:val="000000"/>
                <w:sz w:val="20"/>
                <w:szCs w:val="20"/>
              </w:rPr>
              <w:t>s</w:t>
            </w:r>
            <w:r w:rsidRPr="00DE48D4">
              <w:rPr>
                <w:rFonts w:ascii="Arial" w:eastAsia="Times New Roman" w:hAnsi="Arial" w:cs="Arial"/>
                <w:color w:val="000000"/>
                <w:sz w:val="20"/>
                <w:szCs w:val="20"/>
              </w:rPr>
              <w:t xml:space="preserve"> </w:t>
            </w:r>
          </w:p>
        </w:tc>
        <w:tc>
          <w:tcPr>
            <w:tcW w:w="1560" w:type="dxa"/>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621</w:t>
            </w:r>
          </w:p>
        </w:tc>
        <w:tc>
          <w:tcPr>
            <w:tcW w:w="1579"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609</w:t>
            </w:r>
          </w:p>
        </w:tc>
        <w:tc>
          <w:tcPr>
            <w:tcW w:w="2126" w:type="dxa"/>
            <w:shd w:val="clear" w:color="auto" w:fill="auto"/>
            <w:noWrap/>
          </w:tcPr>
          <w:p w:rsidR="00C04525" w:rsidRPr="00DE48D4" w:rsidRDefault="00DE48D4" w:rsidP="00455347">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98.1</w:t>
            </w:r>
          </w:p>
        </w:tc>
      </w:tr>
      <w:tr w:rsidR="00C04525" w:rsidRPr="00DE48D4" w:rsidTr="00455347">
        <w:tc>
          <w:tcPr>
            <w:tcW w:w="3397" w:type="dxa"/>
            <w:shd w:val="clear" w:color="auto" w:fill="auto"/>
            <w:noWrap/>
          </w:tcPr>
          <w:p w:rsidR="00C04525" w:rsidRPr="00DE48D4" w:rsidRDefault="00C04525" w:rsidP="00455347">
            <w:pPr>
              <w:spacing w:before="100" w:beforeAutospacing="1" w:after="100" w:afterAutospacing="1" w:line="240" w:lineRule="auto"/>
              <w:rPr>
                <w:rFonts w:ascii="Arial" w:eastAsia="Times New Roman" w:hAnsi="Arial" w:cs="Arial"/>
                <w:color w:val="000000"/>
                <w:sz w:val="20"/>
                <w:szCs w:val="20"/>
              </w:rPr>
            </w:pPr>
            <w:r w:rsidRPr="00DE48D4">
              <w:rPr>
                <w:rFonts w:ascii="Arial" w:eastAsia="Times New Roman" w:hAnsi="Arial" w:cs="Arial"/>
                <w:color w:val="000000"/>
                <w:sz w:val="20"/>
                <w:szCs w:val="20"/>
              </w:rPr>
              <w:t>Clothes Washing Machine</w:t>
            </w:r>
            <w:r w:rsidR="00DE48D4">
              <w:rPr>
                <w:rFonts w:ascii="Arial" w:eastAsia="Times New Roman" w:hAnsi="Arial" w:cs="Arial"/>
                <w:color w:val="000000"/>
                <w:sz w:val="20"/>
                <w:szCs w:val="20"/>
              </w:rPr>
              <w:t>s</w:t>
            </w:r>
            <w:r w:rsidRPr="00DE48D4">
              <w:rPr>
                <w:rFonts w:ascii="Arial" w:eastAsia="Times New Roman" w:hAnsi="Arial" w:cs="Arial"/>
                <w:color w:val="000000"/>
                <w:sz w:val="20"/>
                <w:szCs w:val="20"/>
              </w:rPr>
              <w:t xml:space="preserve"> </w:t>
            </w:r>
          </w:p>
        </w:tc>
        <w:tc>
          <w:tcPr>
            <w:tcW w:w="1560" w:type="dxa"/>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698</w:t>
            </w:r>
          </w:p>
        </w:tc>
        <w:tc>
          <w:tcPr>
            <w:tcW w:w="1579"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686</w:t>
            </w:r>
          </w:p>
        </w:tc>
        <w:tc>
          <w:tcPr>
            <w:tcW w:w="2126"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98.2</w:t>
            </w:r>
          </w:p>
        </w:tc>
      </w:tr>
      <w:tr w:rsidR="00C04525" w:rsidRPr="00DE48D4" w:rsidTr="00455347">
        <w:tc>
          <w:tcPr>
            <w:tcW w:w="3397" w:type="dxa"/>
            <w:shd w:val="clear" w:color="auto" w:fill="auto"/>
            <w:noWrap/>
          </w:tcPr>
          <w:p w:rsidR="00C04525" w:rsidRPr="00DE48D4" w:rsidRDefault="00DE48D4" w:rsidP="00455347">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Household </w:t>
            </w:r>
            <w:r w:rsidR="00C04525" w:rsidRPr="00DE48D4">
              <w:rPr>
                <w:rFonts w:ascii="Arial" w:eastAsia="Times New Roman" w:hAnsi="Arial" w:cs="Arial"/>
                <w:color w:val="000000"/>
                <w:sz w:val="20"/>
                <w:szCs w:val="20"/>
              </w:rPr>
              <w:t>Refrigerator</w:t>
            </w:r>
            <w:r>
              <w:rPr>
                <w:rFonts w:ascii="Arial" w:eastAsia="Times New Roman" w:hAnsi="Arial" w:cs="Arial"/>
                <w:color w:val="000000"/>
                <w:sz w:val="20"/>
                <w:szCs w:val="20"/>
              </w:rPr>
              <w:t>s</w:t>
            </w:r>
            <w:r w:rsidR="00C04525" w:rsidRPr="00DE48D4">
              <w:rPr>
                <w:rFonts w:ascii="Arial" w:eastAsia="Times New Roman" w:hAnsi="Arial" w:cs="Arial"/>
                <w:color w:val="000000"/>
                <w:sz w:val="20"/>
                <w:szCs w:val="20"/>
              </w:rPr>
              <w:t>/freezer</w:t>
            </w:r>
            <w:r>
              <w:rPr>
                <w:rFonts w:ascii="Arial" w:eastAsia="Times New Roman" w:hAnsi="Arial" w:cs="Arial"/>
                <w:color w:val="000000"/>
                <w:sz w:val="20"/>
                <w:szCs w:val="20"/>
              </w:rPr>
              <w:t>s</w:t>
            </w:r>
            <w:r w:rsidR="00C04525" w:rsidRPr="00DE48D4">
              <w:rPr>
                <w:rFonts w:ascii="Arial" w:eastAsia="Times New Roman" w:hAnsi="Arial" w:cs="Arial"/>
                <w:color w:val="000000"/>
                <w:sz w:val="20"/>
                <w:szCs w:val="20"/>
              </w:rPr>
              <w:t xml:space="preserve"> </w:t>
            </w:r>
          </w:p>
        </w:tc>
        <w:tc>
          <w:tcPr>
            <w:tcW w:w="1560" w:type="dxa"/>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973</w:t>
            </w:r>
          </w:p>
        </w:tc>
        <w:tc>
          <w:tcPr>
            <w:tcW w:w="1579"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937</w:t>
            </w:r>
          </w:p>
        </w:tc>
        <w:tc>
          <w:tcPr>
            <w:tcW w:w="2126" w:type="dxa"/>
            <w:shd w:val="clear" w:color="auto" w:fill="auto"/>
            <w:noWrap/>
          </w:tcPr>
          <w:p w:rsidR="00C04525" w:rsidRPr="00DE48D4" w:rsidRDefault="00DE48D4" w:rsidP="00455347">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96.3</w:t>
            </w:r>
          </w:p>
        </w:tc>
      </w:tr>
      <w:tr w:rsidR="00C04525" w:rsidRPr="00DE48D4" w:rsidTr="00455347">
        <w:tc>
          <w:tcPr>
            <w:tcW w:w="3397" w:type="dxa"/>
            <w:shd w:val="clear" w:color="auto" w:fill="auto"/>
            <w:noWrap/>
          </w:tcPr>
          <w:p w:rsidR="00C04525" w:rsidRPr="00DE48D4" w:rsidRDefault="00C04525" w:rsidP="00455347">
            <w:pPr>
              <w:spacing w:before="100" w:beforeAutospacing="1" w:after="100" w:afterAutospacing="1" w:line="240" w:lineRule="auto"/>
              <w:rPr>
                <w:rFonts w:ascii="Arial" w:eastAsia="Times New Roman" w:hAnsi="Arial" w:cs="Arial"/>
                <w:color w:val="000000"/>
                <w:sz w:val="20"/>
                <w:szCs w:val="20"/>
              </w:rPr>
            </w:pPr>
            <w:r w:rsidRPr="00DE48D4">
              <w:rPr>
                <w:rFonts w:ascii="Arial" w:eastAsia="Times New Roman" w:hAnsi="Arial" w:cs="Arial"/>
                <w:color w:val="000000"/>
                <w:sz w:val="20"/>
                <w:szCs w:val="20"/>
              </w:rPr>
              <w:t>Air Conditioner</w:t>
            </w:r>
            <w:r w:rsidR="00DE48D4">
              <w:rPr>
                <w:rFonts w:ascii="Arial" w:eastAsia="Times New Roman" w:hAnsi="Arial" w:cs="Arial"/>
                <w:color w:val="000000"/>
                <w:sz w:val="20"/>
                <w:szCs w:val="20"/>
              </w:rPr>
              <w:t>s</w:t>
            </w:r>
            <w:r w:rsidRPr="00DE48D4">
              <w:rPr>
                <w:rFonts w:ascii="Arial" w:eastAsia="Times New Roman" w:hAnsi="Arial" w:cs="Arial"/>
                <w:color w:val="000000"/>
                <w:sz w:val="20"/>
                <w:szCs w:val="20"/>
              </w:rPr>
              <w:t xml:space="preserve"> </w:t>
            </w:r>
          </w:p>
        </w:tc>
        <w:tc>
          <w:tcPr>
            <w:tcW w:w="1560" w:type="dxa"/>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230</w:t>
            </w:r>
          </w:p>
        </w:tc>
        <w:tc>
          <w:tcPr>
            <w:tcW w:w="1579"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214</w:t>
            </w:r>
          </w:p>
        </w:tc>
        <w:tc>
          <w:tcPr>
            <w:tcW w:w="2126"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93</w:t>
            </w:r>
            <w:r w:rsidR="00DE48D4">
              <w:rPr>
                <w:rFonts w:ascii="Arial" w:hAnsi="Arial" w:cs="Arial"/>
                <w:color w:val="000000"/>
                <w:sz w:val="20"/>
                <w:szCs w:val="20"/>
              </w:rPr>
              <w:t>.0</w:t>
            </w:r>
          </w:p>
        </w:tc>
      </w:tr>
      <w:tr w:rsidR="00C04525" w:rsidRPr="00DE48D4" w:rsidTr="00455347">
        <w:tc>
          <w:tcPr>
            <w:tcW w:w="3397" w:type="dxa"/>
            <w:shd w:val="clear" w:color="auto" w:fill="auto"/>
            <w:noWrap/>
          </w:tcPr>
          <w:p w:rsidR="00C04525" w:rsidRPr="00DE48D4" w:rsidRDefault="00C04525" w:rsidP="00455347">
            <w:pPr>
              <w:spacing w:before="100" w:beforeAutospacing="1" w:after="100" w:afterAutospacing="1" w:line="240" w:lineRule="auto"/>
              <w:rPr>
                <w:rFonts w:ascii="Arial" w:eastAsia="Times New Roman" w:hAnsi="Arial" w:cs="Arial"/>
                <w:color w:val="000000"/>
                <w:sz w:val="20"/>
                <w:szCs w:val="20"/>
              </w:rPr>
            </w:pPr>
            <w:r w:rsidRPr="00DE48D4">
              <w:rPr>
                <w:rFonts w:ascii="Arial" w:eastAsia="Times New Roman" w:hAnsi="Arial" w:cs="Arial"/>
                <w:color w:val="000000"/>
                <w:sz w:val="20"/>
                <w:szCs w:val="20"/>
              </w:rPr>
              <w:t>Computer Monitor</w:t>
            </w:r>
            <w:r w:rsidR="00DE48D4">
              <w:rPr>
                <w:rFonts w:ascii="Arial" w:eastAsia="Times New Roman" w:hAnsi="Arial" w:cs="Arial"/>
                <w:color w:val="000000"/>
                <w:sz w:val="20"/>
                <w:szCs w:val="20"/>
              </w:rPr>
              <w:t>s</w:t>
            </w:r>
          </w:p>
        </w:tc>
        <w:tc>
          <w:tcPr>
            <w:tcW w:w="1560" w:type="dxa"/>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161</w:t>
            </w:r>
          </w:p>
        </w:tc>
        <w:tc>
          <w:tcPr>
            <w:tcW w:w="1579" w:type="dxa"/>
            <w:shd w:val="clear" w:color="auto" w:fill="auto"/>
            <w:noWrap/>
          </w:tcPr>
          <w:p w:rsidR="00C04525" w:rsidRPr="00DE48D4" w:rsidRDefault="00C04525" w:rsidP="00455347">
            <w:pPr>
              <w:spacing w:before="100" w:beforeAutospacing="1" w:after="100" w:afterAutospacing="1"/>
              <w:jc w:val="right"/>
              <w:rPr>
                <w:rFonts w:ascii="Arial" w:hAnsi="Arial" w:cs="Arial"/>
                <w:color w:val="000000"/>
                <w:sz w:val="20"/>
                <w:szCs w:val="20"/>
              </w:rPr>
            </w:pPr>
            <w:r w:rsidRPr="00DE48D4">
              <w:rPr>
                <w:rFonts w:ascii="Arial" w:hAnsi="Arial" w:cs="Arial"/>
                <w:color w:val="000000"/>
                <w:sz w:val="20"/>
                <w:szCs w:val="20"/>
              </w:rPr>
              <w:t>139</w:t>
            </w:r>
          </w:p>
        </w:tc>
        <w:tc>
          <w:tcPr>
            <w:tcW w:w="2126" w:type="dxa"/>
            <w:shd w:val="clear" w:color="auto" w:fill="auto"/>
            <w:noWrap/>
          </w:tcPr>
          <w:p w:rsidR="00C04525" w:rsidRPr="00DE48D4" w:rsidRDefault="00DE48D4" w:rsidP="00455347">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86.3</w:t>
            </w:r>
          </w:p>
        </w:tc>
      </w:tr>
      <w:tr w:rsidR="00DE48D4" w:rsidRPr="00DE48D4" w:rsidTr="00455347">
        <w:tc>
          <w:tcPr>
            <w:tcW w:w="3397" w:type="dxa"/>
            <w:shd w:val="clear" w:color="auto" w:fill="D6E3BC" w:themeFill="accent3" w:themeFillTint="66"/>
            <w:noWrap/>
          </w:tcPr>
          <w:p w:rsidR="00DE48D4" w:rsidRPr="00DE48D4" w:rsidRDefault="00DE48D4" w:rsidP="00455347">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TOTAL</w:t>
            </w:r>
          </w:p>
        </w:tc>
        <w:tc>
          <w:tcPr>
            <w:tcW w:w="1560" w:type="dxa"/>
            <w:shd w:val="clear" w:color="auto" w:fill="D6E3BC" w:themeFill="accent3" w:themeFillTint="66"/>
          </w:tcPr>
          <w:p w:rsidR="00DE48D4" w:rsidRPr="00DE48D4" w:rsidRDefault="00DE48D4" w:rsidP="00455347">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3,591</w:t>
            </w:r>
          </w:p>
        </w:tc>
        <w:tc>
          <w:tcPr>
            <w:tcW w:w="1579" w:type="dxa"/>
            <w:shd w:val="clear" w:color="auto" w:fill="D6E3BC" w:themeFill="accent3" w:themeFillTint="66"/>
            <w:noWrap/>
          </w:tcPr>
          <w:p w:rsidR="00DE48D4" w:rsidRPr="00DE48D4" w:rsidRDefault="00DE48D4" w:rsidP="00455347">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3,480</w:t>
            </w:r>
          </w:p>
        </w:tc>
        <w:tc>
          <w:tcPr>
            <w:tcW w:w="2126" w:type="dxa"/>
            <w:shd w:val="clear" w:color="auto" w:fill="D6E3BC" w:themeFill="accent3" w:themeFillTint="66"/>
            <w:noWrap/>
          </w:tcPr>
          <w:p w:rsidR="00DE48D4" w:rsidRPr="00DE48D4" w:rsidRDefault="00DE48D4" w:rsidP="00455347">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96.9</w:t>
            </w:r>
          </w:p>
        </w:tc>
      </w:tr>
    </w:tbl>
    <w:p w:rsidR="009814D0" w:rsidRDefault="009814D0" w:rsidP="00F81783">
      <w:pPr>
        <w:spacing w:after="0" w:line="240" w:lineRule="auto"/>
        <w:rPr>
          <w:rFonts w:ascii="Arial" w:hAnsi="Arial" w:cs="Arial"/>
          <w:sz w:val="20"/>
          <w:szCs w:val="20"/>
        </w:rPr>
      </w:pPr>
    </w:p>
    <w:p w:rsidR="00DE48D4" w:rsidRDefault="00DE48D4" w:rsidP="00F81783">
      <w:pPr>
        <w:spacing w:after="0" w:line="240" w:lineRule="auto"/>
        <w:rPr>
          <w:rFonts w:ascii="Arial" w:hAnsi="Arial" w:cs="Arial"/>
          <w:sz w:val="20"/>
          <w:szCs w:val="20"/>
        </w:rPr>
      </w:pPr>
    </w:p>
    <w:p w:rsidR="00DE48D4" w:rsidRDefault="00DE48D4" w:rsidP="00F81783">
      <w:pPr>
        <w:spacing w:after="0" w:line="240" w:lineRule="auto"/>
        <w:rPr>
          <w:rFonts w:ascii="Arial" w:hAnsi="Arial" w:cs="Arial"/>
          <w:sz w:val="20"/>
          <w:szCs w:val="20"/>
        </w:rPr>
      </w:pPr>
    </w:p>
    <w:p w:rsidR="00A90339" w:rsidRDefault="00A90339" w:rsidP="006425C2">
      <w:pPr>
        <w:spacing w:after="0" w:line="240" w:lineRule="auto"/>
        <w:rPr>
          <w:rFonts w:ascii="Arial" w:hAnsi="Arial" w:cs="Arial"/>
          <w:sz w:val="20"/>
          <w:szCs w:val="20"/>
        </w:rPr>
      </w:pPr>
    </w:p>
    <w:p w:rsidR="00DE48D4" w:rsidRDefault="00DE48D4" w:rsidP="00006784">
      <w:pPr>
        <w:spacing w:after="0" w:line="240" w:lineRule="auto"/>
        <w:rPr>
          <w:rFonts w:ascii="Arial" w:hAnsi="Arial" w:cs="Arial"/>
          <w:sz w:val="20"/>
          <w:szCs w:val="20"/>
        </w:rPr>
      </w:pPr>
      <w:r>
        <w:rPr>
          <w:rFonts w:ascii="Arial" w:hAnsi="Arial" w:cs="Arial"/>
          <w:sz w:val="20"/>
          <w:szCs w:val="20"/>
        </w:rPr>
        <w:t xml:space="preserve">Most products maintained the high registration compliance rates of previous years, however; the compliance rate of air conditioners dropped by 4.0%. Computer monitors improved marginally; though, at 86.3%, were noticeably lower than the other GEMS products. </w:t>
      </w:r>
      <w:r>
        <w:rPr>
          <w:rFonts w:ascii="Arial" w:hAnsi="Arial" w:cs="Arial"/>
          <w:sz w:val="20"/>
          <w:szCs w:val="20"/>
        </w:rPr>
        <w:br/>
      </w:r>
    </w:p>
    <w:p w:rsidR="00B27ECA" w:rsidRPr="007D2ADE" w:rsidRDefault="00DE48D4" w:rsidP="007D2ADE">
      <w:pPr>
        <w:pStyle w:val="ListParagraph"/>
        <w:numPr>
          <w:ilvl w:val="1"/>
          <w:numId w:val="17"/>
        </w:numPr>
        <w:spacing w:after="120" w:line="240" w:lineRule="auto"/>
        <w:ind w:left="788" w:hanging="431"/>
        <w:rPr>
          <w:rFonts w:ascii="Arial" w:eastAsiaTheme="majorEastAsia" w:hAnsi="Arial" w:cstheme="majorBidi"/>
          <w:b/>
          <w:bCs/>
          <w:color w:val="4A7729"/>
          <w:kern w:val="28"/>
          <w:sz w:val="26"/>
          <w:szCs w:val="26"/>
          <w:lang w:val="en-US"/>
        </w:rPr>
      </w:pPr>
      <w:r>
        <w:rPr>
          <w:rFonts w:ascii="Arial" w:eastAsiaTheme="majorEastAsia" w:hAnsi="Arial" w:cstheme="majorBidi"/>
          <w:b/>
          <w:bCs/>
          <w:color w:val="4A7729"/>
          <w:kern w:val="28"/>
          <w:sz w:val="26"/>
          <w:szCs w:val="26"/>
          <w:lang w:val="en-US"/>
        </w:rPr>
        <w:t>Unregistered</w:t>
      </w:r>
    </w:p>
    <w:p w:rsidR="00DE48D4" w:rsidRDefault="00DE48D4" w:rsidP="00497333">
      <w:pPr>
        <w:spacing w:after="0" w:line="240" w:lineRule="auto"/>
        <w:rPr>
          <w:rFonts w:ascii="Arial" w:hAnsi="Arial" w:cs="Arial"/>
          <w:sz w:val="20"/>
          <w:szCs w:val="20"/>
        </w:rPr>
      </w:pPr>
      <w:r>
        <w:rPr>
          <w:rFonts w:ascii="Arial" w:hAnsi="Arial" w:cs="Arial"/>
          <w:sz w:val="20"/>
          <w:szCs w:val="20"/>
        </w:rPr>
        <w:t xml:space="preserve">Of the 111 products of models (3.1%) which did not hold ‘Approved’ registrations: </w:t>
      </w:r>
    </w:p>
    <w:p w:rsidR="00DE48D4" w:rsidRDefault="00DE48D4" w:rsidP="00497333">
      <w:pPr>
        <w:spacing w:after="0" w:line="240" w:lineRule="auto"/>
        <w:rPr>
          <w:rFonts w:ascii="Arial" w:hAnsi="Arial" w:cs="Arial"/>
          <w:sz w:val="20"/>
          <w:szCs w:val="20"/>
        </w:rPr>
      </w:pPr>
    </w:p>
    <w:p w:rsidR="00DE48D4" w:rsidRDefault="00DE48D4" w:rsidP="00497333">
      <w:pPr>
        <w:spacing w:after="0" w:line="240" w:lineRule="auto"/>
        <w:rPr>
          <w:rFonts w:ascii="Arial" w:hAnsi="Arial" w:cs="Arial"/>
          <w:sz w:val="20"/>
          <w:szCs w:val="20"/>
        </w:rPr>
      </w:pPr>
      <w:r>
        <w:rPr>
          <w:rFonts w:ascii="Arial" w:hAnsi="Arial" w:cs="Arial"/>
          <w:sz w:val="20"/>
          <w:szCs w:val="20"/>
        </w:rPr>
        <w:t xml:space="preserve">68 (1.9%) had never been registered </w:t>
      </w:r>
    </w:p>
    <w:p w:rsidR="00DE48D4" w:rsidRDefault="00DE48D4" w:rsidP="00497333">
      <w:pPr>
        <w:spacing w:after="0" w:line="240" w:lineRule="auto"/>
        <w:rPr>
          <w:rFonts w:ascii="Arial" w:hAnsi="Arial" w:cs="Arial"/>
          <w:sz w:val="20"/>
          <w:szCs w:val="20"/>
        </w:rPr>
      </w:pPr>
      <w:r>
        <w:rPr>
          <w:rFonts w:ascii="Arial" w:hAnsi="Arial" w:cs="Arial"/>
          <w:sz w:val="20"/>
          <w:szCs w:val="20"/>
        </w:rPr>
        <w:t>5 (0.1%) held ‘superseded’</w:t>
      </w:r>
      <w:r w:rsidR="001A7958">
        <w:rPr>
          <w:rStyle w:val="FootnoteReference"/>
          <w:rFonts w:ascii="Arial" w:hAnsi="Arial" w:cs="Arial"/>
          <w:sz w:val="20"/>
          <w:szCs w:val="20"/>
        </w:rPr>
        <w:footnoteReference w:id="3"/>
      </w:r>
      <w:r>
        <w:rPr>
          <w:rFonts w:ascii="Arial" w:hAnsi="Arial" w:cs="Arial"/>
          <w:sz w:val="20"/>
          <w:szCs w:val="20"/>
        </w:rPr>
        <w:t xml:space="preserve"> registrations </w:t>
      </w:r>
    </w:p>
    <w:p w:rsidR="00DE48D4" w:rsidRDefault="00DE48D4" w:rsidP="00497333">
      <w:pPr>
        <w:spacing w:after="0" w:line="240" w:lineRule="auto"/>
        <w:rPr>
          <w:rFonts w:ascii="Arial" w:hAnsi="Arial" w:cs="Arial"/>
          <w:sz w:val="20"/>
          <w:szCs w:val="20"/>
        </w:rPr>
      </w:pPr>
      <w:r>
        <w:rPr>
          <w:rFonts w:ascii="Arial" w:hAnsi="Arial" w:cs="Arial"/>
          <w:sz w:val="20"/>
          <w:szCs w:val="20"/>
        </w:rPr>
        <w:t>38 (1.1%) held ‘expired’</w:t>
      </w:r>
      <w:r w:rsidR="001A7958">
        <w:rPr>
          <w:rStyle w:val="FootnoteReference"/>
          <w:rFonts w:ascii="Arial" w:hAnsi="Arial" w:cs="Arial"/>
          <w:sz w:val="20"/>
          <w:szCs w:val="20"/>
        </w:rPr>
        <w:footnoteReference w:id="4"/>
      </w:r>
      <w:r>
        <w:rPr>
          <w:rFonts w:ascii="Arial" w:hAnsi="Arial" w:cs="Arial"/>
          <w:sz w:val="20"/>
          <w:szCs w:val="20"/>
        </w:rPr>
        <w:t xml:space="preserve"> registrations </w:t>
      </w:r>
    </w:p>
    <w:p w:rsidR="00DE48D4" w:rsidRDefault="00DE48D4" w:rsidP="00497333">
      <w:pPr>
        <w:spacing w:after="0" w:line="240" w:lineRule="auto"/>
        <w:rPr>
          <w:rFonts w:ascii="Arial" w:hAnsi="Arial" w:cs="Arial"/>
          <w:sz w:val="20"/>
          <w:szCs w:val="20"/>
        </w:rPr>
      </w:pPr>
    </w:p>
    <w:p w:rsidR="00DE48D4" w:rsidRDefault="00DE48D4" w:rsidP="00497333">
      <w:pPr>
        <w:spacing w:after="0" w:line="240" w:lineRule="auto"/>
        <w:rPr>
          <w:rFonts w:ascii="Arial" w:hAnsi="Arial" w:cs="Arial"/>
          <w:sz w:val="20"/>
          <w:szCs w:val="20"/>
        </w:rPr>
      </w:pPr>
      <w:r>
        <w:rPr>
          <w:rFonts w:ascii="Arial" w:hAnsi="Arial" w:cs="Arial"/>
          <w:sz w:val="20"/>
          <w:szCs w:val="20"/>
        </w:rPr>
        <w:t xml:space="preserve">The GEMS Regulator worked with registrants and suppliers to ensure unregistered models were registered, registrations were renewed, or the products of the model were removed from supply. The single entity responsible for 17 (25.0%) of the 68 unregistered products (77.2% of the 22 unregistered computer monitors) has returned to compliance. The GEMS Regulator is considering further enforcement responses. </w:t>
      </w:r>
    </w:p>
    <w:p w:rsidR="00DE48D4" w:rsidRDefault="00DE48D4" w:rsidP="00497333">
      <w:pPr>
        <w:spacing w:after="0" w:line="240" w:lineRule="auto"/>
        <w:rPr>
          <w:rFonts w:ascii="Arial" w:hAnsi="Arial" w:cs="Arial"/>
          <w:sz w:val="20"/>
          <w:szCs w:val="20"/>
        </w:rPr>
      </w:pPr>
    </w:p>
    <w:p w:rsidR="003D7187" w:rsidRPr="003D7187" w:rsidRDefault="001A7958" w:rsidP="003D7187">
      <w:pPr>
        <w:pStyle w:val="ListParagraph"/>
        <w:numPr>
          <w:ilvl w:val="1"/>
          <w:numId w:val="17"/>
        </w:numPr>
        <w:spacing w:after="120" w:line="240" w:lineRule="auto"/>
        <w:ind w:left="788" w:hanging="431"/>
        <w:rPr>
          <w:rFonts w:ascii="Arial" w:eastAsiaTheme="majorEastAsia" w:hAnsi="Arial" w:cstheme="majorBidi"/>
          <w:b/>
          <w:bCs/>
          <w:color w:val="4A7729"/>
          <w:kern w:val="28"/>
          <w:sz w:val="26"/>
          <w:szCs w:val="26"/>
          <w:lang w:val="en-US"/>
        </w:rPr>
      </w:pPr>
      <w:r>
        <w:rPr>
          <w:rFonts w:ascii="Arial" w:eastAsiaTheme="majorEastAsia" w:hAnsi="Arial" w:cstheme="majorBidi"/>
          <w:b/>
          <w:bCs/>
          <w:color w:val="4A7729"/>
          <w:kern w:val="28"/>
          <w:sz w:val="26"/>
          <w:szCs w:val="26"/>
          <w:lang w:val="en-US"/>
        </w:rPr>
        <w:t xml:space="preserve">Correctly labelled </w:t>
      </w:r>
      <w:bookmarkStart w:id="0" w:name="_GoBack"/>
      <w:bookmarkEnd w:id="0"/>
    </w:p>
    <w:p w:rsidR="0030790D" w:rsidRPr="0030790D" w:rsidRDefault="001431BD" w:rsidP="0030790D">
      <w:pPr>
        <w:spacing w:after="0" w:line="240" w:lineRule="auto"/>
        <w:rPr>
          <w:rFonts w:ascii="Arial" w:hAnsi="Arial" w:cs="Arial"/>
          <w:sz w:val="20"/>
          <w:szCs w:val="20"/>
        </w:rPr>
      </w:pPr>
      <w:r w:rsidRPr="00C51E9C">
        <w:rPr>
          <w:rFonts w:ascii="Arial" w:hAnsi="Arial" w:cs="Arial"/>
          <w:sz w:val="20"/>
          <w:szCs w:val="20"/>
        </w:rPr>
        <w:t>This</w:t>
      </w:r>
      <w:r w:rsidR="0030790D" w:rsidRPr="00C51E9C">
        <w:rPr>
          <w:rFonts w:ascii="Arial" w:hAnsi="Arial" w:cs="Arial"/>
          <w:sz w:val="20"/>
          <w:szCs w:val="20"/>
        </w:rPr>
        <w:t xml:space="preserve"> table shows the number and percentage of </w:t>
      </w:r>
      <w:r w:rsidR="003D296D" w:rsidRPr="00C51E9C">
        <w:rPr>
          <w:rFonts w:ascii="Arial" w:hAnsi="Arial" w:cs="Arial"/>
          <w:sz w:val="20"/>
          <w:szCs w:val="20"/>
        </w:rPr>
        <w:t>products</w:t>
      </w:r>
      <w:r w:rsidR="0030790D" w:rsidRPr="00C51E9C">
        <w:rPr>
          <w:rFonts w:ascii="Arial" w:hAnsi="Arial" w:cs="Arial"/>
          <w:sz w:val="20"/>
          <w:szCs w:val="20"/>
        </w:rPr>
        <w:t xml:space="preserve"> </w:t>
      </w:r>
      <w:r w:rsidR="00C02A37">
        <w:rPr>
          <w:rFonts w:ascii="Arial" w:hAnsi="Arial" w:cs="Arial"/>
          <w:sz w:val="20"/>
          <w:szCs w:val="20"/>
        </w:rPr>
        <w:t xml:space="preserve">correctly </w:t>
      </w:r>
      <w:r w:rsidR="0030790D" w:rsidRPr="00C51E9C">
        <w:rPr>
          <w:rFonts w:ascii="Arial" w:hAnsi="Arial" w:cs="Arial"/>
          <w:sz w:val="20"/>
          <w:szCs w:val="20"/>
        </w:rPr>
        <w:t>labelled</w:t>
      </w:r>
      <w:r w:rsidR="001A7958">
        <w:rPr>
          <w:rFonts w:ascii="Arial" w:hAnsi="Arial" w:cs="Arial"/>
          <w:sz w:val="20"/>
          <w:szCs w:val="20"/>
        </w:rPr>
        <w:t>: that is, labelled</w:t>
      </w:r>
      <w:r w:rsidR="0030790D" w:rsidRPr="00C51E9C">
        <w:rPr>
          <w:rFonts w:ascii="Arial" w:hAnsi="Arial" w:cs="Arial"/>
          <w:sz w:val="20"/>
          <w:szCs w:val="20"/>
        </w:rPr>
        <w:t xml:space="preserve"> in accordance with the GEMS labelling requirement</w:t>
      </w:r>
      <w:r w:rsidR="001A7958">
        <w:rPr>
          <w:rFonts w:ascii="Arial" w:hAnsi="Arial" w:cs="Arial"/>
          <w:sz w:val="20"/>
          <w:szCs w:val="20"/>
        </w:rPr>
        <w:t>s of the relevant determination:</w:t>
      </w:r>
    </w:p>
    <w:p w:rsidR="0030790D" w:rsidRDefault="0030790D" w:rsidP="00F81783">
      <w:pPr>
        <w:spacing w:after="0" w:line="240" w:lineRule="auto"/>
        <w:rPr>
          <w:rFonts w:ascii="Arial" w:hAnsi="Arial" w:cs="Arial"/>
          <w:sz w:val="20"/>
          <w:szCs w:val="20"/>
        </w:rPr>
      </w:pPr>
    </w:p>
    <w:p w:rsidR="001A7958" w:rsidRDefault="001A7958" w:rsidP="001A7958">
      <w:pPr>
        <w:pStyle w:val="Caption"/>
        <w:keepNext/>
      </w:pPr>
      <w:r>
        <w:t xml:space="preserve">Table </w:t>
      </w:r>
      <w:fldSimple w:instr=" SEQ Table \* ARABIC ">
        <w:r w:rsidR="00BA25D1">
          <w:rPr>
            <w:noProof/>
          </w:rPr>
          <w:t>2</w:t>
        </w:r>
      </w:fldSimple>
      <w:r>
        <w:t xml:space="preserve"> - Correctly labelled</w:t>
      </w:r>
    </w:p>
    <w:tbl>
      <w:tblPr>
        <w:tblW w:w="7557" w:type="dxa"/>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quot;Correctly Labelled&quot; products."/>
        <w:tblDescription w:val="This table shows the number and percentage of products labelled in accordance with the GEMS labelling requirements of the relevant determination at the time of the market surveillance."/>
      </w:tblPr>
      <w:tblGrid>
        <w:gridCol w:w="3304"/>
        <w:gridCol w:w="993"/>
        <w:gridCol w:w="1104"/>
        <w:gridCol w:w="2156"/>
      </w:tblGrid>
      <w:tr w:rsidR="001A7958" w:rsidRPr="00531B05" w:rsidTr="001A7958">
        <w:trPr>
          <w:trHeight w:val="58"/>
        </w:trPr>
        <w:tc>
          <w:tcPr>
            <w:tcW w:w="3304" w:type="dxa"/>
            <w:shd w:val="clear" w:color="auto" w:fill="D6E3BC" w:themeFill="accent3" w:themeFillTint="66"/>
            <w:noWrap/>
            <w:vAlign w:val="bottom"/>
            <w:hideMark/>
          </w:tcPr>
          <w:p w:rsidR="001A7958" w:rsidRPr="003D7187" w:rsidRDefault="001A7958" w:rsidP="001A7958">
            <w:pPr>
              <w:spacing w:after="0" w:line="240" w:lineRule="auto"/>
              <w:rPr>
                <w:rFonts w:ascii="Arial" w:eastAsia="Times New Roman" w:hAnsi="Arial" w:cs="Arial"/>
                <w:b/>
                <w:sz w:val="18"/>
                <w:szCs w:val="18"/>
              </w:rPr>
            </w:pPr>
            <w:r w:rsidRPr="003D7187">
              <w:rPr>
                <w:rFonts w:ascii="Arial" w:eastAsia="Times New Roman" w:hAnsi="Arial" w:cs="Arial"/>
                <w:b/>
                <w:sz w:val="18"/>
                <w:szCs w:val="18"/>
              </w:rPr>
              <w:t>GEMS Product</w:t>
            </w:r>
          </w:p>
        </w:tc>
        <w:tc>
          <w:tcPr>
            <w:tcW w:w="993" w:type="dxa"/>
            <w:shd w:val="clear" w:color="auto" w:fill="D6E3BC" w:themeFill="accent3" w:themeFillTint="66"/>
          </w:tcPr>
          <w:p w:rsidR="001A7958" w:rsidRDefault="001A7958" w:rsidP="001A7958">
            <w:pPr>
              <w:spacing w:after="0" w:line="240" w:lineRule="auto"/>
              <w:jc w:val="right"/>
              <w:rPr>
                <w:rFonts w:ascii="Arial" w:eastAsia="Times New Roman" w:hAnsi="Arial" w:cs="Arial"/>
                <w:b/>
                <w:sz w:val="18"/>
                <w:szCs w:val="18"/>
              </w:rPr>
            </w:pPr>
            <w:r>
              <w:rPr>
                <w:rFonts w:ascii="Arial" w:eastAsia="Times New Roman" w:hAnsi="Arial" w:cs="Arial"/>
                <w:b/>
                <w:sz w:val="18"/>
                <w:szCs w:val="18"/>
              </w:rPr>
              <w:t xml:space="preserve">Total products </w:t>
            </w:r>
          </w:p>
        </w:tc>
        <w:tc>
          <w:tcPr>
            <w:tcW w:w="1104" w:type="dxa"/>
            <w:shd w:val="clear" w:color="auto" w:fill="D6E3BC" w:themeFill="accent3" w:themeFillTint="66"/>
            <w:noWrap/>
            <w:vAlign w:val="bottom"/>
            <w:hideMark/>
          </w:tcPr>
          <w:p w:rsidR="001A7958" w:rsidRPr="003D7187" w:rsidRDefault="001A7958" w:rsidP="001A7958">
            <w:pPr>
              <w:spacing w:after="0" w:line="240" w:lineRule="auto"/>
              <w:jc w:val="right"/>
              <w:rPr>
                <w:rFonts w:ascii="Arial" w:eastAsia="Times New Roman" w:hAnsi="Arial" w:cs="Arial"/>
                <w:b/>
                <w:sz w:val="18"/>
                <w:szCs w:val="18"/>
              </w:rPr>
            </w:pPr>
            <w:r w:rsidRPr="003D7187">
              <w:rPr>
                <w:rFonts w:ascii="Arial" w:eastAsia="Times New Roman" w:hAnsi="Arial" w:cs="Arial"/>
                <w:b/>
                <w:sz w:val="18"/>
                <w:szCs w:val="18"/>
              </w:rPr>
              <w:t>Number</w:t>
            </w:r>
            <w:r>
              <w:rPr>
                <w:rFonts w:ascii="Arial" w:eastAsia="Times New Roman" w:hAnsi="Arial" w:cs="Arial"/>
                <w:b/>
                <w:sz w:val="18"/>
                <w:szCs w:val="18"/>
              </w:rPr>
              <w:t xml:space="preserve"> Correctly Labelled</w:t>
            </w:r>
          </w:p>
        </w:tc>
        <w:tc>
          <w:tcPr>
            <w:tcW w:w="2156" w:type="dxa"/>
            <w:shd w:val="clear" w:color="auto" w:fill="D6E3BC" w:themeFill="accent3" w:themeFillTint="66"/>
            <w:noWrap/>
            <w:vAlign w:val="bottom"/>
            <w:hideMark/>
          </w:tcPr>
          <w:p w:rsidR="001A7958" w:rsidRPr="003D7187" w:rsidRDefault="001A7958" w:rsidP="001A7958">
            <w:pPr>
              <w:spacing w:after="0" w:line="240" w:lineRule="auto"/>
              <w:jc w:val="right"/>
              <w:rPr>
                <w:rFonts w:ascii="Arial" w:eastAsia="Times New Roman" w:hAnsi="Arial" w:cs="Arial"/>
                <w:b/>
                <w:sz w:val="18"/>
                <w:szCs w:val="18"/>
              </w:rPr>
            </w:pPr>
            <w:r>
              <w:rPr>
                <w:rFonts w:ascii="Arial" w:eastAsia="Times New Roman" w:hAnsi="Arial" w:cs="Arial"/>
                <w:b/>
                <w:sz w:val="18"/>
                <w:szCs w:val="18"/>
              </w:rPr>
              <w:t>% Correctly labelled</w:t>
            </w:r>
          </w:p>
        </w:tc>
      </w:tr>
      <w:tr w:rsidR="001A7958" w:rsidRPr="003D7187" w:rsidTr="001A7958">
        <w:trPr>
          <w:trHeight w:val="58"/>
        </w:trPr>
        <w:tc>
          <w:tcPr>
            <w:tcW w:w="3304" w:type="dxa"/>
            <w:shd w:val="clear" w:color="auto" w:fill="auto"/>
            <w:noWrap/>
            <w:vAlign w:val="bottom"/>
          </w:tcPr>
          <w:p w:rsidR="001A7958" w:rsidRPr="003D7187" w:rsidRDefault="001A7958" w:rsidP="0007165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Dryers</w:t>
            </w:r>
          </w:p>
        </w:tc>
        <w:tc>
          <w:tcPr>
            <w:tcW w:w="993" w:type="dxa"/>
          </w:tcPr>
          <w:p w:rsidR="001A7958" w:rsidRPr="009A53F4" w:rsidRDefault="001A7958" w:rsidP="00071654">
            <w:pPr>
              <w:jc w:val="right"/>
              <w:rPr>
                <w:rFonts w:ascii="Arial" w:hAnsi="Arial" w:cs="Arial"/>
                <w:color w:val="000000"/>
                <w:sz w:val="20"/>
                <w:szCs w:val="20"/>
              </w:rPr>
            </w:pPr>
            <w:r>
              <w:rPr>
                <w:rFonts w:ascii="Arial" w:hAnsi="Arial" w:cs="Arial"/>
                <w:color w:val="000000"/>
                <w:sz w:val="20"/>
                <w:szCs w:val="20"/>
              </w:rPr>
              <w:t>347</w:t>
            </w:r>
          </w:p>
        </w:tc>
        <w:tc>
          <w:tcPr>
            <w:tcW w:w="1104"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325</w:t>
            </w:r>
          </w:p>
        </w:tc>
        <w:tc>
          <w:tcPr>
            <w:tcW w:w="2156" w:type="dxa"/>
            <w:shd w:val="clear" w:color="auto" w:fill="auto"/>
            <w:noWrap/>
            <w:vAlign w:val="center"/>
          </w:tcPr>
          <w:p w:rsidR="001A7958" w:rsidRPr="009A53F4" w:rsidRDefault="001A7958" w:rsidP="001A7958">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 xml:space="preserve">                93.</w:t>
            </w:r>
            <w:r>
              <w:rPr>
                <w:rFonts w:ascii="Arial" w:hAnsi="Arial" w:cs="Arial"/>
                <w:color w:val="000000"/>
                <w:sz w:val="20"/>
                <w:szCs w:val="20"/>
              </w:rPr>
              <w:t>7</w:t>
            </w:r>
            <w:r w:rsidRPr="009A53F4">
              <w:rPr>
                <w:rFonts w:ascii="Arial" w:hAnsi="Arial" w:cs="Arial"/>
                <w:color w:val="000000"/>
                <w:sz w:val="20"/>
                <w:szCs w:val="20"/>
              </w:rPr>
              <w:t xml:space="preserve"> </w:t>
            </w:r>
          </w:p>
        </w:tc>
      </w:tr>
      <w:tr w:rsidR="001A7958" w:rsidRPr="003D7187" w:rsidTr="001A7958">
        <w:trPr>
          <w:trHeight w:val="58"/>
        </w:trPr>
        <w:tc>
          <w:tcPr>
            <w:tcW w:w="3304" w:type="dxa"/>
            <w:shd w:val="clear" w:color="auto" w:fill="auto"/>
            <w:noWrap/>
            <w:vAlign w:val="bottom"/>
          </w:tcPr>
          <w:p w:rsidR="001A7958" w:rsidRPr="006425C2" w:rsidRDefault="001A7958" w:rsidP="0007165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Household refrigerators/freezers</w:t>
            </w:r>
          </w:p>
        </w:tc>
        <w:tc>
          <w:tcPr>
            <w:tcW w:w="993" w:type="dxa"/>
          </w:tcPr>
          <w:p w:rsidR="001A7958" w:rsidRPr="009A53F4" w:rsidRDefault="001A7958" w:rsidP="00071654">
            <w:pPr>
              <w:spacing w:after="0" w:line="240" w:lineRule="auto"/>
              <w:jc w:val="right"/>
              <w:rPr>
                <w:rFonts w:ascii="Arial" w:hAnsi="Arial" w:cs="Arial"/>
                <w:color w:val="000000"/>
                <w:sz w:val="20"/>
                <w:szCs w:val="20"/>
              </w:rPr>
            </w:pPr>
            <w:r>
              <w:rPr>
                <w:rFonts w:ascii="Arial" w:hAnsi="Arial" w:cs="Arial"/>
                <w:color w:val="000000"/>
                <w:sz w:val="20"/>
                <w:szCs w:val="20"/>
              </w:rPr>
              <w:t>944</w:t>
            </w:r>
          </w:p>
        </w:tc>
        <w:tc>
          <w:tcPr>
            <w:tcW w:w="1104"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827</w:t>
            </w:r>
          </w:p>
        </w:tc>
        <w:tc>
          <w:tcPr>
            <w:tcW w:w="2156"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                87.6</w:t>
            </w:r>
            <w:r w:rsidRPr="009A53F4">
              <w:rPr>
                <w:rFonts w:ascii="Arial" w:hAnsi="Arial" w:cs="Arial"/>
                <w:color w:val="000000"/>
                <w:sz w:val="20"/>
                <w:szCs w:val="20"/>
              </w:rPr>
              <w:t xml:space="preserve"> </w:t>
            </w:r>
          </w:p>
        </w:tc>
      </w:tr>
      <w:tr w:rsidR="001A7958" w:rsidRPr="003D7187" w:rsidTr="001A7958">
        <w:trPr>
          <w:trHeight w:val="58"/>
        </w:trPr>
        <w:tc>
          <w:tcPr>
            <w:tcW w:w="3304" w:type="dxa"/>
            <w:shd w:val="clear" w:color="auto" w:fill="auto"/>
            <w:noWrap/>
            <w:vAlign w:val="bottom"/>
          </w:tcPr>
          <w:p w:rsidR="001A7958" w:rsidRPr="003D7187" w:rsidRDefault="001A7958" w:rsidP="0007165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Washing Machines</w:t>
            </w:r>
          </w:p>
        </w:tc>
        <w:tc>
          <w:tcPr>
            <w:tcW w:w="993" w:type="dxa"/>
          </w:tcPr>
          <w:p w:rsidR="001A7958" w:rsidRPr="009A53F4" w:rsidRDefault="001A7958" w:rsidP="00071654">
            <w:pPr>
              <w:spacing w:after="0" w:line="240" w:lineRule="auto"/>
              <w:jc w:val="right"/>
              <w:rPr>
                <w:rFonts w:ascii="Arial" w:hAnsi="Arial" w:cs="Arial"/>
                <w:color w:val="000000"/>
                <w:sz w:val="20"/>
                <w:szCs w:val="20"/>
              </w:rPr>
            </w:pPr>
            <w:r>
              <w:rPr>
                <w:rFonts w:ascii="Arial" w:hAnsi="Arial" w:cs="Arial"/>
                <w:color w:val="000000"/>
                <w:sz w:val="20"/>
                <w:szCs w:val="20"/>
              </w:rPr>
              <w:t>631</w:t>
            </w:r>
          </w:p>
        </w:tc>
        <w:tc>
          <w:tcPr>
            <w:tcW w:w="1104"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543</w:t>
            </w:r>
          </w:p>
        </w:tc>
        <w:tc>
          <w:tcPr>
            <w:tcW w:w="2156"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                86.1</w:t>
            </w:r>
            <w:r w:rsidRPr="009A53F4">
              <w:rPr>
                <w:rFonts w:ascii="Arial" w:hAnsi="Arial" w:cs="Arial"/>
                <w:color w:val="000000"/>
                <w:sz w:val="20"/>
                <w:szCs w:val="20"/>
              </w:rPr>
              <w:t xml:space="preserve"> </w:t>
            </w:r>
          </w:p>
        </w:tc>
      </w:tr>
      <w:tr w:rsidR="001A7958" w:rsidRPr="003D7187" w:rsidTr="001A7958">
        <w:trPr>
          <w:trHeight w:val="58"/>
        </w:trPr>
        <w:tc>
          <w:tcPr>
            <w:tcW w:w="3304" w:type="dxa"/>
            <w:shd w:val="clear" w:color="auto" w:fill="auto"/>
            <w:noWrap/>
            <w:vAlign w:val="bottom"/>
          </w:tcPr>
          <w:p w:rsidR="001A7958" w:rsidRPr="003D7187" w:rsidRDefault="001A7958" w:rsidP="0007165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Dishwashers</w:t>
            </w:r>
          </w:p>
        </w:tc>
        <w:tc>
          <w:tcPr>
            <w:tcW w:w="993" w:type="dxa"/>
          </w:tcPr>
          <w:p w:rsidR="001A7958" w:rsidRDefault="001A7958" w:rsidP="00071654">
            <w:pPr>
              <w:spacing w:after="0" w:line="240" w:lineRule="auto"/>
              <w:jc w:val="right"/>
              <w:rPr>
                <w:rFonts w:ascii="Arial" w:hAnsi="Arial" w:cs="Arial"/>
                <w:color w:val="000000"/>
                <w:sz w:val="20"/>
                <w:szCs w:val="20"/>
              </w:rPr>
            </w:pPr>
            <w:r>
              <w:rPr>
                <w:rFonts w:ascii="Arial" w:hAnsi="Arial" w:cs="Arial"/>
                <w:color w:val="000000"/>
                <w:sz w:val="20"/>
                <w:szCs w:val="20"/>
              </w:rPr>
              <w:t>484</w:t>
            </w:r>
          </w:p>
        </w:tc>
        <w:tc>
          <w:tcPr>
            <w:tcW w:w="1104"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402</w:t>
            </w:r>
          </w:p>
        </w:tc>
        <w:tc>
          <w:tcPr>
            <w:tcW w:w="2156"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                83.1</w:t>
            </w:r>
            <w:r w:rsidRPr="009A53F4">
              <w:rPr>
                <w:rFonts w:ascii="Arial" w:hAnsi="Arial" w:cs="Arial"/>
                <w:color w:val="000000"/>
                <w:sz w:val="20"/>
                <w:szCs w:val="20"/>
              </w:rPr>
              <w:t xml:space="preserve"> </w:t>
            </w:r>
          </w:p>
        </w:tc>
      </w:tr>
      <w:tr w:rsidR="001A7958" w:rsidRPr="003D7187" w:rsidTr="001A7958">
        <w:trPr>
          <w:trHeight w:val="58"/>
        </w:trPr>
        <w:tc>
          <w:tcPr>
            <w:tcW w:w="3304" w:type="dxa"/>
            <w:shd w:val="clear" w:color="auto" w:fill="auto"/>
            <w:noWrap/>
            <w:vAlign w:val="bottom"/>
          </w:tcPr>
          <w:p w:rsidR="001A7958" w:rsidRPr="003D7187" w:rsidRDefault="001A7958" w:rsidP="0007165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Washers/Dryers</w:t>
            </w:r>
          </w:p>
        </w:tc>
        <w:tc>
          <w:tcPr>
            <w:tcW w:w="993" w:type="dxa"/>
          </w:tcPr>
          <w:p w:rsidR="001A7958" w:rsidRPr="009A53F4" w:rsidRDefault="001A7958" w:rsidP="00071654">
            <w:pPr>
              <w:spacing w:after="0" w:line="240" w:lineRule="auto"/>
              <w:jc w:val="right"/>
              <w:rPr>
                <w:rFonts w:ascii="Arial" w:hAnsi="Arial" w:cs="Arial"/>
                <w:color w:val="000000"/>
                <w:sz w:val="20"/>
                <w:szCs w:val="20"/>
              </w:rPr>
            </w:pPr>
            <w:r>
              <w:rPr>
                <w:rFonts w:ascii="Arial" w:hAnsi="Arial" w:cs="Arial"/>
                <w:color w:val="000000"/>
                <w:sz w:val="20"/>
                <w:szCs w:val="20"/>
              </w:rPr>
              <w:t>12</w:t>
            </w:r>
          </w:p>
        </w:tc>
        <w:tc>
          <w:tcPr>
            <w:tcW w:w="1104"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9</w:t>
            </w:r>
          </w:p>
        </w:tc>
        <w:tc>
          <w:tcPr>
            <w:tcW w:w="2156"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                75.0</w:t>
            </w:r>
            <w:r w:rsidRPr="009A53F4">
              <w:rPr>
                <w:rFonts w:ascii="Arial" w:hAnsi="Arial" w:cs="Arial"/>
                <w:color w:val="000000"/>
                <w:sz w:val="20"/>
                <w:szCs w:val="20"/>
              </w:rPr>
              <w:t xml:space="preserve"> </w:t>
            </w:r>
          </w:p>
        </w:tc>
      </w:tr>
      <w:tr w:rsidR="001A7958" w:rsidRPr="003D7187" w:rsidTr="001A7958">
        <w:trPr>
          <w:trHeight w:val="58"/>
        </w:trPr>
        <w:tc>
          <w:tcPr>
            <w:tcW w:w="3304" w:type="dxa"/>
            <w:shd w:val="clear" w:color="auto" w:fill="auto"/>
            <w:noWrap/>
            <w:vAlign w:val="bottom"/>
          </w:tcPr>
          <w:p w:rsidR="001A7958" w:rsidRPr="003D7187" w:rsidRDefault="001A7958" w:rsidP="001A795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Air Conditioners</w:t>
            </w:r>
          </w:p>
        </w:tc>
        <w:tc>
          <w:tcPr>
            <w:tcW w:w="993" w:type="dxa"/>
          </w:tcPr>
          <w:p w:rsidR="001A7958" w:rsidRPr="00761D41" w:rsidRDefault="001A7958" w:rsidP="001A7958">
            <w:pPr>
              <w:jc w:val="right"/>
              <w:rPr>
                <w:rFonts w:ascii="Arial" w:hAnsi="Arial" w:cs="Arial"/>
                <w:sz w:val="20"/>
                <w:szCs w:val="20"/>
              </w:rPr>
            </w:pPr>
            <w:r w:rsidRPr="00761D41">
              <w:rPr>
                <w:rFonts w:ascii="Arial" w:hAnsi="Arial" w:cs="Arial"/>
                <w:sz w:val="20"/>
                <w:szCs w:val="20"/>
              </w:rPr>
              <w:t>237</w:t>
            </w:r>
          </w:p>
        </w:tc>
        <w:tc>
          <w:tcPr>
            <w:tcW w:w="1104" w:type="dxa"/>
            <w:shd w:val="clear" w:color="auto" w:fill="auto"/>
            <w:noWrap/>
            <w:vAlign w:val="center"/>
          </w:tcPr>
          <w:p w:rsidR="001A7958" w:rsidRPr="009A53F4" w:rsidRDefault="001A7958" w:rsidP="001A7958">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175</w:t>
            </w:r>
          </w:p>
        </w:tc>
        <w:tc>
          <w:tcPr>
            <w:tcW w:w="2156" w:type="dxa"/>
            <w:shd w:val="clear" w:color="auto" w:fill="auto"/>
            <w:noWrap/>
            <w:vAlign w:val="center"/>
          </w:tcPr>
          <w:p w:rsidR="001A7958" w:rsidRPr="009A53F4" w:rsidRDefault="001A7958" w:rsidP="001A7958">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        73.8</w:t>
            </w:r>
            <w:r w:rsidRPr="009A53F4">
              <w:rPr>
                <w:rFonts w:ascii="Arial" w:hAnsi="Arial" w:cs="Arial"/>
                <w:color w:val="000000"/>
                <w:sz w:val="20"/>
                <w:szCs w:val="20"/>
              </w:rPr>
              <w:t xml:space="preserve"> </w:t>
            </w:r>
          </w:p>
        </w:tc>
      </w:tr>
      <w:tr w:rsidR="001A7958" w:rsidRPr="003D7187" w:rsidTr="001A7958">
        <w:trPr>
          <w:trHeight w:val="58"/>
        </w:trPr>
        <w:tc>
          <w:tcPr>
            <w:tcW w:w="3304" w:type="dxa"/>
            <w:shd w:val="clear" w:color="auto" w:fill="auto"/>
            <w:noWrap/>
            <w:vAlign w:val="bottom"/>
          </w:tcPr>
          <w:p w:rsidR="001A7958" w:rsidRDefault="001A7958" w:rsidP="0007165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Televisions</w:t>
            </w:r>
          </w:p>
        </w:tc>
        <w:tc>
          <w:tcPr>
            <w:tcW w:w="993" w:type="dxa"/>
          </w:tcPr>
          <w:p w:rsidR="001A7958" w:rsidRPr="00761D41" w:rsidRDefault="001A7958" w:rsidP="00071654">
            <w:pPr>
              <w:spacing w:after="0" w:line="240" w:lineRule="auto"/>
              <w:jc w:val="right"/>
              <w:rPr>
                <w:rFonts w:ascii="Arial" w:hAnsi="Arial" w:cs="Arial"/>
                <w:b/>
                <w:color w:val="FF0000"/>
                <w:sz w:val="20"/>
                <w:szCs w:val="20"/>
              </w:rPr>
            </w:pPr>
            <w:r w:rsidRPr="00761D41">
              <w:rPr>
                <w:rFonts w:ascii="Arial" w:hAnsi="Arial" w:cs="Arial"/>
                <w:b/>
                <w:color w:val="FF0000"/>
                <w:sz w:val="20"/>
                <w:szCs w:val="20"/>
              </w:rPr>
              <w:t>548</w:t>
            </w:r>
          </w:p>
        </w:tc>
        <w:tc>
          <w:tcPr>
            <w:tcW w:w="1104"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261</w:t>
            </w:r>
          </w:p>
        </w:tc>
        <w:tc>
          <w:tcPr>
            <w:tcW w:w="2156" w:type="dxa"/>
            <w:shd w:val="clear" w:color="auto" w:fill="auto"/>
            <w:noWrap/>
            <w:vAlign w:val="center"/>
          </w:tcPr>
          <w:p w:rsidR="001A7958" w:rsidRPr="009A53F4" w:rsidRDefault="001A7958" w:rsidP="00071654">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                47.6</w:t>
            </w:r>
            <w:r w:rsidRPr="009A53F4">
              <w:rPr>
                <w:rFonts w:ascii="Arial" w:hAnsi="Arial" w:cs="Arial"/>
                <w:color w:val="000000"/>
                <w:sz w:val="20"/>
                <w:szCs w:val="20"/>
              </w:rPr>
              <w:t xml:space="preserve"> </w:t>
            </w:r>
          </w:p>
        </w:tc>
      </w:tr>
      <w:tr w:rsidR="001A7958" w:rsidRPr="003D7187" w:rsidTr="001A7958">
        <w:trPr>
          <w:trHeight w:val="58"/>
        </w:trPr>
        <w:tc>
          <w:tcPr>
            <w:tcW w:w="3304" w:type="dxa"/>
            <w:shd w:val="clear" w:color="auto" w:fill="auto"/>
            <w:noWrap/>
            <w:vAlign w:val="bottom"/>
          </w:tcPr>
          <w:p w:rsidR="001A7958" w:rsidRPr="003D7187" w:rsidRDefault="001A7958" w:rsidP="001A795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Computer Monitors</w:t>
            </w:r>
          </w:p>
        </w:tc>
        <w:tc>
          <w:tcPr>
            <w:tcW w:w="993" w:type="dxa"/>
          </w:tcPr>
          <w:p w:rsidR="001A7958" w:rsidRPr="00761D41" w:rsidRDefault="001A7958" w:rsidP="001A7958">
            <w:pPr>
              <w:spacing w:after="0" w:line="240" w:lineRule="auto"/>
              <w:jc w:val="right"/>
              <w:rPr>
                <w:rFonts w:ascii="Arial" w:hAnsi="Arial" w:cs="Arial"/>
                <w:b/>
                <w:color w:val="FF0000"/>
                <w:sz w:val="20"/>
                <w:szCs w:val="20"/>
              </w:rPr>
            </w:pPr>
            <w:r w:rsidRPr="00761D41">
              <w:rPr>
                <w:rFonts w:ascii="Arial" w:hAnsi="Arial" w:cs="Arial"/>
                <w:b/>
                <w:color w:val="FF0000"/>
                <w:sz w:val="20"/>
                <w:szCs w:val="20"/>
              </w:rPr>
              <w:t>164</w:t>
            </w:r>
          </w:p>
        </w:tc>
        <w:tc>
          <w:tcPr>
            <w:tcW w:w="1104" w:type="dxa"/>
            <w:shd w:val="clear" w:color="auto" w:fill="auto"/>
            <w:noWrap/>
            <w:vAlign w:val="center"/>
          </w:tcPr>
          <w:p w:rsidR="001A7958" w:rsidRPr="009A53F4" w:rsidRDefault="001A7958" w:rsidP="001A7958">
            <w:pPr>
              <w:spacing w:after="0" w:line="240" w:lineRule="auto"/>
              <w:jc w:val="right"/>
              <w:rPr>
                <w:rFonts w:ascii="Arial" w:eastAsia="Times New Roman" w:hAnsi="Arial" w:cs="Arial"/>
                <w:color w:val="000000"/>
                <w:sz w:val="20"/>
                <w:szCs w:val="20"/>
              </w:rPr>
            </w:pPr>
            <w:r w:rsidRPr="009A53F4">
              <w:rPr>
                <w:rFonts w:ascii="Arial" w:hAnsi="Arial" w:cs="Arial"/>
                <w:color w:val="000000"/>
                <w:sz w:val="20"/>
                <w:szCs w:val="20"/>
              </w:rPr>
              <w:t>61</w:t>
            </w:r>
          </w:p>
        </w:tc>
        <w:tc>
          <w:tcPr>
            <w:tcW w:w="2156" w:type="dxa"/>
            <w:shd w:val="clear" w:color="auto" w:fill="auto"/>
            <w:noWrap/>
            <w:vAlign w:val="center"/>
          </w:tcPr>
          <w:p w:rsidR="001A7958" w:rsidRPr="009A53F4" w:rsidRDefault="001A7958" w:rsidP="001A7958">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                37.2</w:t>
            </w:r>
            <w:r w:rsidRPr="009A53F4">
              <w:rPr>
                <w:rFonts w:ascii="Arial" w:hAnsi="Arial" w:cs="Arial"/>
                <w:color w:val="000000"/>
                <w:sz w:val="20"/>
                <w:szCs w:val="20"/>
              </w:rPr>
              <w:t xml:space="preserve"> </w:t>
            </w:r>
          </w:p>
        </w:tc>
      </w:tr>
      <w:tr w:rsidR="001A7958" w:rsidRPr="001A7958" w:rsidTr="001A7958">
        <w:trPr>
          <w:trHeight w:val="58"/>
        </w:trPr>
        <w:tc>
          <w:tcPr>
            <w:tcW w:w="3304" w:type="dxa"/>
            <w:shd w:val="clear" w:color="auto" w:fill="D6E3BC" w:themeFill="accent3" w:themeFillTint="66"/>
            <w:noWrap/>
            <w:vAlign w:val="bottom"/>
          </w:tcPr>
          <w:p w:rsidR="001A7958" w:rsidRPr="001A7958" w:rsidRDefault="001A7958" w:rsidP="001A7958">
            <w:pPr>
              <w:spacing w:after="0" w:line="240" w:lineRule="auto"/>
              <w:rPr>
                <w:rFonts w:ascii="Arial" w:eastAsia="Times New Roman" w:hAnsi="Arial" w:cs="Arial"/>
                <w:b/>
                <w:color w:val="000000"/>
                <w:sz w:val="18"/>
                <w:szCs w:val="18"/>
              </w:rPr>
            </w:pPr>
            <w:r w:rsidRPr="001A7958">
              <w:rPr>
                <w:rFonts w:ascii="Arial" w:eastAsia="Times New Roman" w:hAnsi="Arial" w:cs="Arial"/>
                <w:b/>
                <w:color w:val="000000"/>
                <w:sz w:val="18"/>
                <w:szCs w:val="18"/>
              </w:rPr>
              <w:t>TOTAL</w:t>
            </w:r>
          </w:p>
        </w:tc>
        <w:tc>
          <w:tcPr>
            <w:tcW w:w="993" w:type="dxa"/>
            <w:shd w:val="clear" w:color="auto" w:fill="D6E3BC" w:themeFill="accent3" w:themeFillTint="66"/>
          </w:tcPr>
          <w:p w:rsidR="001A7958" w:rsidRPr="001A7958" w:rsidRDefault="001A7958" w:rsidP="001A7958">
            <w:pPr>
              <w:spacing w:after="0" w:line="240" w:lineRule="auto"/>
              <w:jc w:val="right"/>
              <w:rPr>
                <w:rFonts w:ascii="Arial" w:hAnsi="Arial" w:cs="Arial"/>
                <w:b/>
                <w:color w:val="FF0000"/>
                <w:sz w:val="20"/>
                <w:szCs w:val="20"/>
              </w:rPr>
            </w:pPr>
            <w:r w:rsidRPr="001A7958">
              <w:rPr>
                <w:rFonts w:ascii="Arial" w:hAnsi="Arial" w:cs="Arial"/>
                <w:b/>
                <w:color w:val="FF0000"/>
                <w:sz w:val="20"/>
                <w:szCs w:val="20"/>
              </w:rPr>
              <w:t>3,367</w:t>
            </w:r>
          </w:p>
        </w:tc>
        <w:tc>
          <w:tcPr>
            <w:tcW w:w="1104" w:type="dxa"/>
            <w:shd w:val="clear" w:color="auto" w:fill="D6E3BC" w:themeFill="accent3" w:themeFillTint="66"/>
            <w:noWrap/>
            <w:vAlign w:val="center"/>
          </w:tcPr>
          <w:p w:rsidR="001A7958" w:rsidRPr="001A7958" w:rsidRDefault="001A7958" w:rsidP="001A7958">
            <w:pPr>
              <w:spacing w:after="0" w:line="240" w:lineRule="auto"/>
              <w:jc w:val="right"/>
              <w:rPr>
                <w:rFonts w:ascii="Arial" w:hAnsi="Arial" w:cs="Arial"/>
                <w:b/>
                <w:color w:val="000000"/>
                <w:sz w:val="20"/>
                <w:szCs w:val="20"/>
              </w:rPr>
            </w:pPr>
            <w:r w:rsidRPr="001A7958">
              <w:rPr>
                <w:rFonts w:ascii="Arial" w:hAnsi="Arial" w:cs="Arial"/>
                <w:b/>
                <w:color w:val="000000"/>
                <w:sz w:val="20"/>
                <w:szCs w:val="20"/>
              </w:rPr>
              <w:t>2,603</w:t>
            </w:r>
          </w:p>
        </w:tc>
        <w:tc>
          <w:tcPr>
            <w:tcW w:w="2156" w:type="dxa"/>
            <w:shd w:val="clear" w:color="auto" w:fill="D6E3BC" w:themeFill="accent3" w:themeFillTint="66"/>
            <w:noWrap/>
            <w:vAlign w:val="center"/>
          </w:tcPr>
          <w:p w:rsidR="001A7958" w:rsidRPr="001A7958" w:rsidRDefault="001A7958" w:rsidP="001A7958">
            <w:pPr>
              <w:spacing w:after="0" w:line="240" w:lineRule="auto"/>
              <w:jc w:val="right"/>
              <w:rPr>
                <w:rFonts w:ascii="Arial" w:hAnsi="Arial" w:cs="Arial"/>
                <w:b/>
                <w:color w:val="000000"/>
                <w:sz w:val="20"/>
                <w:szCs w:val="20"/>
              </w:rPr>
            </w:pPr>
            <w:r w:rsidRPr="001A7958">
              <w:rPr>
                <w:rFonts w:ascii="Arial" w:hAnsi="Arial" w:cs="Arial"/>
                <w:b/>
                <w:color w:val="000000"/>
                <w:sz w:val="20"/>
                <w:szCs w:val="20"/>
              </w:rPr>
              <w:t>77.3</w:t>
            </w:r>
          </w:p>
        </w:tc>
      </w:tr>
    </w:tbl>
    <w:p w:rsidR="00CB49C4" w:rsidRDefault="001A7958" w:rsidP="001A7958">
      <w:pPr>
        <w:tabs>
          <w:tab w:val="left" w:pos="2895"/>
        </w:tabs>
        <w:spacing w:after="0" w:line="240" w:lineRule="auto"/>
        <w:rPr>
          <w:rFonts w:ascii="Arial" w:hAnsi="Arial" w:cs="Arial"/>
          <w:sz w:val="20"/>
          <w:szCs w:val="20"/>
        </w:rPr>
      </w:pPr>
      <w:r>
        <w:rPr>
          <w:rFonts w:ascii="Arial" w:hAnsi="Arial" w:cs="Arial"/>
          <w:sz w:val="20"/>
          <w:szCs w:val="20"/>
        </w:rPr>
        <w:tab/>
      </w:r>
    </w:p>
    <w:p w:rsidR="001A7958" w:rsidRDefault="001A7958" w:rsidP="001A7958">
      <w:pPr>
        <w:tabs>
          <w:tab w:val="left" w:pos="2895"/>
        </w:tabs>
        <w:spacing w:after="0" w:line="240" w:lineRule="auto"/>
        <w:rPr>
          <w:rFonts w:ascii="Arial" w:hAnsi="Arial" w:cs="Arial"/>
          <w:sz w:val="20"/>
          <w:szCs w:val="20"/>
        </w:rPr>
      </w:pPr>
      <w:r>
        <w:rPr>
          <w:rFonts w:ascii="Arial" w:hAnsi="Arial" w:cs="Arial"/>
          <w:sz w:val="20"/>
          <w:szCs w:val="20"/>
        </w:rPr>
        <w:t xml:space="preserve">All GEMS products, with the exception of computer monitors, fared poorly against the previous year’s results. Computer monitors improved slightly. Air conditioners, clothes washing machines and televisions suffered double digit declines, followed closely by dishwashers and household refrigerators/freezers. The results for television and computer monitors, with less than 50% of products labelled as required, were disappointing. </w:t>
      </w:r>
    </w:p>
    <w:p w:rsidR="001A7958" w:rsidRDefault="001A7958" w:rsidP="001A7958">
      <w:pPr>
        <w:tabs>
          <w:tab w:val="left" w:pos="2895"/>
        </w:tabs>
        <w:spacing w:after="0" w:line="240" w:lineRule="auto"/>
        <w:rPr>
          <w:rFonts w:ascii="Arial" w:hAnsi="Arial" w:cs="Arial"/>
          <w:sz w:val="20"/>
          <w:szCs w:val="20"/>
        </w:rPr>
      </w:pPr>
    </w:p>
    <w:p w:rsidR="001A7958" w:rsidRDefault="001A7958" w:rsidP="001A7958">
      <w:pPr>
        <w:spacing w:after="120" w:line="240" w:lineRule="auto"/>
        <w:ind w:left="426"/>
        <w:rPr>
          <w:rFonts w:ascii="Arial" w:eastAsiaTheme="majorEastAsia" w:hAnsi="Arial" w:cstheme="majorBidi"/>
          <w:b/>
          <w:bCs/>
          <w:color w:val="4A7729"/>
          <w:kern w:val="28"/>
          <w:sz w:val="24"/>
          <w:szCs w:val="24"/>
          <w:lang w:val="en-US"/>
        </w:rPr>
      </w:pPr>
      <w:r>
        <w:rPr>
          <w:rFonts w:ascii="Arial" w:eastAsiaTheme="majorEastAsia" w:hAnsi="Arial" w:cstheme="majorBidi"/>
          <w:b/>
          <w:bCs/>
          <w:color w:val="4A7729"/>
          <w:kern w:val="28"/>
          <w:sz w:val="24"/>
          <w:szCs w:val="24"/>
          <w:lang w:val="en-US"/>
        </w:rPr>
        <w:t>4.4</w:t>
      </w:r>
      <w:r>
        <w:rPr>
          <w:rFonts w:ascii="Arial" w:eastAsiaTheme="majorEastAsia" w:hAnsi="Arial" w:cstheme="majorBidi"/>
          <w:b/>
          <w:bCs/>
          <w:color w:val="4A7729"/>
          <w:kern w:val="28"/>
          <w:sz w:val="24"/>
          <w:szCs w:val="24"/>
          <w:lang w:val="en-US"/>
        </w:rPr>
        <w:tab/>
        <w:t xml:space="preserve">Labelling Issues </w:t>
      </w:r>
    </w:p>
    <w:p w:rsidR="005216B1" w:rsidRPr="001C591E" w:rsidRDefault="005216B1" w:rsidP="005216B1">
      <w:pPr>
        <w:pStyle w:val="ListParagraph"/>
        <w:shd w:val="clear" w:color="auto" w:fill="FFFFFF" w:themeFill="background1"/>
        <w:spacing w:after="0" w:line="240" w:lineRule="auto"/>
        <w:ind w:left="0"/>
        <w:rPr>
          <w:rFonts w:ascii="Arial" w:hAnsi="Arial" w:cs="Arial"/>
          <w:sz w:val="20"/>
          <w:szCs w:val="20"/>
        </w:rPr>
      </w:pPr>
      <w:r>
        <w:rPr>
          <w:rFonts w:ascii="Arial" w:hAnsi="Arial" w:cs="Arial"/>
          <w:sz w:val="20"/>
          <w:szCs w:val="20"/>
        </w:rPr>
        <w:t xml:space="preserve">Products not labelled in accordance with GEMS labelling requirements included those with no ERLs, obscured ERLs, wrong ERLs (model number and information on the ERL did not match the actual product or the GEMS registration), and damaged ERLs (information on the ERL cannot be read). Some of these issues are discussed below: </w:t>
      </w:r>
    </w:p>
    <w:p w:rsidR="005216B1" w:rsidRDefault="005216B1" w:rsidP="005216B1">
      <w:pPr>
        <w:spacing w:after="120" w:line="240" w:lineRule="auto"/>
        <w:rPr>
          <w:rFonts w:ascii="Arial" w:eastAsiaTheme="majorEastAsia" w:hAnsi="Arial" w:cstheme="majorBidi"/>
          <w:b/>
          <w:bCs/>
          <w:color w:val="4A7729"/>
          <w:kern w:val="28"/>
          <w:sz w:val="24"/>
          <w:szCs w:val="24"/>
          <w:lang w:val="en-US"/>
        </w:rPr>
      </w:pPr>
    </w:p>
    <w:p w:rsidR="00455347" w:rsidRDefault="00455347" w:rsidP="005216B1">
      <w:pPr>
        <w:spacing w:after="120" w:line="240" w:lineRule="auto"/>
        <w:rPr>
          <w:rFonts w:ascii="Arial" w:eastAsiaTheme="majorEastAsia" w:hAnsi="Arial" w:cstheme="majorBidi"/>
          <w:b/>
          <w:bCs/>
          <w:color w:val="4A7729"/>
          <w:kern w:val="28"/>
          <w:sz w:val="24"/>
          <w:szCs w:val="24"/>
          <w:lang w:val="en-US"/>
        </w:rPr>
      </w:pPr>
    </w:p>
    <w:p w:rsidR="001A7958" w:rsidRDefault="001A7958" w:rsidP="001A7958">
      <w:pPr>
        <w:tabs>
          <w:tab w:val="left" w:pos="568"/>
        </w:tabs>
        <w:spacing w:after="120" w:line="240" w:lineRule="auto"/>
        <w:ind w:left="568"/>
        <w:rPr>
          <w:rFonts w:ascii="Arial" w:eastAsiaTheme="majorEastAsia" w:hAnsi="Arial" w:cstheme="majorBidi"/>
          <w:b/>
          <w:bCs/>
          <w:color w:val="4A7729"/>
          <w:kern w:val="28"/>
          <w:sz w:val="24"/>
          <w:szCs w:val="24"/>
          <w:lang w:val="en-US"/>
        </w:rPr>
      </w:pPr>
      <w:r>
        <w:rPr>
          <w:rFonts w:ascii="Arial" w:eastAsiaTheme="majorEastAsia" w:hAnsi="Arial" w:cstheme="majorBidi"/>
          <w:b/>
          <w:bCs/>
          <w:color w:val="4A7729"/>
          <w:kern w:val="28"/>
          <w:sz w:val="24"/>
          <w:szCs w:val="24"/>
          <w:lang w:val="en-US"/>
        </w:rPr>
        <w:lastRenderedPageBreak/>
        <w:tab/>
        <w:t>4.4.1</w:t>
      </w:r>
      <w:r>
        <w:rPr>
          <w:rFonts w:ascii="Arial" w:eastAsiaTheme="majorEastAsia" w:hAnsi="Arial" w:cstheme="majorBidi"/>
          <w:b/>
          <w:bCs/>
          <w:color w:val="4A7729"/>
          <w:kern w:val="28"/>
          <w:sz w:val="24"/>
          <w:szCs w:val="24"/>
          <w:lang w:val="en-US"/>
        </w:rPr>
        <w:tab/>
        <w:t>No ERLs</w:t>
      </w:r>
    </w:p>
    <w:p w:rsidR="005216B1" w:rsidRDefault="005216B1" w:rsidP="005216B1">
      <w:pPr>
        <w:pStyle w:val="Caption"/>
        <w:keepNext/>
      </w:pPr>
      <w:r>
        <w:t xml:space="preserve">Table </w:t>
      </w:r>
      <w:fldSimple w:instr=" SEQ Table \* ARABIC ">
        <w:r w:rsidR="00BA25D1">
          <w:rPr>
            <w:noProof/>
          </w:rPr>
          <w:t>3</w:t>
        </w:r>
      </w:fldSimple>
      <w:r>
        <w:t xml:space="preserve"> - No ERLs</w:t>
      </w:r>
    </w:p>
    <w:tbl>
      <w:tblPr>
        <w:tblW w:w="7557" w:type="dxa"/>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quot;Correctly Labelled&quot; products."/>
        <w:tblDescription w:val="This table shows the number and percentage of products labelled in accordance with the GEMS labelling requirements of the relevant determination at the time of the market surveillance."/>
      </w:tblPr>
      <w:tblGrid>
        <w:gridCol w:w="3304"/>
        <w:gridCol w:w="993"/>
        <w:gridCol w:w="1104"/>
        <w:gridCol w:w="2156"/>
      </w:tblGrid>
      <w:tr w:rsidR="005216B1" w:rsidRPr="00531B05" w:rsidTr="00455347">
        <w:tc>
          <w:tcPr>
            <w:tcW w:w="3304" w:type="dxa"/>
            <w:shd w:val="clear" w:color="auto" w:fill="D6E3BC" w:themeFill="accent3" w:themeFillTint="66"/>
            <w:noWrap/>
            <w:hideMark/>
          </w:tcPr>
          <w:p w:rsidR="005216B1" w:rsidRPr="003D7187" w:rsidRDefault="005216B1" w:rsidP="00455347">
            <w:pPr>
              <w:spacing w:after="0" w:line="240" w:lineRule="auto"/>
              <w:rPr>
                <w:rFonts w:ascii="Arial" w:eastAsia="Times New Roman" w:hAnsi="Arial" w:cs="Arial"/>
                <w:b/>
                <w:sz w:val="18"/>
                <w:szCs w:val="18"/>
              </w:rPr>
            </w:pPr>
            <w:r w:rsidRPr="003D7187">
              <w:rPr>
                <w:rFonts w:ascii="Arial" w:eastAsia="Times New Roman" w:hAnsi="Arial" w:cs="Arial"/>
                <w:b/>
                <w:sz w:val="18"/>
                <w:szCs w:val="18"/>
              </w:rPr>
              <w:t>GEMS Product</w:t>
            </w:r>
          </w:p>
        </w:tc>
        <w:tc>
          <w:tcPr>
            <w:tcW w:w="993" w:type="dxa"/>
            <w:shd w:val="clear" w:color="auto" w:fill="D6E3BC" w:themeFill="accent3" w:themeFillTint="66"/>
          </w:tcPr>
          <w:p w:rsidR="005216B1" w:rsidRDefault="005216B1" w:rsidP="00455347">
            <w:pPr>
              <w:spacing w:after="0" w:line="240" w:lineRule="auto"/>
              <w:jc w:val="right"/>
              <w:rPr>
                <w:rFonts w:ascii="Arial" w:eastAsia="Times New Roman" w:hAnsi="Arial" w:cs="Arial"/>
                <w:b/>
                <w:sz w:val="18"/>
                <w:szCs w:val="18"/>
              </w:rPr>
            </w:pPr>
            <w:r>
              <w:rPr>
                <w:rFonts w:ascii="Arial" w:eastAsia="Times New Roman" w:hAnsi="Arial" w:cs="Arial"/>
                <w:b/>
                <w:sz w:val="18"/>
                <w:szCs w:val="18"/>
              </w:rPr>
              <w:t xml:space="preserve">Total products </w:t>
            </w:r>
          </w:p>
        </w:tc>
        <w:tc>
          <w:tcPr>
            <w:tcW w:w="1104" w:type="dxa"/>
            <w:shd w:val="clear" w:color="auto" w:fill="D6E3BC" w:themeFill="accent3" w:themeFillTint="66"/>
            <w:noWrap/>
            <w:hideMark/>
          </w:tcPr>
          <w:p w:rsidR="005216B1" w:rsidRPr="003D7187" w:rsidRDefault="005216B1" w:rsidP="00455347">
            <w:pPr>
              <w:spacing w:after="0" w:line="240" w:lineRule="auto"/>
              <w:jc w:val="right"/>
              <w:rPr>
                <w:rFonts w:ascii="Arial" w:eastAsia="Times New Roman" w:hAnsi="Arial" w:cs="Arial"/>
                <w:b/>
                <w:sz w:val="18"/>
                <w:szCs w:val="18"/>
              </w:rPr>
            </w:pPr>
            <w:r w:rsidRPr="003D7187">
              <w:rPr>
                <w:rFonts w:ascii="Arial" w:eastAsia="Times New Roman" w:hAnsi="Arial" w:cs="Arial"/>
                <w:b/>
                <w:sz w:val="18"/>
                <w:szCs w:val="18"/>
              </w:rPr>
              <w:t>Number</w:t>
            </w:r>
            <w:r>
              <w:rPr>
                <w:rFonts w:ascii="Arial" w:eastAsia="Times New Roman" w:hAnsi="Arial" w:cs="Arial"/>
                <w:b/>
                <w:sz w:val="18"/>
                <w:szCs w:val="18"/>
              </w:rPr>
              <w:t xml:space="preserve"> with No ERL</w:t>
            </w:r>
          </w:p>
        </w:tc>
        <w:tc>
          <w:tcPr>
            <w:tcW w:w="2156" w:type="dxa"/>
            <w:shd w:val="clear" w:color="auto" w:fill="D6E3BC" w:themeFill="accent3" w:themeFillTint="66"/>
            <w:noWrap/>
            <w:hideMark/>
          </w:tcPr>
          <w:p w:rsidR="005216B1" w:rsidRPr="003D7187" w:rsidRDefault="005216B1" w:rsidP="00455347">
            <w:pPr>
              <w:spacing w:after="0" w:line="240" w:lineRule="auto"/>
              <w:jc w:val="right"/>
              <w:rPr>
                <w:rFonts w:ascii="Arial" w:eastAsia="Times New Roman" w:hAnsi="Arial" w:cs="Arial"/>
                <w:b/>
                <w:sz w:val="18"/>
                <w:szCs w:val="18"/>
              </w:rPr>
            </w:pPr>
            <w:r>
              <w:rPr>
                <w:rFonts w:ascii="Arial" w:eastAsia="Times New Roman" w:hAnsi="Arial" w:cs="Arial"/>
                <w:b/>
                <w:sz w:val="18"/>
                <w:szCs w:val="18"/>
              </w:rPr>
              <w:t>% No ERL</w:t>
            </w:r>
          </w:p>
        </w:tc>
      </w:tr>
      <w:tr w:rsidR="005216B1" w:rsidRPr="003D7187" w:rsidTr="00455347">
        <w:tc>
          <w:tcPr>
            <w:tcW w:w="3304" w:type="dxa"/>
            <w:shd w:val="clear" w:color="auto" w:fill="auto"/>
            <w:noWrap/>
          </w:tcPr>
          <w:p w:rsidR="005216B1" w:rsidRPr="003D7187"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Computer Monitors</w:t>
            </w:r>
          </w:p>
        </w:tc>
        <w:tc>
          <w:tcPr>
            <w:tcW w:w="993" w:type="dxa"/>
          </w:tcPr>
          <w:p w:rsidR="005216B1" w:rsidRPr="00761D41" w:rsidRDefault="005216B1" w:rsidP="00455347">
            <w:pPr>
              <w:spacing w:after="0" w:line="240" w:lineRule="auto"/>
              <w:jc w:val="right"/>
              <w:rPr>
                <w:rFonts w:ascii="Arial" w:hAnsi="Arial" w:cs="Arial"/>
                <w:b/>
                <w:color w:val="FF0000"/>
                <w:sz w:val="20"/>
                <w:szCs w:val="20"/>
              </w:rPr>
            </w:pPr>
            <w:r w:rsidRPr="00761D41">
              <w:rPr>
                <w:rFonts w:ascii="Arial" w:hAnsi="Arial" w:cs="Arial"/>
                <w:b/>
                <w:color w:val="FF0000"/>
                <w:sz w:val="20"/>
                <w:szCs w:val="20"/>
              </w:rPr>
              <w:t>164</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60.4</w:t>
            </w:r>
          </w:p>
        </w:tc>
      </w:tr>
      <w:tr w:rsidR="005216B1" w:rsidRPr="003D7187" w:rsidTr="00455347">
        <w:tc>
          <w:tcPr>
            <w:tcW w:w="3304" w:type="dxa"/>
            <w:shd w:val="clear" w:color="auto" w:fill="auto"/>
            <w:noWrap/>
          </w:tcPr>
          <w:p w:rsidR="005216B1"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Televisions</w:t>
            </w:r>
          </w:p>
        </w:tc>
        <w:tc>
          <w:tcPr>
            <w:tcW w:w="993" w:type="dxa"/>
          </w:tcPr>
          <w:p w:rsidR="005216B1" w:rsidRPr="00761D41" w:rsidRDefault="005216B1" w:rsidP="00455347">
            <w:pPr>
              <w:spacing w:after="0" w:line="240" w:lineRule="auto"/>
              <w:jc w:val="right"/>
              <w:rPr>
                <w:rFonts w:ascii="Arial" w:hAnsi="Arial" w:cs="Arial"/>
                <w:b/>
                <w:color w:val="FF0000"/>
                <w:sz w:val="20"/>
                <w:szCs w:val="20"/>
              </w:rPr>
            </w:pPr>
            <w:r w:rsidRPr="00761D41">
              <w:rPr>
                <w:rFonts w:ascii="Arial" w:hAnsi="Arial" w:cs="Arial"/>
                <w:b/>
                <w:color w:val="FF0000"/>
                <w:sz w:val="20"/>
                <w:szCs w:val="20"/>
              </w:rPr>
              <w:t>548</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204</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37.0</w:t>
            </w:r>
          </w:p>
        </w:tc>
      </w:tr>
      <w:tr w:rsidR="005216B1" w:rsidRPr="003D7187" w:rsidTr="00455347">
        <w:tc>
          <w:tcPr>
            <w:tcW w:w="3304" w:type="dxa"/>
            <w:shd w:val="clear" w:color="auto" w:fill="auto"/>
            <w:noWrap/>
          </w:tcPr>
          <w:p w:rsidR="005216B1" w:rsidRPr="003D7187"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Air Conditioners</w:t>
            </w:r>
          </w:p>
        </w:tc>
        <w:tc>
          <w:tcPr>
            <w:tcW w:w="993" w:type="dxa"/>
          </w:tcPr>
          <w:p w:rsidR="005216B1" w:rsidRPr="00761D41" w:rsidRDefault="005216B1" w:rsidP="00455347">
            <w:pPr>
              <w:spacing w:after="0"/>
              <w:jc w:val="right"/>
              <w:rPr>
                <w:rFonts w:ascii="Arial" w:hAnsi="Arial" w:cs="Arial"/>
                <w:sz w:val="20"/>
                <w:szCs w:val="20"/>
              </w:rPr>
            </w:pPr>
            <w:r w:rsidRPr="00761D41">
              <w:rPr>
                <w:rFonts w:ascii="Arial" w:hAnsi="Arial" w:cs="Arial"/>
                <w:sz w:val="20"/>
                <w:szCs w:val="20"/>
              </w:rPr>
              <w:t>237</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58</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24.5</w:t>
            </w:r>
          </w:p>
        </w:tc>
      </w:tr>
      <w:tr w:rsidR="005216B1" w:rsidRPr="003D7187" w:rsidTr="00455347">
        <w:tc>
          <w:tcPr>
            <w:tcW w:w="3304" w:type="dxa"/>
            <w:shd w:val="clear" w:color="auto" w:fill="auto"/>
            <w:noWrap/>
          </w:tcPr>
          <w:p w:rsidR="005216B1" w:rsidRPr="003D7187"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Dishwashers</w:t>
            </w:r>
          </w:p>
        </w:tc>
        <w:tc>
          <w:tcPr>
            <w:tcW w:w="993" w:type="dxa"/>
          </w:tcPr>
          <w:p w:rsidR="005216B1" w:rsidRDefault="005216B1" w:rsidP="00455347">
            <w:pPr>
              <w:spacing w:after="0" w:line="240" w:lineRule="auto"/>
              <w:jc w:val="right"/>
              <w:rPr>
                <w:rFonts w:ascii="Arial" w:hAnsi="Arial" w:cs="Arial"/>
                <w:color w:val="000000"/>
                <w:sz w:val="20"/>
                <w:szCs w:val="20"/>
              </w:rPr>
            </w:pPr>
            <w:r>
              <w:rPr>
                <w:rFonts w:ascii="Arial" w:hAnsi="Arial" w:cs="Arial"/>
                <w:color w:val="000000"/>
                <w:sz w:val="20"/>
                <w:szCs w:val="20"/>
              </w:rPr>
              <w:t>484</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51</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10.5</w:t>
            </w:r>
          </w:p>
        </w:tc>
      </w:tr>
      <w:tr w:rsidR="005216B1" w:rsidRPr="003D7187" w:rsidTr="00455347">
        <w:tc>
          <w:tcPr>
            <w:tcW w:w="3304" w:type="dxa"/>
            <w:shd w:val="clear" w:color="auto" w:fill="auto"/>
            <w:noWrap/>
          </w:tcPr>
          <w:p w:rsidR="005216B1" w:rsidRPr="003D7187"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Washing Machines</w:t>
            </w:r>
          </w:p>
        </w:tc>
        <w:tc>
          <w:tcPr>
            <w:tcW w:w="993" w:type="dxa"/>
          </w:tcPr>
          <w:p w:rsidR="005216B1" w:rsidRPr="009A53F4" w:rsidRDefault="005216B1" w:rsidP="00455347">
            <w:pPr>
              <w:spacing w:after="0" w:line="240" w:lineRule="auto"/>
              <w:jc w:val="right"/>
              <w:rPr>
                <w:rFonts w:ascii="Arial" w:hAnsi="Arial" w:cs="Arial"/>
                <w:color w:val="000000"/>
                <w:sz w:val="20"/>
                <w:szCs w:val="20"/>
              </w:rPr>
            </w:pPr>
            <w:r>
              <w:rPr>
                <w:rFonts w:ascii="Arial" w:hAnsi="Arial" w:cs="Arial"/>
                <w:color w:val="000000"/>
                <w:sz w:val="20"/>
                <w:szCs w:val="20"/>
              </w:rPr>
              <w:t>631</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36</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5.7</w:t>
            </w:r>
          </w:p>
        </w:tc>
      </w:tr>
      <w:tr w:rsidR="005216B1" w:rsidRPr="003D7187" w:rsidTr="00455347">
        <w:tc>
          <w:tcPr>
            <w:tcW w:w="3304" w:type="dxa"/>
            <w:shd w:val="clear" w:color="auto" w:fill="auto"/>
            <w:noWrap/>
          </w:tcPr>
          <w:p w:rsidR="005216B1" w:rsidRPr="006425C2"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Household refrigerators/freezers</w:t>
            </w:r>
          </w:p>
        </w:tc>
        <w:tc>
          <w:tcPr>
            <w:tcW w:w="993" w:type="dxa"/>
          </w:tcPr>
          <w:p w:rsidR="005216B1" w:rsidRPr="009A53F4" w:rsidRDefault="005216B1" w:rsidP="00455347">
            <w:pPr>
              <w:spacing w:after="0" w:line="240" w:lineRule="auto"/>
              <w:jc w:val="right"/>
              <w:rPr>
                <w:rFonts w:ascii="Arial" w:hAnsi="Arial" w:cs="Arial"/>
                <w:color w:val="000000"/>
                <w:sz w:val="20"/>
                <w:szCs w:val="20"/>
              </w:rPr>
            </w:pPr>
            <w:r>
              <w:rPr>
                <w:rFonts w:ascii="Arial" w:hAnsi="Arial" w:cs="Arial"/>
                <w:color w:val="000000"/>
                <w:sz w:val="20"/>
                <w:szCs w:val="20"/>
              </w:rPr>
              <w:t>944</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52</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w:t>
            </w:r>
          </w:p>
        </w:tc>
      </w:tr>
      <w:tr w:rsidR="005216B1" w:rsidRPr="003D7187" w:rsidTr="00455347">
        <w:tc>
          <w:tcPr>
            <w:tcW w:w="3304" w:type="dxa"/>
            <w:shd w:val="clear" w:color="auto" w:fill="auto"/>
            <w:noWrap/>
          </w:tcPr>
          <w:p w:rsidR="005216B1" w:rsidRPr="003D7187"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Dryers</w:t>
            </w:r>
          </w:p>
        </w:tc>
        <w:tc>
          <w:tcPr>
            <w:tcW w:w="993" w:type="dxa"/>
          </w:tcPr>
          <w:p w:rsidR="005216B1" w:rsidRPr="009A53F4" w:rsidRDefault="005216B1" w:rsidP="00455347">
            <w:pPr>
              <w:spacing w:after="0"/>
              <w:jc w:val="right"/>
              <w:rPr>
                <w:rFonts w:ascii="Arial" w:hAnsi="Arial" w:cs="Arial"/>
                <w:color w:val="000000"/>
                <w:sz w:val="20"/>
                <w:szCs w:val="20"/>
              </w:rPr>
            </w:pPr>
            <w:r>
              <w:rPr>
                <w:rFonts w:ascii="Arial" w:hAnsi="Arial" w:cs="Arial"/>
                <w:color w:val="000000"/>
                <w:sz w:val="20"/>
                <w:szCs w:val="20"/>
              </w:rPr>
              <w:t>347</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w:t>
            </w:r>
          </w:p>
        </w:tc>
      </w:tr>
      <w:tr w:rsidR="005216B1" w:rsidRPr="003D7187" w:rsidTr="00455347">
        <w:tc>
          <w:tcPr>
            <w:tcW w:w="3304" w:type="dxa"/>
            <w:shd w:val="clear" w:color="auto" w:fill="auto"/>
            <w:noWrap/>
          </w:tcPr>
          <w:p w:rsidR="005216B1" w:rsidRPr="003D7187" w:rsidRDefault="005216B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Washers/Dryers</w:t>
            </w:r>
          </w:p>
        </w:tc>
        <w:tc>
          <w:tcPr>
            <w:tcW w:w="993" w:type="dxa"/>
          </w:tcPr>
          <w:p w:rsidR="005216B1" w:rsidRPr="009A53F4" w:rsidRDefault="005216B1" w:rsidP="00455347">
            <w:pPr>
              <w:spacing w:after="0" w:line="240" w:lineRule="auto"/>
              <w:jc w:val="right"/>
              <w:rPr>
                <w:rFonts w:ascii="Arial" w:hAnsi="Arial" w:cs="Arial"/>
                <w:color w:val="000000"/>
                <w:sz w:val="20"/>
                <w:szCs w:val="20"/>
              </w:rPr>
            </w:pPr>
            <w:r>
              <w:rPr>
                <w:rFonts w:ascii="Arial" w:hAnsi="Arial" w:cs="Arial"/>
                <w:color w:val="000000"/>
                <w:sz w:val="20"/>
                <w:szCs w:val="20"/>
              </w:rPr>
              <w:t>12</w:t>
            </w:r>
          </w:p>
        </w:tc>
        <w:tc>
          <w:tcPr>
            <w:tcW w:w="1104"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2156" w:type="dxa"/>
            <w:shd w:val="clear" w:color="auto" w:fill="auto"/>
            <w:noWrap/>
          </w:tcPr>
          <w:p w:rsidR="005216B1" w:rsidRPr="009A53F4" w:rsidRDefault="005216B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w:t>
            </w:r>
          </w:p>
        </w:tc>
      </w:tr>
      <w:tr w:rsidR="005216B1" w:rsidRPr="001A7958" w:rsidTr="00455347">
        <w:tc>
          <w:tcPr>
            <w:tcW w:w="3304" w:type="dxa"/>
            <w:shd w:val="clear" w:color="auto" w:fill="D6E3BC" w:themeFill="accent3" w:themeFillTint="66"/>
            <w:noWrap/>
          </w:tcPr>
          <w:p w:rsidR="005216B1" w:rsidRPr="001A7958" w:rsidRDefault="005216B1" w:rsidP="00455347">
            <w:pPr>
              <w:spacing w:after="0" w:line="240" w:lineRule="auto"/>
              <w:rPr>
                <w:rFonts w:ascii="Arial" w:eastAsia="Times New Roman" w:hAnsi="Arial" w:cs="Arial"/>
                <w:b/>
                <w:color w:val="000000"/>
                <w:sz w:val="18"/>
                <w:szCs w:val="18"/>
              </w:rPr>
            </w:pPr>
            <w:r w:rsidRPr="001A7958">
              <w:rPr>
                <w:rFonts w:ascii="Arial" w:eastAsia="Times New Roman" w:hAnsi="Arial" w:cs="Arial"/>
                <w:b/>
                <w:color w:val="000000"/>
                <w:sz w:val="18"/>
                <w:szCs w:val="18"/>
              </w:rPr>
              <w:t>TOTAL</w:t>
            </w:r>
          </w:p>
        </w:tc>
        <w:tc>
          <w:tcPr>
            <w:tcW w:w="993" w:type="dxa"/>
            <w:shd w:val="clear" w:color="auto" w:fill="D6E3BC" w:themeFill="accent3" w:themeFillTint="66"/>
          </w:tcPr>
          <w:p w:rsidR="005216B1" w:rsidRPr="001A7958" w:rsidRDefault="005216B1" w:rsidP="00455347">
            <w:pPr>
              <w:spacing w:after="0" w:line="240" w:lineRule="auto"/>
              <w:jc w:val="right"/>
              <w:rPr>
                <w:rFonts w:ascii="Arial" w:hAnsi="Arial" w:cs="Arial"/>
                <w:b/>
                <w:color w:val="FF0000"/>
                <w:sz w:val="20"/>
                <w:szCs w:val="20"/>
              </w:rPr>
            </w:pPr>
            <w:r w:rsidRPr="001A7958">
              <w:rPr>
                <w:rFonts w:ascii="Arial" w:hAnsi="Arial" w:cs="Arial"/>
                <w:b/>
                <w:color w:val="FF0000"/>
                <w:sz w:val="20"/>
                <w:szCs w:val="20"/>
              </w:rPr>
              <w:t>3,367</w:t>
            </w:r>
          </w:p>
        </w:tc>
        <w:tc>
          <w:tcPr>
            <w:tcW w:w="1104" w:type="dxa"/>
            <w:shd w:val="clear" w:color="auto" w:fill="D6E3BC" w:themeFill="accent3" w:themeFillTint="66"/>
            <w:noWrap/>
          </w:tcPr>
          <w:p w:rsidR="005216B1" w:rsidRPr="001A7958" w:rsidRDefault="005216B1" w:rsidP="00455347">
            <w:pPr>
              <w:spacing w:after="0" w:line="240" w:lineRule="auto"/>
              <w:jc w:val="right"/>
              <w:rPr>
                <w:rFonts w:ascii="Arial" w:hAnsi="Arial" w:cs="Arial"/>
                <w:b/>
                <w:color w:val="000000"/>
                <w:sz w:val="20"/>
                <w:szCs w:val="20"/>
              </w:rPr>
            </w:pPr>
            <w:r>
              <w:rPr>
                <w:rFonts w:ascii="Arial" w:hAnsi="Arial" w:cs="Arial"/>
                <w:b/>
                <w:color w:val="000000"/>
                <w:sz w:val="20"/>
                <w:szCs w:val="20"/>
              </w:rPr>
              <w:t>509</w:t>
            </w:r>
          </w:p>
        </w:tc>
        <w:tc>
          <w:tcPr>
            <w:tcW w:w="2156" w:type="dxa"/>
            <w:shd w:val="clear" w:color="auto" w:fill="D6E3BC" w:themeFill="accent3" w:themeFillTint="66"/>
            <w:noWrap/>
          </w:tcPr>
          <w:p w:rsidR="005216B1" w:rsidRPr="001A7958" w:rsidRDefault="005216B1" w:rsidP="00455347">
            <w:pPr>
              <w:spacing w:after="0" w:line="240" w:lineRule="auto"/>
              <w:jc w:val="right"/>
              <w:rPr>
                <w:rFonts w:ascii="Arial" w:hAnsi="Arial" w:cs="Arial"/>
                <w:b/>
                <w:color w:val="000000"/>
                <w:sz w:val="20"/>
                <w:szCs w:val="20"/>
              </w:rPr>
            </w:pPr>
            <w:r>
              <w:rPr>
                <w:rFonts w:ascii="Arial" w:hAnsi="Arial" w:cs="Arial"/>
                <w:b/>
                <w:color w:val="000000"/>
                <w:sz w:val="20"/>
                <w:szCs w:val="20"/>
              </w:rPr>
              <w:t>15.1</w:t>
            </w:r>
          </w:p>
        </w:tc>
      </w:tr>
    </w:tbl>
    <w:p w:rsidR="001C591E" w:rsidRDefault="001C591E" w:rsidP="00982887">
      <w:pPr>
        <w:spacing w:after="60" w:line="240" w:lineRule="auto"/>
        <w:rPr>
          <w:rFonts w:ascii="Arial" w:eastAsiaTheme="majorEastAsia" w:hAnsi="Arial" w:cstheme="majorBidi"/>
          <w:b/>
          <w:bCs/>
          <w:color w:val="4A7729"/>
          <w:kern w:val="28"/>
          <w:sz w:val="20"/>
          <w:szCs w:val="20"/>
          <w:lang w:val="en-US"/>
        </w:rPr>
      </w:pPr>
    </w:p>
    <w:p w:rsidR="002D5EA0" w:rsidRPr="005216B1" w:rsidRDefault="005216B1" w:rsidP="005216B1">
      <w:pPr>
        <w:spacing w:after="0" w:line="240" w:lineRule="auto"/>
        <w:rPr>
          <w:rFonts w:ascii="Arial" w:hAnsi="Arial" w:cs="Arial"/>
          <w:sz w:val="20"/>
          <w:szCs w:val="20"/>
        </w:rPr>
      </w:pPr>
      <w:r>
        <w:rPr>
          <w:rFonts w:ascii="Arial" w:hAnsi="Arial" w:cs="Arial"/>
          <w:sz w:val="20"/>
          <w:szCs w:val="20"/>
        </w:rPr>
        <w:t xml:space="preserve">In what is an ongoing problem, retailers claimed the poor results for computer monitors and televisions related to the increasing size of the display or viewing areas and the decreasing size of the product’s frame, with suppliers reluctant to defile the viewing area of the product with an ERL. This is especially so for televisions where the non-compliance rate increased significantly over the last two years. Air conditioners, dishwashers and household refrigerators/freezers also experienced marked increases on the previous year’s results. </w:t>
      </w:r>
      <w:r w:rsidR="002D5EA0" w:rsidRPr="005216B1">
        <w:rPr>
          <w:rFonts w:ascii="Arial" w:hAnsi="Arial" w:cs="Arial"/>
          <w:sz w:val="20"/>
          <w:szCs w:val="20"/>
        </w:rPr>
        <w:t xml:space="preserve"> </w:t>
      </w:r>
    </w:p>
    <w:p w:rsidR="002D5EA0" w:rsidRDefault="002D5EA0" w:rsidP="000B0BB1">
      <w:pPr>
        <w:spacing w:after="0" w:line="240" w:lineRule="auto"/>
        <w:rPr>
          <w:rFonts w:ascii="Arial" w:hAnsi="Arial" w:cs="Arial"/>
          <w:sz w:val="20"/>
          <w:szCs w:val="20"/>
        </w:rPr>
      </w:pPr>
    </w:p>
    <w:p w:rsidR="005216B1" w:rsidRDefault="005216B1" w:rsidP="005216B1">
      <w:pPr>
        <w:tabs>
          <w:tab w:val="left" w:pos="568"/>
        </w:tabs>
        <w:spacing w:after="120" w:line="240" w:lineRule="auto"/>
        <w:ind w:left="568"/>
        <w:rPr>
          <w:rFonts w:ascii="Arial" w:eastAsiaTheme="majorEastAsia" w:hAnsi="Arial" w:cstheme="majorBidi"/>
          <w:b/>
          <w:bCs/>
          <w:color w:val="4A7729"/>
          <w:kern w:val="28"/>
          <w:sz w:val="24"/>
          <w:szCs w:val="24"/>
          <w:lang w:val="en-US"/>
        </w:rPr>
      </w:pPr>
      <w:r>
        <w:rPr>
          <w:rFonts w:ascii="Arial" w:eastAsiaTheme="majorEastAsia" w:hAnsi="Arial" w:cstheme="majorBidi"/>
          <w:b/>
          <w:bCs/>
          <w:color w:val="4A7729"/>
          <w:kern w:val="28"/>
          <w:sz w:val="24"/>
          <w:szCs w:val="24"/>
          <w:lang w:val="en-US"/>
        </w:rPr>
        <w:t>4.4.2</w:t>
      </w:r>
      <w:r>
        <w:rPr>
          <w:rFonts w:ascii="Arial" w:eastAsiaTheme="majorEastAsia" w:hAnsi="Arial" w:cstheme="majorBidi"/>
          <w:b/>
          <w:bCs/>
          <w:color w:val="4A7729"/>
          <w:kern w:val="28"/>
          <w:sz w:val="24"/>
          <w:szCs w:val="24"/>
          <w:lang w:val="en-US"/>
        </w:rPr>
        <w:tab/>
        <w:t>Obscured ERLs</w:t>
      </w:r>
    </w:p>
    <w:p w:rsidR="002B06CC" w:rsidRDefault="005216B1" w:rsidP="000B0BB1">
      <w:pPr>
        <w:spacing w:after="0" w:line="240" w:lineRule="auto"/>
        <w:rPr>
          <w:rFonts w:ascii="Arial" w:hAnsi="Arial" w:cs="Arial"/>
          <w:sz w:val="20"/>
          <w:szCs w:val="20"/>
        </w:rPr>
      </w:pPr>
      <w:r>
        <w:rPr>
          <w:rFonts w:ascii="Arial" w:hAnsi="Arial" w:cs="Arial"/>
          <w:sz w:val="20"/>
          <w:szCs w:val="20"/>
        </w:rPr>
        <w:t>An obscured ERL is one which is covered, either wholly or in part, by other information such as a store, promotional, pricing or other label</w:t>
      </w:r>
      <w:r w:rsidR="00BA25D1">
        <w:rPr>
          <w:rStyle w:val="FootnoteReference"/>
          <w:rFonts w:ascii="Arial" w:hAnsi="Arial" w:cs="Arial"/>
          <w:sz w:val="20"/>
          <w:szCs w:val="20"/>
        </w:rPr>
        <w:footnoteReference w:id="5"/>
      </w:r>
      <w:r>
        <w:rPr>
          <w:rFonts w:ascii="Arial" w:hAnsi="Arial" w:cs="Arial"/>
          <w:sz w:val="20"/>
          <w:szCs w:val="20"/>
        </w:rPr>
        <w:t xml:space="preserve">; or the ERL has been placed inside the product and is no longer visible to the consumer. The practice of obscuring ERLs continues: </w:t>
      </w:r>
    </w:p>
    <w:p w:rsidR="002B06CC" w:rsidRPr="002B06CC" w:rsidRDefault="002B06CC" w:rsidP="000B0BB1">
      <w:pPr>
        <w:spacing w:after="0" w:line="240" w:lineRule="auto"/>
        <w:rPr>
          <w:rFonts w:ascii="Arial" w:hAnsi="Arial" w:cs="Arial"/>
          <w:sz w:val="20"/>
          <w:szCs w:val="20"/>
        </w:rPr>
      </w:pPr>
    </w:p>
    <w:p w:rsidR="00BA25D1" w:rsidRDefault="00BA25D1" w:rsidP="00BA25D1">
      <w:pPr>
        <w:pStyle w:val="Caption"/>
        <w:keepNext/>
      </w:pPr>
      <w:r>
        <w:t xml:space="preserve">Table </w:t>
      </w:r>
      <w:fldSimple w:instr=" SEQ Table \* ARABIC ">
        <w:r>
          <w:rPr>
            <w:noProof/>
          </w:rPr>
          <w:t>4</w:t>
        </w:r>
      </w:fldSimple>
      <w:r>
        <w:t xml:space="preserve"> - Obscured ERLs</w:t>
      </w:r>
    </w:p>
    <w:tbl>
      <w:tblPr>
        <w:tblW w:w="7557" w:type="dxa"/>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quot;Correctly Labelled&quot; products."/>
        <w:tblDescription w:val="This table shows the number and percentage of products labelled in accordance with the GEMS labelling requirements of the relevant determination at the time of the market surveillance."/>
      </w:tblPr>
      <w:tblGrid>
        <w:gridCol w:w="3304"/>
        <w:gridCol w:w="993"/>
        <w:gridCol w:w="1104"/>
        <w:gridCol w:w="2156"/>
      </w:tblGrid>
      <w:tr w:rsidR="00BA25D1" w:rsidRPr="00531B05" w:rsidTr="00071654">
        <w:trPr>
          <w:trHeight w:val="58"/>
        </w:trPr>
        <w:tc>
          <w:tcPr>
            <w:tcW w:w="3304" w:type="dxa"/>
            <w:shd w:val="clear" w:color="auto" w:fill="D6E3BC" w:themeFill="accent3" w:themeFillTint="66"/>
            <w:noWrap/>
            <w:vAlign w:val="bottom"/>
            <w:hideMark/>
          </w:tcPr>
          <w:p w:rsidR="00BA25D1" w:rsidRPr="003D7187" w:rsidRDefault="00BA25D1" w:rsidP="00455347">
            <w:pPr>
              <w:spacing w:after="0" w:line="240" w:lineRule="auto"/>
              <w:rPr>
                <w:rFonts w:ascii="Arial" w:eastAsia="Times New Roman" w:hAnsi="Arial" w:cs="Arial"/>
                <w:b/>
                <w:sz w:val="18"/>
                <w:szCs w:val="18"/>
              </w:rPr>
            </w:pPr>
            <w:r w:rsidRPr="003D7187">
              <w:rPr>
                <w:rFonts w:ascii="Arial" w:eastAsia="Times New Roman" w:hAnsi="Arial" w:cs="Arial"/>
                <w:b/>
                <w:sz w:val="18"/>
                <w:szCs w:val="18"/>
              </w:rPr>
              <w:t>GEMS Product</w:t>
            </w:r>
          </w:p>
        </w:tc>
        <w:tc>
          <w:tcPr>
            <w:tcW w:w="993" w:type="dxa"/>
            <w:shd w:val="clear" w:color="auto" w:fill="D6E3BC" w:themeFill="accent3" w:themeFillTint="66"/>
          </w:tcPr>
          <w:p w:rsidR="00BA25D1" w:rsidRDefault="00BA25D1" w:rsidP="00455347">
            <w:pPr>
              <w:spacing w:after="0" w:line="240" w:lineRule="auto"/>
              <w:jc w:val="right"/>
              <w:rPr>
                <w:rFonts w:ascii="Arial" w:eastAsia="Times New Roman" w:hAnsi="Arial" w:cs="Arial"/>
                <w:b/>
                <w:sz w:val="18"/>
                <w:szCs w:val="18"/>
              </w:rPr>
            </w:pPr>
            <w:r>
              <w:rPr>
                <w:rFonts w:ascii="Arial" w:eastAsia="Times New Roman" w:hAnsi="Arial" w:cs="Arial"/>
                <w:b/>
                <w:sz w:val="18"/>
                <w:szCs w:val="18"/>
              </w:rPr>
              <w:t xml:space="preserve">Total products </w:t>
            </w:r>
          </w:p>
        </w:tc>
        <w:tc>
          <w:tcPr>
            <w:tcW w:w="1104" w:type="dxa"/>
            <w:shd w:val="clear" w:color="auto" w:fill="D6E3BC" w:themeFill="accent3" w:themeFillTint="66"/>
            <w:noWrap/>
            <w:vAlign w:val="bottom"/>
            <w:hideMark/>
          </w:tcPr>
          <w:p w:rsidR="00BA25D1" w:rsidRPr="003D7187" w:rsidRDefault="00BA25D1" w:rsidP="00455347">
            <w:pPr>
              <w:spacing w:after="0" w:line="240" w:lineRule="auto"/>
              <w:jc w:val="right"/>
              <w:rPr>
                <w:rFonts w:ascii="Arial" w:eastAsia="Times New Roman" w:hAnsi="Arial" w:cs="Arial"/>
                <w:b/>
                <w:sz w:val="18"/>
                <w:szCs w:val="18"/>
              </w:rPr>
            </w:pPr>
            <w:r>
              <w:rPr>
                <w:rFonts w:ascii="Arial" w:eastAsia="Times New Roman" w:hAnsi="Arial" w:cs="Arial"/>
                <w:b/>
                <w:sz w:val="18"/>
                <w:szCs w:val="18"/>
              </w:rPr>
              <w:t>Number Obscured ERLs</w:t>
            </w:r>
          </w:p>
        </w:tc>
        <w:tc>
          <w:tcPr>
            <w:tcW w:w="2156" w:type="dxa"/>
            <w:shd w:val="clear" w:color="auto" w:fill="D6E3BC" w:themeFill="accent3" w:themeFillTint="66"/>
            <w:noWrap/>
            <w:vAlign w:val="bottom"/>
            <w:hideMark/>
          </w:tcPr>
          <w:p w:rsidR="00BA25D1" w:rsidRPr="003D7187" w:rsidRDefault="00BA25D1" w:rsidP="00455347">
            <w:pPr>
              <w:spacing w:after="0" w:line="240" w:lineRule="auto"/>
              <w:jc w:val="right"/>
              <w:rPr>
                <w:rFonts w:ascii="Arial" w:eastAsia="Times New Roman" w:hAnsi="Arial" w:cs="Arial"/>
                <w:b/>
                <w:sz w:val="18"/>
                <w:szCs w:val="18"/>
              </w:rPr>
            </w:pPr>
            <w:r>
              <w:rPr>
                <w:rFonts w:ascii="Arial" w:eastAsia="Times New Roman" w:hAnsi="Arial" w:cs="Arial"/>
                <w:b/>
                <w:sz w:val="18"/>
                <w:szCs w:val="18"/>
              </w:rPr>
              <w:t>% Obscured ERLs</w:t>
            </w:r>
          </w:p>
        </w:tc>
      </w:tr>
      <w:tr w:rsidR="00BA25D1" w:rsidRPr="003D7187" w:rsidTr="00BA25D1">
        <w:trPr>
          <w:trHeight w:val="58"/>
        </w:trPr>
        <w:tc>
          <w:tcPr>
            <w:tcW w:w="3304" w:type="dxa"/>
            <w:shd w:val="clear" w:color="auto" w:fill="auto"/>
            <w:noWrap/>
          </w:tcPr>
          <w:p w:rsidR="00BA25D1" w:rsidRPr="003D7187"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Washers/Dryers</w:t>
            </w:r>
          </w:p>
        </w:tc>
        <w:tc>
          <w:tcPr>
            <w:tcW w:w="993" w:type="dxa"/>
          </w:tcPr>
          <w:p w:rsidR="00BA25D1" w:rsidRPr="009A53F4" w:rsidRDefault="00BA25D1" w:rsidP="00455347">
            <w:pPr>
              <w:spacing w:after="0" w:line="240" w:lineRule="auto"/>
              <w:jc w:val="right"/>
              <w:rPr>
                <w:rFonts w:ascii="Arial" w:hAnsi="Arial" w:cs="Arial"/>
                <w:color w:val="000000"/>
                <w:sz w:val="20"/>
                <w:szCs w:val="20"/>
              </w:rPr>
            </w:pPr>
            <w:r>
              <w:rPr>
                <w:rFonts w:ascii="Arial" w:hAnsi="Arial" w:cs="Arial"/>
                <w:color w:val="000000"/>
                <w:sz w:val="20"/>
                <w:szCs w:val="20"/>
              </w:rPr>
              <w:t>12</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25.0</w:t>
            </w:r>
          </w:p>
        </w:tc>
      </w:tr>
      <w:tr w:rsidR="00BA25D1" w:rsidRPr="003D7187" w:rsidTr="00BA25D1">
        <w:trPr>
          <w:trHeight w:val="58"/>
        </w:trPr>
        <w:tc>
          <w:tcPr>
            <w:tcW w:w="3304" w:type="dxa"/>
            <w:shd w:val="clear" w:color="auto" w:fill="auto"/>
            <w:noWrap/>
          </w:tcPr>
          <w:p w:rsidR="00BA25D1"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Televisions</w:t>
            </w:r>
          </w:p>
        </w:tc>
        <w:tc>
          <w:tcPr>
            <w:tcW w:w="993" w:type="dxa"/>
          </w:tcPr>
          <w:p w:rsidR="00BA25D1" w:rsidRPr="00761D41" w:rsidRDefault="00BA25D1" w:rsidP="00455347">
            <w:pPr>
              <w:spacing w:after="0" w:line="240" w:lineRule="auto"/>
              <w:jc w:val="right"/>
              <w:rPr>
                <w:rFonts w:ascii="Arial" w:hAnsi="Arial" w:cs="Arial"/>
                <w:b/>
                <w:color w:val="FF0000"/>
                <w:sz w:val="20"/>
                <w:szCs w:val="20"/>
              </w:rPr>
            </w:pPr>
            <w:r w:rsidRPr="00761D41">
              <w:rPr>
                <w:rFonts w:ascii="Arial" w:hAnsi="Arial" w:cs="Arial"/>
                <w:b/>
                <w:color w:val="FF0000"/>
                <w:sz w:val="20"/>
                <w:szCs w:val="20"/>
              </w:rPr>
              <w:t>548</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82</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w:t>
            </w:r>
          </w:p>
        </w:tc>
      </w:tr>
      <w:tr w:rsidR="00BA25D1" w:rsidRPr="003D7187" w:rsidTr="00BA25D1">
        <w:trPr>
          <w:trHeight w:val="58"/>
        </w:trPr>
        <w:tc>
          <w:tcPr>
            <w:tcW w:w="3304" w:type="dxa"/>
            <w:shd w:val="clear" w:color="auto" w:fill="auto"/>
            <w:noWrap/>
          </w:tcPr>
          <w:p w:rsidR="00BA25D1" w:rsidRPr="003D7187"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Washing Machines</w:t>
            </w:r>
          </w:p>
        </w:tc>
        <w:tc>
          <w:tcPr>
            <w:tcW w:w="993" w:type="dxa"/>
          </w:tcPr>
          <w:p w:rsidR="00BA25D1" w:rsidRPr="009A53F4" w:rsidRDefault="00BA25D1" w:rsidP="00455347">
            <w:pPr>
              <w:spacing w:after="0" w:line="240" w:lineRule="auto"/>
              <w:jc w:val="right"/>
              <w:rPr>
                <w:rFonts w:ascii="Arial" w:hAnsi="Arial" w:cs="Arial"/>
                <w:color w:val="000000"/>
                <w:sz w:val="20"/>
                <w:szCs w:val="20"/>
              </w:rPr>
            </w:pPr>
            <w:r>
              <w:rPr>
                <w:rFonts w:ascii="Arial" w:hAnsi="Arial" w:cs="Arial"/>
                <w:color w:val="000000"/>
                <w:sz w:val="20"/>
                <w:szCs w:val="20"/>
              </w:rPr>
              <w:t>631</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46</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7.3</w:t>
            </w:r>
          </w:p>
        </w:tc>
      </w:tr>
      <w:tr w:rsidR="00BA25D1" w:rsidRPr="003D7187" w:rsidTr="00BA25D1">
        <w:trPr>
          <w:trHeight w:val="58"/>
        </w:trPr>
        <w:tc>
          <w:tcPr>
            <w:tcW w:w="3304" w:type="dxa"/>
            <w:shd w:val="clear" w:color="auto" w:fill="auto"/>
            <w:noWrap/>
          </w:tcPr>
          <w:p w:rsidR="00BA25D1" w:rsidRPr="006425C2"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Household refrigerators/freezers</w:t>
            </w:r>
          </w:p>
        </w:tc>
        <w:tc>
          <w:tcPr>
            <w:tcW w:w="993" w:type="dxa"/>
          </w:tcPr>
          <w:p w:rsidR="00BA25D1" w:rsidRPr="009A53F4" w:rsidRDefault="00BA25D1" w:rsidP="00455347">
            <w:pPr>
              <w:spacing w:after="0" w:line="240" w:lineRule="auto"/>
              <w:jc w:val="right"/>
              <w:rPr>
                <w:rFonts w:ascii="Arial" w:hAnsi="Arial" w:cs="Arial"/>
                <w:color w:val="000000"/>
                <w:sz w:val="20"/>
                <w:szCs w:val="20"/>
              </w:rPr>
            </w:pPr>
            <w:r>
              <w:rPr>
                <w:rFonts w:ascii="Arial" w:hAnsi="Arial" w:cs="Arial"/>
                <w:color w:val="000000"/>
                <w:sz w:val="20"/>
                <w:szCs w:val="20"/>
              </w:rPr>
              <w:t>944</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57</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6.0</w:t>
            </w:r>
          </w:p>
        </w:tc>
      </w:tr>
      <w:tr w:rsidR="00BA25D1" w:rsidRPr="003D7187" w:rsidTr="00BA25D1">
        <w:trPr>
          <w:trHeight w:val="58"/>
        </w:trPr>
        <w:tc>
          <w:tcPr>
            <w:tcW w:w="3304" w:type="dxa"/>
            <w:shd w:val="clear" w:color="auto" w:fill="auto"/>
            <w:noWrap/>
          </w:tcPr>
          <w:p w:rsidR="00BA25D1" w:rsidRPr="003D7187"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Dishwashers</w:t>
            </w:r>
          </w:p>
        </w:tc>
        <w:tc>
          <w:tcPr>
            <w:tcW w:w="993" w:type="dxa"/>
          </w:tcPr>
          <w:p w:rsidR="00BA25D1" w:rsidRDefault="00BA25D1" w:rsidP="00455347">
            <w:pPr>
              <w:spacing w:after="0" w:line="240" w:lineRule="auto"/>
              <w:jc w:val="right"/>
              <w:rPr>
                <w:rFonts w:ascii="Arial" w:hAnsi="Arial" w:cs="Arial"/>
                <w:color w:val="000000"/>
                <w:sz w:val="20"/>
                <w:szCs w:val="20"/>
              </w:rPr>
            </w:pPr>
            <w:r>
              <w:rPr>
                <w:rFonts w:ascii="Arial" w:hAnsi="Arial" w:cs="Arial"/>
                <w:color w:val="000000"/>
                <w:sz w:val="20"/>
                <w:szCs w:val="20"/>
              </w:rPr>
              <w:t>484</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25</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5.2</w:t>
            </w:r>
          </w:p>
        </w:tc>
      </w:tr>
      <w:tr w:rsidR="00BA25D1" w:rsidRPr="003D7187" w:rsidTr="00BA25D1">
        <w:trPr>
          <w:trHeight w:val="58"/>
        </w:trPr>
        <w:tc>
          <w:tcPr>
            <w:tcW w:w="3304" w:type="dxa"/>
            <w:shd w:val="clear" w:color="auto" w:fill="auto"/>
            <w:noWrap/>
          </w:tcPr>
          <w:p w:rsidR="00BA25D1" w:rsidRPr="003D7187"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Dryers</w:t>
            </w:r>
          </w:p>
        </w:tc>
        <w:tc>
          <w:tcPr>
            <w:tcW w:w="993" w:type="dxa"/>
          </w:tcPr>
          <w:p w:rsidR="00BA25D1" w:rsidRPr="009A53F4" w:rsidRDefault="00BA25D1" w:rsidP="00455347">
            <w:pPr>
              <w:spacing w:after="0"/>
              <w:jc w:val="right"/>
              <w:rPr>
                <w:rFonts w:ascii="Arial" w:hAnsi="Arial" w:cs="Arial"/>
                <w:color w:val="000000"/>
                <w:sz w:val="20"/>
                <w:szCs w:val="20"/>
              </w:rPr>
            </w:pPr>
            <w:r>
              <w:rPr>
                <w:rFonts w:ascii="Arial" w:hAnsi="Arial" w:cs="Arial"/>
                <w:color w:val="000000"/>
                <w:sz w:val="20"/>
                <w:szCs w:val="20"/>
              </w:rPr>
              <w:t>347</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w:t>
            </w:r>
          </w:p>
        </w:tc>
      </w:tr>
      <w:tr w:rsidR="00BA25D1" w:rsidRPr="003D7187" w:rsidTr="00BA25D1">
        <w:trPr>
          <w:trHeight w:val="58"/>
        </w:trPr>
        <w:tc>
          <w:tcPr>
            <w:tcW w:w="3304" w:type="dxa"/>
            <w:shd w:val="clear" w:color="auto" w:fill="auto"/>
            <w:noWrap/>
          </w:tcPr>
          <w:p w:rsidR="00BA25D1" w:rsidRPr="003D7187"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Computer Monitors</w:t>
            </w:r>
          </w:p>
        </w:tc>
        <w:tc>
          <w:tcPr>
            <w:tcW w:w="993" w:type="dxa"/>
          </w:tcPr>
          <w:p w:rsidR="00BA25D1" w:rsidRPr="00761D41" w:rsidRDefault="00BA25D1" w:rsidP="00455347">
            <w:pPr>
              <w:spacing w:after="0" w:line="240" w:lineRule="auto"/>
              <w:jc w:val="right"/>
              <w:rPr>
                <w:rFonts w:ascii="Arial" w:hAnsi="Arial" w:cs="Arial"/>
                <w:b/>
                <w:color w:val="FF0000"/>
                <w:sz w:val="20"/>
                <w:szCs w:val="20"/>
              </w:rPr>
            </w:pPr>
            <w:r w:rsidRPr="00761D41">
              <w:rPr>
                <w:rFonts w:ascii="Arial" w:hAnsi="Arial" w:cs="Arial"/>
                <w:b/>
                <w:color w:val="FF0000"/>
                <w:sz w:val="20"/>
                <w:szCs w:val="20"/>
              </w:rPr>
              <w:t>164</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w:t>
            </w:r>
          </w:p>
        </w:tc>
      </w:tr>
      <w:tr w:rsidR="00BA25D1" w:rsidRPr="003D7187" w:rsidTr="00BA25D1">
        <w:trPr>
          <w:trHeight w:val="58"/>
        </w:trPr>
        <w:tc>
          <w:tcPr>
            <w:tcW w:w="3304" w:type="dxa"/>
            <w:shd w:val="clear" w:color="auto" w:fill="auto"/>
            <w:noWrap/>
          </w:tcPr>
          <w:p w:rsidR="00BA25D1" w:rsidRPr="003D7187" w:rsidRDefault="00BA25D1" w:rsidP="004553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Air Conditioners</w:t>
            </w:r>
          </w:p>
        </w:tc>
        <w:tc>
          <w:tcPr>
            <w:tcW w:w="993" w:type="dxa"/>
          </w:tcPr>
          <w:p w:rsidR="00BA25D1" w:rsidRPr="00761D41" w:rsidRDefault="00BA25D1" w:rsidP="00455347">
            <w:pPr>
              <w:spacing w:after="0"/>
              <w:jc w:val="right"/>
              <w:rPr>
                <w:rFonts w:ascii="Arial" w:hAnsi="Arial" w:cs="Arial"/>
                <w:sz w:val="20"/>
                <w:szCs w:val="20"/>
              </w:rPr>
            </w:pPr>
            <w:r w:rsidRPr="00761D41">
              <w:rPr>
                <w:rFonts w:ascii="Arial" w:hAnsi="Arial" w:cs="Arial"/>
                <w:sz w:val="20"/>
                <w:szCs w:val="20"/>
              </w:rPr>
              <w:t>237</w:t>
            </w:r>
          </w:p>
        </w:tc>
        <w:tc>
          <w:tcPr>
            <w:tcW w:w="1104"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2156" w:type="dxa"/>
            <w:shd w:val="clear" w:color="auto" w:fill="auto"/>
            <w:noWrap/>
          </w:tcPr>
          <w:p w:rsidR="00BA25D1" w:rsidRPr="009A53F4" w:rsidRDefault="00BA25D1" w:rsidP="0045534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0.8</w:t>
            </w:r>
          </w:p>
        </w:tc>
      </w:tr>
      <w:tr w:rsidR="00BA25D1" w:rsidRPr="001A7958" w:rsidTr="00071654">
        <w:trPr>
          <w:trHeight w:val="58"/>
        </w:trPr>
        <w:tc>
          <w:tcPr>
            <w:tcW w:w="3304" w:type="dxa"/>
            <w:shd w:val="clear" w:color="auto" w:fill="D6E3BC" w:themeFill="accent3" w:themeFillTint="66"/>
            <w:noWrap/>
            <w:vAlign w:val="bottom"/>
          </w:tcPr>
          <w:p w:rsidR="00BA25D1" w:rsidRPr="001A7958" w:rsidRDefault="00BA25D1" w:rsidP="00455347">
            <w:pPr>
              <w:spacing w:after="0" w:line="240" w:lineRule="auto"/>
              <w:rPr>
                <w:rFonts w:ascii="Arial" w:eastAsia="Times New Roman" w:hAnsi="Arial" w:cs="Arial"/>
                <w:b/>
                <w:color w:val="000000"/>
                <w:sz w:val="18"/>
                <w:szCs w:val="18"/>
              </w:rPr>
            </w:pPr>
            <w:r w:rsidRPr="001A7958">
              <w:rPr>
                <w:rFonts w:ascii="Arial" w:eastAsia="Times New Roman" w:hAnsi="Arial" w:cs="Arial"/>
                <w:b/>
                <w:color w:val="000000"/>
                <w:sz w:val="18"/>
                <w:szCs w:val="18"/>
              </w:rPr>
              <w:t>TOTAL</w:t>
            </w:r>
          </w:p>
        </w:tc>
        <w:tc>
          <w:tcPr>
            <w:tcW w:w="993" w:type="dxa"/>
            <w:shd w:val="clear" w:color="auto" w:fill="D6E3BC" w:themeFill="accent3" w:themeFillTint="66"/>
          </w:tcPr>
          <w:p w:rsidR="00BA25D1" w:rsidRPr="001A7958" w:rsidRDefault="00BA25D1" w:rsidP="00455347">
            <w:pPr>
              <w:spacing w:after="0" w:line="240" w:lineRule="auto"/>
              <w:jc w:val="right"/>
              <w:rPr>
                <w:rFonts w:ascii="Arial" w:hAnsi="Arial" w:cs="Arial"/>
                <w:b/>
                <w:color w:val="FF0000"/>
                <w:sz w:val="20"/>
                <w:szCs w:val="20"/>
              </w:rPr>
            </w:pPr>
            <w:r w:rsidRPr="001A7958">
              <w:rPr>
                <w:rFonts w:ascii="Arial" w:hAnsi="Arial" w:cs="Arial"/>
                <w:b/>
                <w:color w:val="FF0000"/>
                <w:sz w:val="20"/>
                <w:szCs w:val="20"/>
              </w:rPr>
              <w:t>3,367</w:t>
            </w:r>
          </w:p>
        </w:tc>
        <w:tc>
          <w:tcPr>
            <w:tcW w:w="1104" w:type="dxa"/>
            <w:shd w:val="clear" w:color="auto" w:fill="D6E3BC" w:themeFill="accent3" w:themeFillTint="66"/>
            <w:noWrap/>
            <w:vAlign w:val="center"/>
          </w:tcPr>
          <w:p w:rsidR="00BA25D1" w:rsidRPr="001A7958" w:rsidRDefault="00BA25D1" w:rsidP="00455347">
            <w:pPr>
              <w:spacing w:after="0" w:line="240" w:lineRule="auto"/>
              <w:jc w:val="right"/>
              <w:rPr>
                <w:rFonts w:ascii="Arial" w:hAnsi="Arial" w:cs="Arial"/>
                <w:b/>
                <w:color w:val="000000"/>
                <w:sz w:val="20"/>
                <w:szCs w:val="20"/>
              </w:rPr>
            </w:pPr>
            <w:r>
              <w:rPr>
                <w:rFonts w:ascii="Arial" w:hAnsi="Arial" w:cs="Arial"/>
                <w:b/>
                <w:color w:val="000000"/>
                <w:sz w:val="20"/>
                <w:szCs w:val="20"/>
              </w:rPr>
              <w:t>228</w:t>
            </w:r>
          </w:p>
        </w:tc>
        <w:tc>
          <w:tcPr>
            <w:tcW w:w="2156" w:type="dxa"/>
            <w:shd w:val="clear" w:color="auto" w:fill="D6E3BC" w:themeFill="accent3" w:themeFillTint="66"/>
            <w:noWrap/>
            <w:vAlign w:val="center"/>
          </w:tcPr>
          <w:p w:rsidR="00BA25D1" w:rsidRPr="001A7958" w:rsidRDefault="00BA25D1" w:rsidP="00455347">
            <w:pPr>
              <w:spacing w:after="0" w:line="240" w:lineRule="auto"/>
              <w:jc w:val="right"/>
              <w:rPr>
                <w:rFonts w:ascii="Arial" w:hAnsi="Arial" w:cs="Arial"/>
                <w:b/>
                <w:color w:val="000000"/>
                <w:sz w:val="20"/>
                <w:szCs w:val="20"/>
              </w:rPr>
            </w:pPr>
            <w:r>
              <w:rPr>
                <w:rFonts w:ascii="Arial" w:hAnsi="Arial" w:cs="Arial"/>
                <w:b/>
                <w:color w:val="000000"/>
                <w:sz w:val="20"/>
                <w:szCs w:val="20"/>
              </w:rPr>
              <w:t>6.8</w:t>
            </w:r>
          </w:p>
        </w:tc>
      </w:tr>
    </w:tbl>
    <w:p w:rsidR="000B0BB1" w:rsidRDefault="000B0BB1" w:rsidP="0083595E">
      <w:pPr>
        <w:spacing w:after="0" w:line="240" w:lineRule="auto"/>
        <w:rPr>
          <w:rFonts w:ascii="Arial" w:hAnsi="Arial" w:cs="Arial"/>
          <w:sz w:val="20"/>
          <w:szCs w:val="20"/>
        </w:rPr>
      </w:pPr>
    </w:p>
    <w:p w:rsidR="00BA25D1" w:rsidRDefault="00BA25D1" w:rsidP="0083595E">
      <w:pPr>
        <w:spacing w:after="0" w:line="240" w:lineRule="auto"/>
        <w:rPr>
          <w:rFonts w:ascii="Arial" w:hAnsi="Arial" w:cs="Arial"/>
          <w:sz w:val="20"/>
          <w:szCs w:val="20"/>
        </w:rPr>
      </w:pPr>
    </w:p>
    <w:p w:rsidR="009837DC" w:rsidRDefault="00BA25D1" w:rsidP="00285808">
      <w:pPr>
        <w:spacing w:after="0" w:line="240" w:lineRule="auto"/>
        <w:rPr>
          <w:rFonts w:ascii="Arial" w:hAnsi="Arial" w:cs="Arial"/>
          <w:sz w:val="20"/>
          <w:szCs w:val="20"/>
        </w:rPr>
      </w:pPr>
      <w:r>
        <w:rPr>
          <w:rFonts w:ascii="Arial" w:hAnsi="Arial" w:cs="Arial"/>
          <w:sz w:val="20"/>
          <w:szCs w:val="20"/>
        </w:rPr>
        <w:t xml:space="preserve">Televisions experienced a notable decrease in the presence of obscured ERLs compared to the previous year’s market surveillance results whilst several other GEMS products experienced smaller decreases. However, several other GEMS products experienced mild increases. The GEMS Regulator would like to make it clear: </w:t>
      </w:r>
    </w:p>
    <w:p w:rsidR="00BA25D1" w:rsidRDefault="00BA25D1" w:rsidP="00285808">
      <w:pPr>
        <w:spacing w:after="0" w:line="240" w:lineRule="auto"/>
        <w:rPr>
          <w:rFonts w:ascii="Arial" w:hAnsi="Arial" w:cs="Arial"/>
          <w:sz w:val="20"/>
          <w:szCs w:val="20"/>
        </w:rPr>
      </w:pPr>
    </w:p>
    <w:p w:rsidR="00BA25D1" w:rsidRPr="001522A3" w:rsidRDefault="00BA25D1" w:rsidP="00BA25D1">
      <w:pPr>
        <w:pStyle w:val="ListParagraph"/>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ind w:left="360"/>
        <w:jc w:val="center"/>
        <w:rPr>
          <w:rFonts w:ascii="Arial" w:hAnsi="Arial" w:cs="Arial"/>
          <w:b/>
          <w:sz w:val="20"/>
          <w:szCs w:val="20"/>
        </w:rPr>
      </w:pPr>
      <w:r w:rsidRPr="001522A3">
        <w:rPr>
          <w:rFonts w:ascii="Arial" w:hAnsi="Arial" w:cs="Arial"/>
          <w:b/>
          <w:sz w:val="20"/>
          <w:szCs w:val="20"/>
        </w:rPr>
        <w:t>Energy rating labels must be securely attached, clearly visible, and not obscured in any way, in order to comply with GEMS labelling requirements.</w:t>
      </w:r>
    </w:p>
    <w:p w:rsidR="00BA25D1" w:rsidRDefault="00BA25D1" w:rsidP="00285808">
      <w:pPr>
        <w:spacing w:after="0" w:line="240" w:lineRule="auto"/>
        <w:rPr>
          <w:rFonts w:ascii="Arial" w:hAnsi="Arial" w:cs="Arial"/>
          <w:sz w:val="20"/>
          <w:szCs w:val="20"/>
        </w:rPr>
      </w:pPr>
    </w:p>
    <w:p w:rsidR="0037346C" w:rsidRDefault="0037346C" w:rsidP="00285808">
      <w:pPr>
        <w:spacing w:after="0" w:line="240" w:lineRule="auto"/>
        <w:rPr>
          <w:rFonts w:ascii="Arial" w:hAnsi="Arial" w:cs="Arial"/>
          <w:sz w:val="20"/>
          <w:szCs w:val="20"/>
        </w:rPr>
      </w:pPr>
    </w:p>
    <w:p w:rsidR="00BB22FF" w:rsidRDefault="00BB22FF" w:rsidP="00810CDB">
      <w:pPr>
        <w:shd w:val="clear" w:color="auto" w:fill="FFFFFF" w:themeFill="background1"/>
        <w:spacing w:after="0" w:line="240" w:lineRule="auto"/>
        <w:rPr>
          <w:rFonts w:ascii="Arial" w:hAnsi="Arial" w:cs="Arial"/>
          <w:sz w:val="20"/>
          <w:szCs w:val="20"/>
        </w:rPr>
      </w:pPr>
    </w:p>
    <w:p w:rsidR="00BB22FF" w:rsidRDefault="00BB22FF" w:rsidP="00BB22FF">
      <w:pPr>
        <w:spacing w:after="0" w:line="240" w:lineRule="auto"/>
        <w:rPr>
          <w:rFonts w:ascii="Arial" w:hAnsi="Arial" w:cs="Arial"/>
          <w:sz w:val="20"/>
          <w:szCs w:val="20"/>
        </w:rPr>
      </w:pPr>
    </w:p>
    <w:p w:rsidR="00FD1262" w:rsidRDefault="00FD1262" w:rsidP="00BB22FF">
      <w:pPr>
        <w:spacing w:after="0" w:line="240" w:lineRule="auto"/>
        <w:rPr>
          <w:rFonts w:ascii="Arial" w:hAnsi="Arial" w:cs="Arial"/>
          <w:sz w:val="20"/>
          <w:szCs w:val="20"/>
        </w:rPr>
      </w:pPr>
    </w:p>
    <w:p w:rsidR="00455347" w:rsidRDefault="00455347" w:rsidP="00BB22FF">
      <w:pPr>
        <w:spacing w:after="0" w:line="240" w:lineRule="auto"/>
        <w:rPr>
          <w:rFonts w:ascii="Arial" w:hAnsi="Arial" w:cs="Arial"/>
          <w:sz w:val="20"/>
          <w:szCs w:val="20"/>
        </w:rPr>
      </w:pPr>
    </w:p>
    <w:p w:rsidR="001522A3" w:rsidRDefault="001522A3" w:rsidP="001522A3">
      <w:pPr>
        <w:pStyle w:val="ListParagraph"/>
        <w:numPr>
          <w:ilvl w:val="0"/>
          <w:numId w:val="17"/>
        </w:numPr>
        <w:spacing w:after="120" w:line="240" w:lineRule="auto"/>
        <w:rPr>
          <w:rFonts w:ascii="Arial" w:eastAsiaTheme="majorEastAsia" w:hAnsi="Arial" w:cstheme="majorBidi"/>
          <w:b/>
          <w:bCs/>
          <w:color w:val="4A7729"/>
          <w:kern w:val="28"/>
          <w:sz w:val="28"/>
          <w:szCs w:val="28"/>
          <w:lang w:val="en-US"/>
        </w:rPr>
      </w:pPr>
      <w:r>
        <w:rPr>
          <w:rFonts w:ascii="Arial" w:eastAsiaTheme="majorEastAsia" w:hAnsi="Arial" w:cstheme="majorBidi"/>
          <w:b/>
          <w:bCs/>
          <w:color w:val="4A7729"/>
          <w:kern w:val="28"/>
          <w:sz w:val="28"/>
          <w:szCs w:val="28"/>
          <w:lang w:val="en-US"/>
        </w:rPr>
        <w:lastRenderedPageBreak/>
        <w:tab/>
      </w:r>
      <w:r w:rsidR="00BA25D1">
        <w:rPr>
          <w:rFonts w:ascii="Arial" w:eastAsiaTheme="majorEastAsia" w:hAnsi="Arial" w:cstheme="majorBidi"/>
          <w:b/>
          <w:bCs/>
          <w:color w:val="4A7729"/>
          <w:kern w:val="28"/>
          <w:sz w:val="28"/>
          <w:szCs w:val="28"/>
          <w:lang w:val="en-US"/>
        </w:rPr>
        <w:t xml:space="preserve">Contributing Factors </w:t>
      </w:r>
    </w:p>
    <w:p w:rsidR="00BA25D1" w:rsidRDefault="00BA25D1" w:rsidP="00BA25D1">
      <w:pPr>
        <w:spacing w:after="0" w:line="240" w:lineRule="auto"/>
        <w:rPr>
          <w:rFonts w:ascii="Arial" w:hAnsi="Arial" w:cs="Arial"/>
          <w:sz w:val="20"/>
          <w:szCs w:val="20"/>
        </w:rPr>
      </w:pPr>
      <w:r w:rsidRPr="00BA25D1">
        <w:rPr>
          <w:rFonts w:ascii="Arial" w:hAnsi="Arial" w:cs="Arial"/>
          <w:sz w:val="20"/>
          <w:szCs w:val="20"/>
        </w:rPr>
        <w:t>GEMS</w:t>
      </w:r>
      <w:r>
        <w:rPr>
          <w:rFonts w:ascii="Arial" w:hAnsi="Arial" w:cs="Arial"/>
          <w:sz w:val="20"/>
          <w:szCs w:val="20"/>
        </w:rPr>
        <w:t xml:space="preserve"> inspectors use market surveillance activities as an opportunity to learn more about the industry and the factors inhibiting compliance with the GEMS Act. Discussions with retailers identified the following issues: </w:t>
      </w:r>
    </w:p>
    <w:p w:rsidR="00BA25D1" w:rsidRDefault="00BA25D1" w:rsidP="00BA25D1">
      <w:pPr>
        <w:spacing w:after="0" w:line="240" w:lineRule="auto"/>
        <w:rPr>
          <w:rFonts w:ascii="Arial" w:hAnsi="Arial" w:cs="Arial"/>
          <w:sz w:val="20"/>
          <w:szCs w:val="20"/>
        </w:rPr>
      </w:pPr>
    </w:p>
    <w:p w:rsidR="00BA25D1" w:rsidRDefault="00BA25D1" w:rsidP="00BA25D1">
      <w:pPr>
        <w:pStyle w:val="ListParagraph"/>
        <w:numPr>
          <w:ilvl w:val="0"/>
          <w:numId w:val="40"/>
        </w:numPr>
        <w:spacing w:after="0" w:line="240" w:lineRule="auto"/>
        <w:rPr>
          <w:rFonts w:ascii="Arial" w:hAnsi="Arial" w:cs="Arial"/>
          <w:sz w:val="20"/>
          <w:szCs w:val="20"/>
        </w:rPr>
      </w:pPr>
      <w:r>
        <w:rPr>
          <w:rFonts w:ascii="Arial" w:hAnsi="Arial" w:cs="Arial"/>
          <w:sz w:val="20"/>
          <w:szCs w:val="20"/>
        </w:rPr>
        <w:t>many retailers are not aware they are also responsible under the GEMS Act and must not supply, nor offer to supply, ‘unregistered’ models of GEMS products</w:t>
      </w:r>
    </w:p>
    <w:p w:rsidR="00BA25D1" w:rsidRDefault="00FD1262" w:rsidP="00BA25D1">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ERLs must be attached to </w:t>
      </w:r>
      <w:r>
        <w:rPr>
          <w:rFonts w:ascii="Arial" w:hAnsi="Arial" w:cs="Arial"/>
          <w:b/>
          <w:sz w:val="20"/>
          <w:szCs w:val="20"/>
          <w:u w:val="single"/>
        </w:rPr>
        <w:t>all</w:t>
      </w:r>
      <w:r>
        <w:rPr>
          <w:rFonts w:ascii="Arial" w:hAnsi="Arial" w:cs="Arial"/>
          <w:sz w:val="20"/>
          <w:szCs w:val="20"/>
        </w:rPr>
        <w:t xml:space="preserve"> products offered for supply, including display units or ‘fronts’ such as a</w:t>
      </w:r>
      <w:r w:rsidR="00BA25D1" w:rsidRPr="00761D41">
        <w:rPr>
          <w:rFonts w:ascii="Arial" w:hAnsi="Arial" w:cs="Arial"/>
          <w:sz w:val="20"/>
          <w:szCs w:val="20"/>
        </w:rPr>
        <w:t xml:space="preserve">ir </w:t>
      </w:r>
      <w:r>
        <w:rPr>
          <w:rFonts w:ascii="Arial" w:hAnsi="Arial" w:cs="Arial"/>
          <w:sz w:val="20"/>
          <w:szCs w:val="20"/>
        </w:rPr>
        <w:t>conditioner ‘dummy’ head units</w:t>
      </w:r>
    </w:p>
    <w:p w:rsidR="00FD1262" w:rsidRPr="00761D41" w:rsidRDefault="00FD1262" w:rsidP="00BA25D1">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when offering to supply products, unopened and in their original packaging, an ERL must be affixed to or integrated onto, the packaging itself </w:t>
      </w:r>
    </w:p>
    <w:p w:rsidR="00FD1262" w:rsidRDefault="00FD1262" w:rsidP="00BA25D1">
      <w:pPr>
        <w:pStyle w:val="ListParagraph"/>
        <w:numPr>
          <w:ilvl w:val="0"/>
          <w:numId w:val="40"/>
        </w:numPr>
        <w:spacing w:after="0" w:line="240" w:lineRule="auto"/>
        <w:rPr>
          <w:rFonts w:ascii="Arial" w:hAnsi="Arial" w:cs="Arial"/>
          <w:sz w:val="20"/>
          <w:szCs w:val="20"/>
        </w:rPr>
      </w:pPr>
      <w:r>
        <w:rPr>
          <w:rFonts w:ascii="Arial" w:hAnsi="Arial" w:cs="Arial"/>
          <w:sz w:val="20"/>
          <w:szCs w:val="20"/>
        </w:rPr>
        <w:t>ERLs are often removed by customers, for example whilst handling products like computer monitors or televisions</w:t>
      </w:r>
    </w:p>
    <w:p w:rsidR="00FD1262" w:rsidRDefault="00FD1262" w:rsidP="00BA25D1">
      <w:pPr>
        <w:pStyle w:val="ListParagraph"/>
        <w:numPr>
          <w:ilvl w:val="0"/>
          <w:numId w:val="40"/>
        </w:numPr>
        <w:spacing w:after="0" w:line="240" w:lineRule="auto"/>
        <w:rPr>
          <w:rFonts w:ascii="Arial" w:hAnsi="Arial" w:cs="Arial"/>
          <w:sz w:val="20"/>
          <w:szCs w:val="20"/>
        </w:rPr>
      </w:pPr>
      <w:proofErr w:type="gramStart"/>
      <w:r>
        <w:rPr>
          <w:rFonts w:ascii="Arial" w:hAnsi="Arial" w:cs="Arial"/>
          <w:sz w:val="20"/>
          <w:szCs w:val="20"/>
        </w:rPr>
        <w:t>store</w:t>
      </w:r>
      <w:proofErr w:type="gramEnd"/>
      <w:r>
        <w:rPr>
          <w:rFonts w:ascii="Arial" w:hAnsi="Arial" w:cs="Arial"/>
          <w:sz w:val="20"/>
          <w:szCs w:val="20"/>
        </w:rPr>
        <w:t>, promotional, pricing and other labels are given preference over the ERL if there is insufficient space to display all labels. This often results in the ERL being obscured.</w:t>
      </w:r>
    </w:p>
    <w:p w:rsidR="00BA25D1" w:rsidRPr="00761D41" w:rsidRDefault="00FD1262" w:rsidP="00BA25D1">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suppliers are reluctant to attach ERLs to ‘built in’ or ‘integrated’ products like dishwashers and refrigerators which are designed to blend in seamlessly with the overall fitout and cabinetry; affixing an ERL may detract from the aesthetics of the display. </w:t>
      </w:r>
    </w:p>
    <w:p w:rsidR="00BA25D1" w:rsidRDefault="00FD1262" w:rsidP="00FD1262">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as mentioned in 4.4.1, the </w:t>
      </w:r>
      <w:r w:rsidR="00BA25D1" w:rsidRPr="00761D41">
        <w:rPr>
          <w:rFonts w:ascii="Arial" w:hAnsi="Arial" w:cs="Arial"/>
          <w:sz w:val="20"/>
          <w:szCs w:val="20"/>
        </w:rPr>
        <w:t xml:space="preserve">increasing size of the display/viewing area of televisions and computer monitors make it increasingly difficult to </w:t>
      </w:r>
      <w:r>
        <w:rPr>
          <w:rFonts w:ascii="Arial" w:hAnsi="Arial" w:cs="Arial"/>
          <w:sz w:val="20"/>
          <w:szCs w:val="20"/>
        </w:rPr>
        <w:t>securely affix ERLs</w:t>
      </w:r>
    </w:p>
    <w:p w:rsidR="00BA25D1" w:rsidRPr="00761D41" w:rsidRDefault="00BA25D1" w:rsidP="00BA25D1">
      <w:pPr>
        <w:pStyle w:val="ListParagraph"/>
        <w:numPr>
          <w:ilvl w:val="0"/>
          <w:numId w:val="40"/>
        </w:numPr>
        <w:spacing w:after="0" w:line="240" w:lineRule="auto"/>
        <w:rPr>
          <w:rFonts w:ascii="Arial" w:hAnsi="Arial" w:cs="Arial"/>
          <w:sz w:val="20"/>
          <w:szCs w:val="20"/>
        </w:rPr>
      </w:pPr>
      <w:r w:rsidRPr="00761D41">
        <w:rPr>
          <w:rFonts w:ascii="Arial" w:hAnsi="Arial" w:cs="Arial"/>
          <w:sz w:val="20"/>
          <w:szCs w:val="20"/>
        </w:rPr>
        <w:t xml:space="preserve">returned or exchanged models are </w:t>
      </w:r>
      <w:r w:rsidR="00FD1262">
        <w:rPr>
          <w:rFonts w:ascii="Arial" w:hAnsi="Arial" w:cs="Arial"/>
          <w:sz w:val="20"/>
          <w:szCs w:val="20"/>
        </w:rPr>
        <w:t xml:space="preserve">often </w:t>
      </w:r>
      <w:r w:rsidRPr="00761D41">
        <w:rPr>
          <w:rFonts w:ascii="Arial" w:hAnsi="Arial" w:cs="Arial"/>
          <w:sz w:val="20"/>
          <w:szCs w:val="20"/>
        </w:rPr>
        <w:t>put back on sale with</w:t>
      </w:r>
      <w:r w:rsidR="00FD1262">
        <w:rPr>
          <w:rFonts w:ascii="Arial" w:hAnsi="Arial" w:cs="Arial"/>
          <w:sz w:val="20"/>
          <w:szCs w:val="20"/>
        </w:rPr>
        <w:t>out obtaining a replacement ERL, for example, a customer may return a refrigerator unused due to it being the wrong size but has already removed all packaging including the ERL.</w:t>
      </w:r>
      <w:r w:rsidR="00FD1262">
        <w:rPr>
          <w:rStyle w:val="FootnoteReference"/>
          <w:rFonts w:ascii="Arial" w:hAnsi="Arial" w:cs="Arial"/>
          <w:sz w:val="20"/>
          <w:szCs w:val="20"/>
        </w:rPr>
        <w:footnoteReference w:id="6"/>
      </w:r>
    </w:p>
    <w:p w:rsidR="00BA25D1" w:rsidRDefault="00BA25D1" w:rsidP="00BA25D1">
      <w:pPr>
        <w:spacing w:after="0" w:line="240" w:lineRule="auto"/>
        <w:rPr>
          <w:rFonts w:ascii="Arial" w:hAnsi="Arial" w:cs="Arial"/>
          <w:sz w:val="20"/>
          <w:szCs w:val="20"/>
        </w:rPr>
      </w:pPr>
    </w:p>
    <w:p w:rsidR="00BA25D1" w:rsidRPr="00BA25D1" w:rsidRDefault="00BA25D1" w:rsidP="00BA25D1">
      <w:pPr>
        <w:spacing w:after="0" w:line="240" w:lineRule="auto"/>
        <w:rPr>
          <w:rFonts w:ascii="Arial" w:hAnsi="Arial" w:cs="Arial"/>
          <w:sz w:val="20"/>
          <w:szCs w:val="20"/>
        </w:rPr>
      </w:pPr>
    </w:p>
    <w:p w:rsidR="00523187" w:rsidRPr="001522A3" w:rsidRDefault="00FD1262" w:rsidP="001522A3">
      <w:pPr>
        <w:spacing w:after="120" w:line="240" w:lineRule="auto"/>
        <w:rPr>
          <w:rFonts w:ascii="Arial" w:eastAsiaTheme="majorEastAsia" w:hAnsi="Arial" w:cstheme="majorBidi"/>
          <w:b/>
          <w:bCs/>
          <w:color w:val="4A7729"/>
          <w:kern w:val="28"/>
          <w:sz w:val="28"/>
          <w:szCs w:val="28"/>
          <w:lang w:val="en-US"/>
        </w:rPr>
      </w:pPr>
      <w:r>
        <w:rPr>
          <w:rFonts w:ascii="Arial" w:eastAsiaTheme="majorEastAsia" w:hAnsi="Arial" w:cstheme="majorBidi"/>
          <w:b/>
          <w:bCs/>
          <w:color w:val="4A7729"/>
          <w:kern w:val="28"/>
          <w:sz w:val="28"/>
          <w:szCs w:val="28"/>
          <w:lang w:val="en-US"/>
        </w:rPr>
        <w:t>6.</w:t>
      </w:r>
      <w:r w:rsidR="001522A3" w:rsidRPr="001522A3">
        <w:rPr>
          <w:rFonts w:ascii="Arial" w:eastAsiaTheme="majorEastAsia" w:hAnsi="Arial" w:cstheme="majorBidi"/>
          <w:b/>
          <w:bCs/>
          <w:color w:val="4A7729"/>
          <w:kern w:val="28"/>
          <w:sz w:val="28"/>
          <w:szCs w:val="28"/>
          <w:lang w:val="en-US"/>
        </w:rPr>
        <w:tab/>
      </w:r>
      <w:r>
        <w:rPr>
          <w:rFonts w:ascii="Arial" w:eastAsiaTheme="majorEastAsia" w:hAnsi="Arial" w:cstheme="majorBidi"/>
          <w:b/>
          <w:bCs/>
          <w:color w:val="4A7729"/>
          <w:kern w:val="28"/>
          <w:sz w:val="28"/>
          <w:szCs w:val="28"/>
          <w:lang w:val="en-US"/>
        </w:rPr>
        <w:t>Enforcement Responses</w:t>
      </w:r>
      <w:r w:rsidR="001522A3" w:rsidRPr="001522A3">
        <w:rPr>
          <w:rFonts w:ascii="Arial" w:eastAsiaTheme="majorEastAsia" w:hAnsi="Arial" w:cstheme="majorBidi"/>
          <w:b/>
          <w:bCs/>
          <w:color w:val="4A7729"/>
          <w:kern w:val="28"/>
          <w:sz w:val="28"/>
          <w:szCs w:val="28"/>
          <w:lang w:val="en-US"/>
        </w:rPr>
        <w:t xml:space="preserve"> </w:t>
      </w:r>
    </w:p>
    <w:p w:rsidR="00FD1262" w:rsidRDefault="00FD1262" w:rsidP="001522A3">
      <w:pPr>
        <w:spacing w:after="0" w:line="240" w:lineRule="auto"/>
        <w:rPr>
          <w:rFonts w:ascii="Arial" w:hAnsi="Arial" w:cs="Arial"/>
          <w:sz w:val="20"/>
          <w:szCs w:val="20"/>
        </w:rPr>
      </w:pPr>
      <w:r>
        <w:rPr>
          <w:rFonts w:ascii="Arial" w:hAnsi="Arial" w:cs="Arial"/>
          <w:sz w:val="20"/>
          <w:szCs w:val="20"/>
        </w:rPr>
        <w:t xml:space="preserve">At the conclusion of each market surveillance activity, GEMS inspectors discuss the nature and extent of any potential issues with the relevant manager and ensure immediate actions are taken to address any non-compliance. Following an assessment of the data collected during the market surveillance activity, GEMS inspectors may undertake further engagement with registrants and suppliers to ensure compliance with GEMS registration and labelling requirements. </w:t>
      </w:r>
    </w:p>
    <w:p w:rsidR="00B447D6" w:rsidRDefault="00B447D6" w:rsidP="001522A3">
      <w:pPr>
        <w:spacing w:after="0" w:line="240" w:lineRule="auto"/>
        <w:rPr>
          <w:rFonts w:ascii="Arial" w:hAnsi="Arial" w:cs="Arial"/>
          <w:sz w:val="20"/>
          <w:szCs w:val="20"/>
        </w:rPr>
      </w:pPr>
    </w:p>
    <w:p w:rsidR="00B447D6" w:rsidRDefault="00B447D6" w:rsidP="001522A3">
      <w:pPr>
        <w:spacing w:after="0" w:line="240" w:lineRule="auto"/>
        <w:rPr>
          <w:rFonts w:ascii="Arial" w:hAnsi="Arial" w:cs="Arial"/>
          <w:sz w:val="20"/>
          <w:szCs w:val="20"/>
        </w:rPr>
      </w:pPr>
      <w:r>
        <w:rPr>
          <w:rFonts w:ascii="Arial" w:hAnsi="Arial" w:cs="Arial"/>
          <w:sz w:val="20"/>
          <w:szCs w:val="20"/>
        </w:rPr>
        <w:t xml:space="preserve">Engagement, education and support will remain a key component of the GEMS Regulator’s compliance framework however; enforcement action, in accordance with the </w:t>
      </w:r>
      <w:hyperlink r:id="rId8" w:history="1">
        <w:r w:rsidRPr="004217F6">
          <w:rPr>
            <w:rStyle w:val="Hyperlink"/>
            <w:rFonts w:ascii="Arial" w:hAnsi="Arial" w:cs="Arial"/>
            <w:sz w:val="20"/>
            <w:szCs w:val="20"/>
          </w:rPr>
          <w:t>GEMS Compliance Policy</w:t>
        </w:r>
      </w:hyperlink>
      <w:r>
        <w:rPr>
          <w:rFonts w:ascii="Arial" w:hAnsi="Arial" w:cs="Arial"/>
          <w:sz w:val="20"/>
          <w:szCs w:val="20"/>
        </w:rPr>
        <w:t>, may be taken where contraventions of the GEMS Act are found.</w:t>
      </w:r>
    </w:p>
    <w:p w:rsidR="00FD1262" w:rsidRDefault="00FD1262" w:rsidP="001522A3">
      <w:pPr>
        <w:spacing w:after="0" w:line="240" w:lineRule="auto"/>
        <w:rPr>
          <w:rFonts w:ascii="Arial" w:hAnsi="Arial" w:cs="Arial"/>
          <w:sz w:val="20"/>
          <w:szCs w:val="20"/>
        </w:rPr>
      </w:pPr>
    </w:p>
    <w:p w:rsidR="00B447D6" w:rsidRDefault="00B447D6" w:rsidP="00B447D6">
      <w:pPr>
        <w:spacing w:after="0" w:line="240" w:lineRule="auto"/>
        <w:rPr>
          <w:rFonts w:ascii="Arial" w:hAnsi="Arial" w:cs="Arial"/>
          <w:sz w:val="20"/>
          <w:szCs w:val="20"/>
        </w:rPr>
      </w:pPr>
      <w:r w:rsidRPr="008A21C2">
        <w:rPr>
          <w:rFonts w:ascii="Arial" w:hAnsi="Arial" w:cs="Arial"/>
          <w:sz w:val="20"/>
          <w:szCs w:val="20"/>
        </w:rPr>
        <w:t xml:space="preserve">The maximum criminal or civil penalty a court may impose for </w:t>
      </w:r>
      <w:r>
        <w:rPr>
          <w:rFonts w:ascii="Arial" w:hAnsi="Arial" w:cs="Arial"/>
          <w:sz w:val="20"/>
          <w:szCs w:val="20"/>
        </w:rPr>
        <w:t>each</w:t>
      </w:r>
      <w:r w:rsidRPr="008A21C2">
        <w:rPr>
          <w:rFonts w:ascii="Arial" w:hAnsi="Arial" w:cs="Arial"/>
          <w:sz w:val="20"/>
          <w:szCs w:val="20"/>
        </w:rPr>
        <w:t xml:space="preserve"> contravention of </w:t>
      </w:r>
      <w:r>
        <w:rPr>
          <w:rFonts w:ascii="Arial" w:hAnsi="Arial" w:cs="Arial"/>
          <w:sz w:val="20"/>
          <w:szCs w:val="20"/>
        </w:rPr>
        <w:t xml:space="preserve">Section 16 of the GEMS Act </w:t>
      </w:r>
      <w:r w:rsidRPr="008A21C2">
        <w:rPr>
          <w:rFonts w:ascii="Arial" w:hAnsi="Arial" w:cs="Arial"/>
          <w:sz w:val="20"/>
          <w:szCs w:val="20"/>
        </w:rPr>
        <w:t>is 60 penalty units for a Category A product and 120 penalty u</w:t>
      </w:r>
      <w:r>
        <w:rPr>
          <w:rFonts w:ascii="Arial" w:hAnsi="Arial" w:cs="Arial"/>
          <w:sz w:val="20"/>
          <w:szCs w:val="20"/>
        </w:rPr>
        <w:t xml:space="preserve">nits for a Category B product. </w:t>
      </w:r>
      <w:r w:rsidRPr="008A21C2">
        <w:rPr>
          <w:rFonts w:ascii="Arial" w:hAnsi="Arial" w:cs="Arial"/>
          <w:sz w:val="20"/>
          <w:szCs w:val="20"/>
        </w:rPr>
        <w:t>Assuming the relevant GEMS product is a Category A product, which is mostly the case, the maximum penalty therefore will be 60 x $1</w:t>
      </w:r>
      <w:r>
        <w:rPr>
          <w:rFonts w:ascii="Arial" w:hAnsi="Arial" w:cs="Arial"/>
          <w:sz w:val="20"/>
          <w:szCs w:val="20"/>
        </w:rPr>
        <w:t>8</w:t>
      </w:r>
      <w:r w:rsidRPr="008A21C2">
        <w:rPr>
          <w:rFonts w:ascii="Arial" w:hAnsi="Arial" w:cs="Arial"/>
          <w:sz w:val="20"/>
          <w:szCs w:val="20"/>
        </w:rPr>
        <w:t xml:space="preserve">0 = </w:t>
      </w:r>
      <w:r>
        <w:rPr>
          <w:rFonts w:ascii="Arial" w:hAnsi="Arial" w:cs="Arial"/>
          <w:sz w:val="20"/>
          <w:szCs w:val="20"/>
          <w:u w:val="single"/>
        </w:rPr>
        <w:t>$12,6</w:t>
      </w:r>
      <w:r w:rsidRPr="003F33F2">
        <w:rPr>
          <w:rFonts w:ascii="Arial" w:hAnsi="Arial" w:cs="Arial"/>
          <w:sz w:val="20"/>
          <w:szCs w:val="20"/>
          <w:u w:val="single"/>
        </w:rPr>
        <w:t>00 per product</w:t>
      </w:r>
      <w:r>
        <w:rPr>
          <w:rFonts w:ascii="Arial" w:hAnsi="Arial" w:cs="Arial"/>
          <w:sz w:val="20"/>
          <w:szCs w:val="20"/>
        </w:rPr>
        <w:t xml:space="preserve">. </w:t>
      </w:r>
      <w:r w:rsidRPr="008A21C2">
        <w:rPr>
          <w:rFonts w:ascii="Arial" w:hAnsi="Arial" w:cs="Arial"/>
          <w:sz w:val="20"/>
          <w:szCs w:val="20"/>
        </w:rPr>
        <w:t xml:space="preserve">The amount of a penalty unit is regulated by section </w:t>
      </w:r>
      <w:hyperlink r:id="rId9" w:history="1">
        <w:proofErr w:type="gramStart"/>
        <w:r w:rsidRPr="00262698">
          <w:rPr>
            <w:rStyle w:val="Hyperlink"/>
            <w:rFonts w:ascii="Arial" w:hAnsi="Arial" w:cs="Arial"/>
            <w:sz w:val="20"/>
            <w:szCs w:val="20"/>
          </w:rPr>
          <w:t>4AA(</w:t>
        </w:r>
        <w:proofErr w:type="gramEnd"/>
        <w:r w:rsidRPr="00262698">
          <w:rPr>
            <w:rStyle w:val="Hyperlink"/>
            <w:rFonts w:ascii="Arial" w:hAnsi="Arial" w:cs="Arial"/>
            <w:sz w:val="20"/>
            <w:szCs w:val="20"/>
          </w:rPr>
          <w:t>1) of the Crimes Act 1914</w:t>
        </w:r>
      </w:hyperlink>
      <w:r>
        <w:rPr>
          <w:rFonts w:ascii="Arial" w:hAnsi="Arial" w:cs="Arial"/>
          <w:sz w:val="20"/>
          <w:szCs w:val="20"/>
        </w:rPr>
        <w:t xml:space="preserve"> and is currently set at $210.</w:t>
      </w:r>
    </w:p>
    <w:p w:rsidR="00B447D6" w:rsidRDefault="00B447D6" w:rsidP="001522A3">
      <w:pPr>
        <w:spacing w:after="0" w:line="240" w:lineRule="auto"/>
        <w:rPr>
          <w:rFonts w:ascii="Arial" w:hAnsi="Arial" w:cs="Arial"/>
          <w:sz w:val="20"/>
          <w:szCs w:val="20"/>
        </w:rPr>
      </w:pPr>
    </w:p>
    <w:p w:rsidR="00B447D6" w:rsidRPr="00B447D6" w:rsidRDefault="00B447D6" w:rsidP="001522A3">
      <w:pPr>
        <w:spacing w:after="0" w:line="240" w:lineRule="auto"/>
        <w:rPr>
          <w:rFonts w:ascii="Arial" w:eastAsiaTheme="majorEastAsia" w:hAnsi="Arial" w:cstheme="majorBidi"/>
          <w:b/>
          <w:bCs/>
          <w:color w:val="4A7729"/>
          <w:kern w:val="28"/>
          <w:sz w:val="28"/>
          <w:szCs w:val="28"/>
          <w:lang w:val="en-US"/>
        </w:rPr>
      </w:pPr>
      <w:r w:rsidRPr="00B447D6">
        <w:rPr>
          <w:rFonts w:ascii="Arial" w:eastAsiaTheme="majorEastAsia" w:hAnsi="Arial" w:cstheme="majorBidi"/>
          <w:b/>
          <w:bCs/>
          <w:color w:val="4A7729"/>
          <w:kern w:val="28"/>
          <w:sz w:val="28"/>
          <w:szCs w:val="28"/>
          <w:lang w:val="en-US"/>
        </w:rPr>
        <w:t>7.</w:t>
      </w:r>
      <w:r w:rsidRPr="00B447D6">
        <w:rPr>
          <w:rFonts w:ascii="Arial" w:eastAsiaTheme="majorEastAsia" w:hAnsi="Arial" w:cstheme="majorBidi"/>
          <w:b/>
          <w:bCs/>
          <w:color w:val="4A7729"/>
          <w:kern w:val="28"/>
          <w:sz w:val="28"/>
          <w:szCs w:val="28"/>
          <w:lang w:val="en-US"/>
        </w:rPr>
        <w:tab/>
        <w:t xml:space="preserve">What you need to </w:t>
      </w:r>
      <w:proofErr w:type="gramStart"/>
      <w:r w:rsidRPr="00B447D6">
        <w:rPr>
          <w:rFonts w:ascii="Arial" w:eastAsiaTheme="majorEastAsia" w:hAnsi="Arial" w:cstheme="majorBidi"/>
          <w:b/>
          <w:bCs/>
          <w:color w:val="4A7729"/>
          <w:kern w:val="28"/>
          <w:sz w:val="28"/>
          <w:szCs w:val="28"/>
          <w:lang w:val="en-US"/>
        </w:rPr>
        <w:t>Know</w:t>
      </w:r>
      <w:proofErr w:type="gramEnd"/>
      <w:r w:rsidRPr="00B447D6">
        <w:rPr>
          <w:rFonts w:ascii="Arial" w:eastAsiaTheme="majorEastAsia" w:hAnsi="Arial" w:cstheme="majorBidi"/>
          <w:b/>
          <w:bCs/>
          <w:color w:val="4A7729"/>
          <w:kern w:val="28"/>
          <w:sz w:val="28"/>
          <w:szCs w:val="28"/>
          <w:lang w:val="en-US"/>
        </w:rPr>
        <w:t>….</w:t>
      </w:r>
    </w:p>
    <w:p w:rsidR="00B447D6" w:rsidRDefault="00B447D6" w:rsidP="001522A3">
      <w:pPr>
        <w:spacing w:after="0" w:line="240" w:lineRule="auto"/>
        <w:rPr>
          <w:rFonts w:ascii="Arial" w:hAnsi="Arial" w:cs="Arial"/>
          <w:sz w:val="20"/>
          <w:szCs w:val="20"/>
        </w:rPr>
      </w:pPr>
    </w:p>
    <w:p w:rsidR="00B447D6" w:rsidRDefault="00B447D6" w:rsidP="001522A3">
      <w:pPr>
        <w:spacing w:after="0" w:line="240" w:lineRule="auto"/>
        <w:rPr>
          <w:rFonts w:ascii="Arial" w:hAnsi="Arial" w:cs="Arial"/>
          <w:sz w:val="20"/>
          <w:szCs w:val="20"/>
        </w:rPr>
      </w:pPr>
      <w:r>
        <w:rPr>
          <w:rFonts w:ascii="Arial" w:hAnsi="Arial" w:cs="Arial"/>
          <w:sz w:val="20"/>
          <w:szCs w:val="20"/>
        </w:rPr>
        <w:t xml:space="preserve">The following information may assist registrants and suppliers to comply with the GEMS Act’s registration and labelling requirements: </w:t>
      </w:r>
    </w:p>
    <w:p w:rsidR="00B447D6" w:rsidRDefault="00B447D6" w:rsidP="001522A3">
      <w:pPr>
        <w:spacing w:after="0" w:line="240" w:lineRule="auto"/>
        <w:rPr>
          <w:rFonts w:ascii="Arial" w:hAnsi="Arial" w:cs="Arial"/>
          <w:sz w:val="20"/>
          <w:szCs w:val="20"/>
        </w:rPr>
      </w:pPr>
    </w:p>
    <w:p w:rsidR="00B447D6" w:rsidRPr="00B447D6" w:rsidRDefault="00B447D6" w:rsidP="001522A3">
      <w:pPr>
        <w:spacing w:after="0" w:line="240" w:lineRule="auto"/>
        <w:rPr>
          <w:rFonts w:ascii="Arial" w:eastAsiaTheme="majorEastAsia" w:hAnsi="Arial" w:cstheme="majorBidi"/>
          <w:b/>
          <w:bCs/>
          <w:color w:val="4A7729"/>
          <w:kern w:val="28"/>
          <w:sz w:val="28"/>
          <w:szCs w:val="28"/>
          <w:lang w:val="en-US"/>
        </w:rPr>
      </w:pPr>
      <w:r w:rsidRPr="00B447D6">
        <w:rPr>
          <w:rFonts w:ascii="Arial" w:eastAsiaTheme="majorEastAsia" w:hAnsi="Arial" w:cstheme="majorBidi"/>
          <w:b/>
          <w:bCs/>
          <w:color w:val="4A7729"/>
          <w:kern w:val="28"/>
          <w:sz w:val="28"/>
          <w:szCs w:val="28"/>
          <w:lang w:val="en-US"/>
        </w:rPr>
        <w:t>7.1</w:t>
      </w:r>
      <w:r w:rsidRPr="00B447D6">
        <w:rPr>
          <w:rFonts w:ascii="Arial" w:eastAsiaTheme="majorEastAsia" w:hAnsi="Arial" w:cstheme="majorBidi"/>
          <w:b/>
          <w:bCs/>
          <w:color w:val="4A7729"/>
          <w:kern w:val="28"/>
          <w:sz w:val="28"/>
          <w:szCs w:val="28"/>
          <w:lang w:val="en-US"/>
        </w:rPr>
        <w:tab/>
        <w:t xml:space="preserve">Registration compliance </w:t>
      </w:r>
    </w:p>
    <w:p w:rsidR="00B447D6" w:rsidRDefault="00B447D6" w:rsidP="001522A3">
      <w:pPr>
        <w:spacing w:after="0" w:line="240" w:lineRule="auto"/>
        <w:rPr>
          <w:rFonts w:ascii="Arial" w:hAnsi="Arial" w:cs="Arial"/>
          <w:sz w:val="20"/>
          <w:szCs w:val="20"/>
        </w:rPr>
      </w:pPr>
    </w:p>
    <w:p w:rsidR="00B447D6" w:rsidRDefault="00B447D6" w:rsidP="00B447D6">
      <w:pPr>
        <w:spacing w:after="0" w:line="240" w:lineRule="auto"/>
        <w:rPr>
          <w:rFonts w:ascii="Arial" w:hAnsi="Arial" w:cs="Arial"/>
          <w:sz w:val="20"/>
          <w:szCs w:val="20"/>
        </w:rPr>
      </w:pPr>
      <w:r w:rsidRPr="0031482F">
        <w:rPr>
          <w:rFonts w:ascii="Arial" w:hAnsi="Arial" w:cs="Arial"/>
          <w:sz w:val="20"/>
          <w:szCs w:val="20"/>
        </w:rPr>
        <w:t>Under the GEMS Act GEMS products can only be supplied or offered for supply, or used for a commercial purpose, if:</w:t>
      </w:r>
    </w:p>
    <w:p w:rsidR="00B447D6" w:rsidRPr="0031482F" w:rsidRDefault="00B447D6" w:rsidP="00B447D6">
      <w:pPr>
        <w:spacing w:after="0" w:line="240" w:lineRule="auto"/>
        <w:rPr>
          <w:rFonts w:ascii="Arial" w:hAnsi="Arial" w:cs="Arial"/>
          <w:sz w:val="20"/>
          <w:szCs w:val="20"/>
        </w:rPr>
      </w:pPr>
    </w:p>
    <w:p w:rsidR="00B447D6" w:rsidRPr="0031482F" w:rsidRDefault="00B447D6" w:rsidP="00B447D6">
      <w:pPr>
        <w:pStyle w:val="ListParagraph"/>
        <w:numPr>
          <w:ilvl w:val="0"/>
          <w:numId w:val="38"/>
        </w:numPr>
        <w:spacing w:after="0" w:line="240" w:lineRule="auto"/>
        <w:rPr>
          <w:rFonts w:ascii="Arial" w:hAnsi="Arial" w:cs="Arial"/>
          <w:sz w:val="20"/>
          <w:szCs w:val="20"/>
        </w:rPr>
      </w:pPr>
      <w:r w:rsidRPr="0031482F">
        <w:rPr>
          <w:rFonts w:ascii="Arial" w:hAnsi="Arial" w:cs="Arial"/>
          <w:sz w:val="20"/>
          <w:szCs w:val="20"/>
        </w:rPr>
        <w:t>the model of the product is registered under the GEMS Act against the relevant determination; and</w:t>
      </w:r>
    </w:p>
    <w:p w:rsidR="00B447D6" w:rsidRPr="0031482F" w:rsidRDefault="00B447D6" w:rsidP="00B447D6">
      <w:pPr>
        <w:pStyle w:val="ListParagraph"/>
        <w:numPr>
          <w:ilvl w:val="0"/>
          <w:numId w:val="38"/>
        </w:numPr>
        <w:spacing w:after="0" w:line="240" w:lineRule="auto"/>
        <w:rPr>
          <w:rFonts w:ascii="Arial" w:hAnsi="Arial" w:cs="Arial"/>
          <w:sz w:val="20"/>
          <w:szCs w:val="20"/>
        </w:rPr>
      </w:pPr>
      <w:r w:rsidRPr="0031482F">
        <w:rPr>
          <w:rFonts w:ascii="Arial" w:hAnsi="Arial" w:cs="Arial"/>
          <w:sz w:val="20"/>
          <w:szCs w:val="20"/>
        </w:rPr>
        <w:lastRenderedPageBreak/>
        <w:t>the product complies with the determination; and</w:t>
      </w:r>
    </w:p>
    <w:p w:rsidR="00B447D6" w:rsidRPr="0031482F" w:rsidRDefault="00B447D6" w:rsidP="00B447D6">
      <w:pPr>
        <w:pStyle w:val="ListParagraph"/>
        <w:numPr>
          <w:ilvl w:val="0"/>
          <w:numId w:val="38"/>
        </w:numPr>
        <w:spacing w:after="0" w:line="240" w:lineRule="auto"/>
        <w:rPr>
          <w:rFonts w:ascii="Arial" w:hAnsi="Arial" w:cs="Arial"/>
          <w:sz w:val="20"/>
          <w:szCs w:val="20"/>
        </w:rPr>
      </w:pPr>
      <w:proofErr w:type="gramStart"/>
      <w:r w:rsidRPr="0031482F">
        <w:rPr>
          <w:rFonts w:ascii="Arial" w:hAnsi="Arial" w:cs="Arial"/>
          <w:sz w:val="20"/>
          <w:szCs w:val="20"/>
        </w:rPr>
        <w:t>the</w:t>
      </w:r>
      <w:proofErr w:type="gramEnd"/>
      <w:r w:rsidRPr="0031482F">
        <w:rPr>
          <w:rFonts w:ascii="Arial" w:hAnsi="Arial" w:cs="Arial"/>
          <w:sz w:val="20"/>
          <w:szCs w:val="20"/>
        </w:rPr>
        <w:t xml:space="preserve"> supply, offer, or use complies with the determination.</w:t>
      </w:r>
    </w:p>
    <w:p w:rsidR="00B447D6" w:rsidRDefault="00B447D6" w:rsidP="00B447D6">
      <w:pPr>
        <w:spacing w:after="0" w:line="240" w:lineRule="auto"/>
        <w:rPr>
          <w:rFonts w:ascii="Arial" w:hAnsi="Arial" w:cs="Arial"/>
          <w:sz w:val="20"/>
          <w:szCs w:val="20"/>
        </w:rPr>
      </w:pPr>
    </w:p>
    <w:p w:rsidR="00B447D6" w:rsidRDefault="00B447D6" w:rsidP="00B447D6">
      <w:pPr>
        <w:spacing w:after="0" w:line="240" w:lineRule="auto"/>
        <w:rPr>
          <w:rFonts w:ascii="Arial" w:hAnsi="Arial" w:cs="Arial"/>
          <w:sz w:val="20"/>
          <w:szCs w:val="20"/>
        </w:rPr>
      </w:pPr>
      <w:r w:rsidRPr="00CE726F">
        <w:rPr>
          <w:rFonts w:ascii="Arial" w:hAnsi="Arial" w:cs="Arial"/>
          <w:sz w:val="20"/>
          <w:szCs w:val="20"/>
        </w:rPr>
        <w:t>Section 17 of the GEMS Act states a person must not supply, or offer to supply, a GEMS product if the model of the product is not registered against the relevant GEMS determination.</w:t>
      </w:r>
      <w:r>
        <w:rPr>
          <w:rFonts w:ascii="Arial" w:hAnsi="Arial" w:cs="Arial"/>
          <w:sz w:val="20"/>
          <w:szCs w:val="20"/>
        </w:rPr>
        <w:t xml:space="preserve"> </w:t>
      </w:r>
      <w:r w:rsidRPr="00DD7BB7">
        <w:rPr>
          <w:rFonts w:ascii="Arial" w:hAnsi="Arial" w:cs="Arial"/>
          <w:sz w:val="20"/>
          <w:szCs w:val="20"/>
        </w:rPr>
        <w:t>A supply includes a supply by way of sale, exchange, gift, lease, loan, hire</w:t>
      </w:r>
      <w:r>
        <w:rPr>
          <w:rFonts w:ascii="Arial" w:hAnsi="Arial" w:cs="Arial"/>
          <w:sz w:val="20"/>
          <w:szCs w:val="20"/>
        </w:rPr>
        <w:t>,</w:t>
      </w:r>
      <w:r w:rsidRPr="00DD7BB7">
        <w:rPr>
          <w:rFonts w:ascii="Arial" w:hAnsi="Arial" w:cs="Arial"/>
          <w:sz w:val="20"/>
          <w:szCs w:val="20"/>
        </w:rPr>
        <w:t xml:space="preserve"> or hire</w:t>
      </w:r>
      <w:r w:rsidRPr="00DD7BB7">
        <w:rPr>
          <w:rFonts w:ascii="Arial" w:eastAsia="MS Gothic" w:hAnsi="Arial" w:cs="Arial" w:hint="eastAsia"/>
          <w:sz w:val="20"/>
          <w:szCs w:val="20"/>
        </w:rPr>
        <w:t>‑</w:t>
      </w:r>
      <w:r w:rsidRPr="00DD7BB7">
        <w:rPr>
          <w:rFonts w:ascii="Arial" w:hAnsi="Arial" w:cs="Arial"/>
          <w:sz w:val="20"/>
          <w:szCs w:val="20"/>
        </w:rPr>
        <w:t>purchase</w:t>
      </w:r>
      <w:r>
        <w:rPr>
          <w:rFonts w:ascii="Arial" w:hAnsi="Arial" w:cs="Arial"/>
          <w:sz w:val="20"/>
          <w:szCs w:val="20"/>
        </w:rPr>
        <w:t>; whilst o</w:t>
      </w:r>
      <w:r w:rsidRPr="00DD7BB7">
        <w:rPr>
          <w:rFonts w:ascii="Arial" w:hAnsi="Arial" w:cs="Arial"/>
          <w:sz w:val="20"/>
          <w:szCs w:val="20"/>
        </w:rPr>
        <w:t>ffer to supply includes make available, expose, display</w:t>
      </w:r>
      <w:r>
        <w:rPr>
          <w:rFonts w:ascii="Arial" w:hAnsi="Arial" w:cs="Arial"/>
          <w:sz w:val="20"/>
          <w:szCs w:val="20"/>
        </w:rPr>
        <w:t>,</w:t>
      </w:r>
      <w:r w:rsidRPr="00DD7BB7">
        <w:rPr>
          <w:rFonts w:ascii="Arial" w:hAnsi="Arial" w:cs="Arial"/>
          <w:sz w:val="20"/>
          <w:szCs w:val="20"/>
        </w:rPr>
        <w:t xml:space="preserve"> or advertise the product for supply</w:t>
      </w:r>
      <w:r>
        <w:rPr>
          <w:rStyle w:val="FootnoteReference"/>
          <w:rFonts w:ascii="Arial" w:hAnsi="Arial" w:cs="Arial"/>
          <w:sz w:val="20"/>
          <w:szCs w:val="20"/>
        </w:rPr>
        <w:footnoteReference w:id="7"/>
      </w:r>
      <w:r w:rsidRPr="00DD7BB7">
        <w:rPr>
          <w:rFonts w:ascii="Arial" w:hAnsi="Arial" w:cs="Arial"/>
          <w:sz w:val="20"/>
          <w:szCs w:val="20"/>
        </w:rPr>
        <w:t>.</w:t>
      </w:r>
      <w:r>
        <w:rPr>
          <w:rFonts w:ascii="Arial" w:hAnsi="Arial" w:cs="Arial"/>
          <w:sz w:val="20"/>
          <w:szCs w:val="20"/>
        </w:rPr>
        <w:t xml:space="preserve">  Therefore, </w:t>
      </w:r>
      <w:r w:rsidRPr="00227609">
        <w:rPr>
          <w:rFonts w:ascii="Arial" w:hAnsi="Arial" w:cs="Arial"/>
          <w:b/>
          <w:sz w:val="20"/>
          <w:szCs w:val="20"/>
          <w:u w:val="single"/>
        </w:rPr>
        <w:t>all</w:t>
      </w:r>
      <w:r w:rsidRPr="00373DEA">
        <w:rPr>
          <w:rFonts w:ascii="Arial" w:hAnsi="Arial" w:cs="Arial"/>
          <w:sz w:val="20"/>
          <w:szCs w:val="20"/>
        </w:rPr>
        <w:t xml:space="preserve"> </w:t>
      </w:r>
      <w:r>
        <w:rPr>
          <w:rFonts w:ascii="Arial" w:hAnsi="Arial" w:cs="Arial"/>
          <w:sz w:val="20"/>
          <w:szCs w:val="20"/>
        </w:rPr>
        <w:t>persons</w:t>
      </w:r>
      <w:r w:rsidRPr="00373DEA">
        <w:rPr>
          <w:rFonts w:ascii="Arial" w:hAnsi="Arial" w:cs="Arial"/>
          <w:sz w:val="20"/>
          <w:szCs w:val="20"/>
        </w:rPr>
        <w:t xml:space="preserve"> in the </w:t>
      </w:r>
      <w:r w:rsidRPr="00113FA5">
        <w:rPr>
          <w:rFonts w:ascii="Arial" w:hAnsi="Arial" w:cs="Arial"/>
          <w:sz w:val="20"/>
          <w:szCs w:val="20"/>
        </w:rPr>
        <w:t>supply</w:t>
      </w:r>
      <w:r w:rsidRPr="00373DEA">
        <w:rPr>
          <w:rFonts w:ascii="Arial" w:hAnsi="Arial" w:cs="Arial"/>
          <w:sz w:val="20"/>
          <w:szCs w:val="20"/>
        </w:rPr>
        <w:t xml:space="preserve"> chain</w:t>
      </w:r>
      <w:r>
        <w:rPr>
          <w:rFonts w:ascii="Arial" w:hAnsi="Arial" w:cs="Arial"/>
          <w:sz w:val="20"/>
          <w:szCs w:val="20"/>
        </w:rPr>
        <w:t xml:space="preserve">, whether they be </w:t>
      </w:r>
      <w:r w:rsidRPr="00C51E9C">
        <w:rPr>
          <w:rFonts w:ascii="Arial" w:hAnsi="Arial" w:cs="Arial"/>
          <w:sz w:val="20"/>
          <w:szCs w:val="20"/>
        </w:rPr>
        <w:t>retailer</w:t>
      </w:r>
      <w:r>
        <w:rPr>
          <w:rFonts w:ascii="Arial" w:hAnsi="Arial" w:cs="Arial"/>
          <w:sz w:val="20"/>
          <w:szCs w:val="20"/>
        </w:rPr>
        <w:t>s</w:t>
      </w:r>
      <w:r w:rsidRPr="00C51E9C">
        <w:rPr>
          <w:rFonts w:ascii="Arial" w:hAnsi="Arial" w:cs="Arial"/>
          <w:sz w:val="20"/>
          <w:szCs w:val="20"/>
        </w:rPr>
        <w:t>, importer</w:t>
      </w:r>
      <w:r>
        <w:rPr>
          <w:rFonts w:ascii="Arial" w:hAnsi="Arial" w:cs="Arial"/>
          <w:sz w:val="20"/>
          <w:szCs w:val="20"/>
        </w:rPr>
        <w:t>s</w:t>
      </w:r>
      <w:r w:rsidRPr="00C51E9C">
        <w:rPr>
          <w:rFonts w:ascii="Arial" w:hAnsi="Arial" w:cs="Arial"/>
          <w:sz w:val="20"/>
          <w:szCs w:val="20"/>
        </w:rPr>
        <w:t xml:space="preserve">, </w:t>
      </w:r>
      <w:r>
        <w:rPr>
          <w:rFonts w:ascii="Arial" w:hAnsi="Arial" w:cs="Arial"/>
          <w:sz w:val="20"/>
          <w:szCs w:val="20"/>
        </w:rPr>
        <w:t xml:space="preserve">or </w:t>
      </w:r>
      <w:r w:rsidRPr="00C51E9C">
        <w:rPr>
          <w:rFonts w:ascii="Arial" w:hAnsi="Arial" w:cs="Arial"/>
          <w:sz w:val="20"/>
          <w:szCs w:val="20"/>
        </w:rPr>
        <w:t>manufacturer</w:t>
      </w:r>
      <w:r>
        <w:rPr>
          <w:rFonts w:ascii="Arial" w:hAnsi="Arial" w:cs="Arial"/>
          <w:sz w:val="20"/>
          <w:szCs w:val="20"/>
        </w:rPr>
        <w:t xml:space="preserve">s, </w:t>
      </w:r>
      <w:r w:rsidRPr="00373DEA">
        <w:rPr>
          <w:rFonts w:ascii="Arial" w:hAnsi="Arial" w:cs="Arial"/>
          <w:sz w:val="20"/>
          <w:szCs w:val="20"/>
        </w:rPr>
        <w:t>have an obligation</w:t>
      </w:r>
      <w:r>
        <w:rPr>
          <w:rFonts w:ascii="Arial" w:hAnsi="Arial" w:cs="Arial"/>
          <w:sz w:val="20"/>
          <w:szCs w:val="20"/>
        </w:rPr>
        <w:t xml:space="preserve"> under the GEMS Act</w:t>
      </w:r>
      <w:r w:rsidRPr="00373DEA">
        <w:rPr>
          <w:rFonts w:ascii="Arial" w:hAnsi="Arial" w:cs="Arial"/>
          <w:sz w:val="20"/>
          <w:szCs w:val="20"/>
        </w:rPr>
        <w:t xml:space="preserve"> not to supply </w:t>
      </w:r>
      <w:r>
        <w:rPr>
          <w:rFonts w:ascii="Arial" w:hAnsi="Arial" w:cs="Arial"/>
          <w:sz w:val="20"/>
          <w:szCs w:val="20"/>
        </w:rPr>
        <w:t xml:space="preserve">an unregistered model of a GEMS </w:t>
      </w:r>
      <w:r w:rsidRPr="00373DEA">
        <w:rPr>
          <w:rFonts w:ascii="Arial" w:hAnsi="Arial" w:cs="Arial"/>
          <w:sz w:val="20"/>
          <w:szCs w:val="20"/>
        </w:rPr>
        <w:t>product</w:t>
      </w:r>
      <w:r>
        <w:rPr>
          <w:rFonts w:ascii="Arial" w:hAnsi="Arial" w:cs="Arial"/>
          <w:sz w:val="20"/>
          <w:szCs w:val="20"/>
        </w:rPr>
        <w:t xml:space="preserve">. </w:t>
      </w:r>
    </w:p>
    <w:p w:rsidR="00B447D6" w:rsidRDefault="00B447D6" w:rsidP="001522A3">
      <w:pPr>
        <w:spacing w:after="0" w:line="240" w:lineRule="auto"/>
        <w:rPr>
          <w:rFonts w:ascii="Arial" w:hAnsi="Arial" w:cs="Arial"/>
          <w:sz w:val="20"/>
          <w:szCs w:val="20"/>
        </w:rPr>
      </w:pPr>
    </w:p>
    <w:p w:rsidR="00B447D6" w:rsidRPr="00B447D6" w:rsidRDefault="00B447D6" w:rsidP="00B447D6">
      <w:pPr>
        <w:tabs>
          <w:tab w:val="left" w:pos="568"/>
        </w:tabs>
        <w:spacing w:after="120" w:line="240" w:lineRule="auto"/>
        <w:ind w:left="568"/>
        <w:rPr>
          <w:rFonts w:ascii="Arial" w:eastAsiaTheme="majorEastAsia" w:hAnsi="Arial" w:cstheme="majorBidi"/>
          <w:b/>
          <w:bCs/>
          <w:color w:val="4A7729"/>
          <w:kern w:val="28"/>
          <w:sz w:val="24"/>
          <w:szCs w:val="24"/>
          <w:lang w:val="en-US"/>
        </w:rPr>
      </w:pPr>
      <w:r w:rsidRPr="00B447D6">
        <w:rPr>
          <w:rFonts w:ascii="Arial" w:eastAsiaTheme="majorEastAsia" w:hAnsi="Arial" w:cstheme="majorBidi"/>
          <w:b/>
          <w:bCs/>
          <w:color w:val="4A7729"/>
          <w:kern w:val="28"/>
          <w:sz w:val="24"/>
          <w:szCs w:val="24"/>
          <w:lang w:val="en-US"/>
        </w:rPr>
        <w:t>7.1.1</w:t>
      </w:r>
      <w:r w:rsidRPr="00B447D6">
        <w:rPr>
          <w:rFonts w:ascii="Arial" w:eastAsiaTheme="majorEastAsia" w:hAnsi="Arial" w:cstheme="majorBidi"/>
          <w:b/>
          <w:bCs/>
          <w:color w:val="4A7729"/>
          <w:kern w:val="28"/>
          <w:sz w:val="24"/>
          <w:szCs w:val="24"/>
          <w:lang w:val="en-US"/>
        </w:rPr>
        <w:tab/>
        <w:t>Who is responsible for registration?</w:t>
      </w:r>
    </w:p>
    <w:p w:rsidR="00B447D6" w:rsidRDefault="00B447D6" w:rsidP="00B447D6">
      <w:pPr>
        <w:spacing w:after="0" w:line="240" w:lineRule="auto"/>
        <w:rPr>
          <w:rFonts w:ascii="Arial" w:hAnsi="Arial" w:cs="Arial"/>
          <w:sz w:val="20"/>
          <w:szCs w:val="20"/>
        </w:rPr>
      </w:pPr>
      <w:r w:rsidRPr="00113FA5">
        <w:rPr>
          <w:rFonts w:ascii="Arial" w:hAnsi="Arial" w:cs="Arial"/>
          <w:sz w:val="20"/>
          <w:szCs w:val="20"/>
        </w:rPr>
        <w:t xml:space="preserve">Any </w:t>
      </w:r>
      <w:r>
        <w:rPr>
          <w:rFonts w:ascii="Arial" w:hAnsi="Arial" w:cs="Arial"/>
          <w:sz w:val="20"/>
          <w:szCs w:val="20"/>
        </w:rPr>
        <w:t>person</w:t>
      </w:r>
      <w:r w:rsidRPr="00113FA5">
        <w:rPr>
          <w:rFonts w:ascii="Arial" w:hAnsi="Arial" w:cs="Arial"/>
          <w:sz w:val="20"/>
          <w:szCs w:val="20"/>
        </w:rPr>
        <w:t xml:space="preserve"> in the supply chain may be the registrant</w:t>
      </w:r>
      <w:r>
        <w:rPr>
          <w:rFonts w:ascii="Arial" w:hAnsi="Arial" w:cs="Arial"/>
          <w:sz w:val="20"/>
          <w:szCs w:val="20"/>
        </w:rPr>
        <w:t xml:space="preserve"> – manufacturer, importer, retailer, </w:t>
      </w:r>
      <w:r w:rsidRPr="002F19BB">
        <w:rPr>
          <w:rFonts w:ascii="Arial" w:hAnsi="Arial" w:cs="Arial"/>
          <w:sz w:val="20"/>
          <w:szCs w:val="20"/>
        </w:rPr>
        <w:t xml:space="preserve">or </w:t>
      </w:r>
      <w:r>
        <w:rPr>
          <w:rFonts w:ascii="Arial" w:hAnsi="Arial" w:cs="Arial"/>
          <w:sz w:val="20"/>
          <w:szCs w:val="20"/>
        </w:rPr>
        <w:t>o</w:t>
      </w:r>
      <w:r w:rsidRPr="002F19BB">
        <w:rPr>
          <w:rFonts w:ascii="Arial" w:hAnsi="Arial" w:cs="Arial"/>
          <w:sz w:val="20"/>
          <w:szCs w:val="20"/>
        </w:rPr>
        <w:t xml:space="preserve">ther </w:t>
      </w:r>
      <w:r>
        <w:rPr>
          <w:rFonts w:ascii="Arial" w:hAnsi="Arial" w:cs="Arial"/>
          <w:sz w:val="20"/>
          <w:szCs w:val="20"/>
        </w:rPr>
        <w:t>entity</w:t>
      </w:r>
      <w:r w:rsidRPr="002F19BB">
        <w:rPr>
          <w:rFonts w:ascii="Arial" w:hAnsi="Arial" w:cs="Arial"/>
          <w:sz w:val="20"/>
          <w:szCs w:val="20"/>
        </w:rPr>
        <w:t xml:space="preserve"> with an appropriate connection to the supply of the </w:t>
      </w:r>
      <w:r>
        <w:rPr>
          <w:rFonts w:ascii="Arial" w:hAnsi="Arial" w:cs="Arial"/>
          <w:sz w:val="20"/>
          <w:szCs w:val="20"/>
        </w:rPr>
        <w:t xml:space="preserve">model </w:t>
      </w:r>
      <w:r w:rsidRPr="002F19BB">
        <w:rPr>
          <w:rFonts w:ascii="Arial" w:hAnsi="Arial" w:cs="Arial"/>
          <w:sz w:val="20"/>
          <w:szCs w:val="20"/>
        </w:rPr>
        <w:t>in Australia</w:t>
      </w:r>
      <w:r>
        <w:rPr>
          <w:rFonts w:ascii="Arial" w:hAnsi="Arial" w:cs="Arial"/>
          <w:sz w:val="20"/>
          <w:szCs w:val="20"/>
        </w:rPr>
        <w:t>. I</w:t>
      </w:r>
      <w:r w:rsidRPr="00113FA5">
        <w:rPr>
          <w:rFonts w:ascii="Arial" w:hAnsi="Arial" w:cs="Arial"/>
          <w:sz w:val="20"/>
          <w:szCs w:val="20"/>
        </w:rPr>
        <w:t>t is up to the</w:t>
      </w:r>
      <w:r>
        <w:rPr>
          <w:rFonts w:ascii="Arial" w:hAnsi="Arial" w:cs="Arial"/>
          <w:sz w:val="20"/>
          <w:szCs w:val="20"/>
        </w:rPr>
        <w:t>se</w:t>
      </w:r>
      <w:r w:rsidRPr="00113FA5">
        <w:rPr>
          <w:rFonts w:ascii="Arial" w:hAnsi="Arial" w:cs="Arial"/>
          <w:sz w:val="20"/>
          <w:szCs w:val="20"/>
        </w:rPr>
        <w:t xml:space="preserve"> </w:t>
      </w:r>
      <w:r>
        <w:rPr>
          <w:rFonts w:ascii="Arial" w:hAnsi="Arial" w:cs="Arial"/>
          <w:sz w:val="20"/>
          <w:szCs w:val="20"/>
        </w:rPr>
        <w:t>persons</w:t>
      </w:r>
      <w:r w:rsidRPr="00113FA5">
        <w:rPr>
          <w:rFonts w:ascii="Arial" w:hAnsi="Arial" w:cs="Arial"/>
          <w:sz w:val="20"/>
          <w:szCs w:val="20"/>
        </w:rPr>
        <w:t xml:space="preserve"> to decide who the </w:t>
      </w:r>
      <w:r>
        <w:rPr>
          <w:rFonts w:ascii="Arial" w:hAnsi="Arial" w:cs="Arial"/>
          <w:sz w:val="20"/>
          <w:szCs w:val="20"/>
        </w:rPr>
        <w:t xml:space="preserve">most appropriate registrant is. </w:t>
      </w:r>
      <w:r w:rsidRPr="00113FA5">
        <w:rPr>
          <w:rFonts w:ascii="Arial" w:hAnsi="Arial" w:cs="Arial"/>
          <w:sz w:val="20"/>
          <w:szCs w:val="20"/>
        </w:rPr>
        <w:t xml:space="preserve">However, the GEMS Regulator </w:t>
      </w:r>
      <w:r>
        <w:rPr>
          <w:rFonts w:ascii="Arial" w:hAnsi="Arial" w:cs="Arial"/>
          <w:sz w:val="20"/>
          <w:szCs w:val="20"/>
        </w:rPr>
        <w:t xml:space="preserve">recognises manufacturers and importers are </w:t>
      </w:r>
      <w:r w:rsidRPr="00113FA5">
        <w:rPr>
          <w:rFonts w:ascii="Arial" w:hAnsi="Arial" w:cs="Arial"/>
          <w:sz w:val="20"/>
          <w:szCs w:val="20"/>
        </w:rPr>
        <w:t xml:space="preserve">more </w:t>
      </w:r>
      <w:r>
        <w:rPr>
          <w:rFonts w:ascii="Arial" w:hAnsi="Arial" w:cs="Arial"/>
          <w:sz w:val="20"/>
          <w:szCs w:val="20"/>
        </w:rPr>
        <w:t xml:space="preserve">likely to be </w:t>
      </w:r>
      <w:r w:rsidRPr="00113FA5">
        <w:rPr>
          <w:rFonts w:ascii="Arial" w:hAnsi="Arial" w:cs="Arial"/>
          <w:sz w:val="20"/>
          <w:szCs w:val="20"/>
        </w:rPr>
        <w:t xml:space="preserve">responsible for the </w:t>
      </w:r>
      <w:r>
        <w:rPr>
          <w:rFonts w:ascii="Arial" w:hAnsi="Arial" w:cs="Arial"/>
          <w:sz w:val="20"/>
          <w:szCs w:val="20"/>
        </w:rPr>
        <w:t>initial</w:t>
      </w:r>
      <w:r w:rsidRPr="00113FA5">
        <w:rPr>
          <w:rFonts w:ascii="Arial" w:hAnsi="Arial" w:cs="Arial"/>
          <w:sz w:val="20"/>
          <w:szCs w:val="20"/>
        </w:rPr>
        <w:t xml:space="preserve"> supply of a model in Australia </w:t>
      </w:r>
      <w:r>
        <w:rPr>
          <w:rFonts w:ascii="Arial" w:hAnsi="Arial" w:cs="Arial"/>
          <w:sz w:val="20"/>
          <w:szCs w:val="20"/>
        </w:rPr>
        <w:t xml:space="preserve">and therefore more likely </w:t>
      </w:r>
      <w:r w:rsidRPr="00113FA5">
        <w:rPr>
          <w:rFonts w:ascii="Arial" w:hAnsi="Arial" w:cs="Arial"/>
          <w:sz w:val="20"/>
          <w:szCs w:val="20"/>
        </w:rPr>
        <w:t>to be the registrant.</w:t>
      </w:r>
      <w:r>
        <w:rPr>
          <w:rFonts w:ascii="Arial" w:hAnsi="Arial" w:cs="Arial"/>
          <w:sz w:val="20"/>
          <w:szCs w:val="20"/>
        </w:rPr>
        <w:t xml:space="preserve"> Information about the registration process can be found </w:t>
      </w:r>
      <w:hyperlink r:id="rId10" w:history="1">
        <w:r w:rsidRPr="002966AF">
          <w:rPr>
            <w:rStyle w:val="Hyperlink"/>
            <w:rFonts w:ascii="Arial" w:hAnsi="Arial" w:cs="Arial"/>
            <w:sz w:val="20"/>
            <w:szCs w:val="20"/>
          </w:rPr>
          <w:t>here</w:t>
        </w:r>
      </w:hyperlink>
      <w:r>
        <w:rPr>
          <w:rFonts w:ascii="Arial" w:hAnsi="Arial" w:cs="Arial"/>
          <w:sz w:val="20"/>
          <w:szCs w:val="20"/>
        </w:rPr>
        <w:t>.</w:t>
      </w:r>
      <w:r w:rsidRPr="00CE726F">
        <w:rPr>
          <w:rFonts w:ascii="Arial" w:hAnsi="Arial" w:cs="Arial"/>
          <w:sz w:val="20"/>
          <w:szCs w:val="20"/>
        </w:rPr>
        <w:t xml:space="preserve"> </w:t>
      </w:r>
    </w:p>
    <w:p w:rsidR="00B447D6" w:rsidRDefault="00B447D6" w:rsidP="001522A3">
      <w:pPr>
        <w:spacing w:after="0" w:line="240" w:lineRule="auto"/>
        <w:rPr>
          <w:rFonts w:ascii="Arial" w:hAnsi="Arial" w:cs="Arial"/>
          <w:sz w:val="20"/>
          <w:szCs w:val="20"/>
        </w:rPr>
      </w:pPr>
    </w:p>
    <w:p w:rsidR="00B447D6" w:rsidRDefault="00B447D6" w:rsidP="00B447D6">
      <w:pPr>
        <w:tabs>
          <w:tab w:val="left" w:pos="568"/>
        </w:tabs>
        <w:spacing w:after="120" w:line="240" w:lineRule="auto"/>
        <w:ind w:left="568"/>
        <w:rPr>
          <w:rFonts w:ascii="Arial" w:hAnsi="Arial" w:cs="Arial"/>
          <w:sz w:val="20"/>
          <w:szCs w:val="20"/>
        </w:rPr>
      </w:pPr>
      <w:r>
        <w:rPr>
          <w:rFonts w:ascii="Arial" w:eastAsiaTheme="majorEastAsia" w:hAnsi="Arial" w:cstheme="majorBidi"/>
          <w:b/>
          <w:bCs/>
          <w:color w:val="4A7729"/>
          <w:kern w:val="28"/>
          <w:sz w:val="24"/>
          <w:szCs w:val="24"/>
          <w:lang w:val="en-US"/>
        </w:rPr>
        <w:t>7.1.2</w:t>
      </w:r>
      <w:r>
        <w:rPr>
          <w:rFonts w:ascii="Arial" w:eastAsiaTheme="majorEastAsia" w:hAnsi="Arial" w:cstheme="majorBidi"/>
          <w:b/>
          <w:bCs/>
          <w:color w:val="4A7729"/>
          <w:kern w:val="28"/>
          <w:sz w:val="24"/>
          <w:szCs w:val="24"/>
          <w:lang w:val="en-US"/>
        </w:rPr>
        <w:tab/>
        <w:t>How do I know if a model is registered?</w:t>
      </w:r>
    </w:p>
    <w:p w:rsidR="00B447D6" w:rsidRPr="000926C8" w:rsidRDefault="00B447D6" w:rsidP="00B447D6">
      <w:pPr>
        <w:spacing w:after="0" w:line="240" w:lineRule="auto"/>
        <w:rPr>
          <w:rFonts w:ascii="Arial" w:hAnsi="Arial" w:cs="Arial"/>
          <w:sz w:val="20"/>
          <w:szCs w:val="20"/>
        </w:rPr>
      </w:pPr>
      <w:r w:rsidRPr="000926C8">
        <w:rPr>
          <w:rFonts w:ascii="Arial" w:hAnsi="Arial" w:cs="Arial"/>
          <w:sz w:val="20"/>
          <w:szCs w:val="20"/>
        </w:rPr>
        <w:t xml:space="preserve">In order to ensure models of GEMS products supplied are registered and therefore registered as compliant with the relevant determination, suppliers can access the </w:t>
      </w:r>
      <w:hyperlink r:id="rId11" w:history="1">
        <w:r w:rsidRPr="000926C8">
          <w:rPr>
            <w:rStyle w:val="Hyperlink"/>
            <w:rFonts w:ascii="Arial" w:hAnsi="Arial" w:cs="Arial"/>
            <w:sz w:val="20"/>
            <w:szCs w:val="20"/>
          </w:rPr>
          <w:t>Search the Registration Database</w:t>
        </w:r>
      </w:hyperlink>
      <w:r w:rsidRPr="000926C8">
        <w:rPr>
          <w:rFonts w:ascii="Arial" w:hAnsi="Arial" w:cs="Arial"/>
          <w:sz w:val="20"/>
          <w:szCs w:val="20"/>
        </w:rPr>
        <w:t xml:space="preserve"> at energyrating.gov.au. If suppliers are unsure a model is registered, they should ask their supplier for the “Approval Certificate”, also known as the “Notice of Registration under the GEMS Act”, or the GEMS registration number.</w:t>
      </w:r>
    </w:p>
    <w:p w:rsidR="00B447D6" w:rsidRDefault="00B447D6" w:rsidP="001522A3">
      <w:pPr>
        <w:spacing w:after="0" w:line="240" w:lineRule="auto"/>
        <w:rPr>
          <w:rFonts w:ascii="Arial" w:hAnsi="Arial" w:cs="Arial"/>
          <w:sz w:val="20"/>
          <w:szCs w:val="20"/>
        </w:rPr>
      </w:pPr>
    </w:p>
    <w:p w:rsidR="00B447D6" w:rsidRPr="00B447D6" w:rsidRDefault="00B447D6" w:rsidP="00B447D6">
      <w:pPr>
        <w:spacing w:after="0" w:line="240" w:lineRule="auto"/>
        <w:rPr>
          <w:rFonts w:ascii="Arial" w:eastAsiaTheme="majorEastAsia" w:hAnsi="Arial" w:cstheme="majorBidi"/>
          <w:b/>
          <w:bCs/>
          <w:color w:val="4A7729"/>
          <w:kern w:val="28"/>
          <w:sz w:val="28"/>
          <w:szCs w:val="28"/>
          <w:lang w:val="en-US"/>
        </w:rPr>
      </w:pPr>
      <w:r w:rsidRPr="00B447D6">
        <w:rPr>
          <w:rFonts w:ascii="Arial" w:eastAsiaTheme="majorEastAsia" w:hAnsi="Arial" w:cstheme="majorBidi"/>
          <w:b/>
          <w:bCs/>
          <w:color w:val="4A7729"/>
          <w:kern w:val="28"/>
          <w:sz w:val="28"/>
          <w:szCs w:val="28"/>
          <w:lang w:val="en-US"/>
        </w:rPr>
        <w:t>7.</w:t>
      </w:r>
      <w:r>
        <w:rPr>
          <w:rFonts w:ascii="Arial" w:eastAsiaTheme="majorEastAsia" w:hAnsi="Arial" w:cstheme="majorBidi"/>
          <w:b/>
          <w:bCs/>
          <w:color w:val="4A7729"/>
          <w:kern w:val="28"/>
          <w:sz w:val="28"/>
          <w:szCs w:val="28"/>
          <w:lang w:val="en-US"/>
        </w:rPr>
        <w:t>2</w:t>
      </w:r>
      <w:r w:rsidRPr="00B447D6">
        <w:rPr>
          <w:rFonts w:ascii="Arial" w:eastAsiaTheme="majorEastAsia" w:hAnsi="Arial" w:cstheme="majorBidi"/>
          <w:b/>
          <w:bCs/>
          <w:color w:val="4A7729"/>
          <w:kern w:val="28"/>
          <w:sz w:val="28"/>
          <w:szCs w:val="28"/>
          <w:lang w:val="en-US"/>
        </w:rPr>
        <w:tab/>
      </w:r>
      <w:r>
        <w:rPr>
          <w:rFonts w:ascii="Arial" w:eastAsiaTheme="majorEastAsia" w:hAnsi="Arial" w:cstheme="majorBidi"/>
          <w:b/>
          <w:bCs/>
          <w:color w:val="4A7729"/>
          <w:kern w:val="28"/>
          <w:sz w:val="28"/>
          <w:szCs w:val="28"/>
          <w:lang w:val="en-US"/>
        </w:rPr>
        <w:t>Labelling</w:t>
      </w:r>
      <w:r w:rsidRPr="00B447D6">
        <w:rPr>
          <w:rFonts w:ascii="Arial" w:eastAsiaTheme="majorEastAsia" w:hAnsi="Arial" w:cstheme="majorBidi"/>
          <w:b/>
          <w:bCs/>
          <w:color w:val="4A7729"/>
          <w:kern w:val="28"/>
          <w:sz w:val="28"/>
          <w:szCs w:val="28"/>
          <w:lang w:val="en-US"/>
        </w:rPr>
        <w:t xml:space="preserve"> compliance </w:t>
      </w:r>
    </w:p>
    <w:p w:rsidR="00B447D6" w:rsidRDefault="00B447D6" w:rsidP="001522A3">
      <w:pPr>
        <w:spacing w:after="0" w:line="240" w:lineRule="auto"/>
        <w:rPr>
          <w:rFonts w:ascii="Arial" w:hAnsi="Arial" w:cs="Arial"/>
          <w:sz w:val="20"/>
          <w:szCs w:val="20"/>
        </w:rPr>
      </w:pPr>
    </w:p>
    <w:p w:rsidR="001522A3" w:rsidRPr="001522A3" w:rsidRDefault="001522A3" w:rsidP="001522A3">
      <w:pPr>
        <w:spacing w:after="0" w:line="240" w:lineRule="auto"/>
        <w:rPr>
          <w:rFonts w:ascii="Arial" w:hAnsi="Arial" w:cs="Arial"/>
          <w:sz w:val="20"/>
          <w:szCs w:val="20"/>
        </w:rPr>
      </w:pPr>
      <w:r w:rsidRPr="001522A3">
        <w:rPr>
          <w:rFonts w:ascii="Arial" w:hAnsi="Arial" w:cs="Arial"/>
          <w:sz w:val="20"/>
          <w:szCs w:val="20"/>
        </w:rPr>
        <w:t>Section 16 of the GEMS Act states that a person must not supply, or offer to supply, a GEMS product if … a requirement of the GEMS determination is not complied with in supplying, or offering to supply, the product. A requirement to display an ERL, if applicable to that GEMS product, is covered by the relevant determination’s “GEMS labelling requirements”.</w:t>
      </w:r>
    </w:p>
    <w:p w:rsidR="001522A3" w:rsidRPr="001522A3" w:rsidRDefault="001522A3" w:rsidP="001522A3">
      <w:pPr>
        <w:pStyle w:val="ListParagraph"/>
        <w:spacing w:after="0" w:line="240" w:lineRule="auto"/>
        <w:ind w:left="360"/>
        <w:rPr>
          <w:rFonts w:ascii="Arial" w:hAnsi="Arial" w:cs="Arial"/>
          <w:sz w:val="20"/>
          <w:szCs w:val="20"/>
        </w:rPr>
      </w:pPr>
    </w:p>
    <w:p w:rsidR="00B447D6" w:rsidRDefault="001522A3" w:rsidP="001522A3">
      <w:pPr>
        <w:spacing w:after="0" w:line="240" w:lineRule="auto"/>
        <w:rPr>
          <w:rFonts w:ascii="Arial" w:hAnsi="Arial" w:cs="Arial"/>
          <w:sz w:val="20"/>
          <w:szCs w:val="20"/>
        </w:rPr>
      </w:pPr>
      <w:r w:rsidRPr="001522A3">
        <w:rPr>
          <w:rFonts w:ascii="Arial" w:hAnsi="Arial" w:cs="Arial"/>
          <w:sz w:val="20"/>
          <w:szCs w:val="20"/>
        </w:rPr>
        <w:t xml:space="preserve">Manufacturers and importers generally provide ERLs with each product supplied to retail stores. If an ERL is not provided, it is the retailer’s responsibility to obtain one from the manufacturer or importer and attach it in accordance with the relevant determination, prior to offering the product for supply. </w:t>
      </w:r>
    </w:p>
    <w:p w:rsidR="00B447D6" w:rsidRDefault="00B447D6" w:rsidP="001522A3">
      <w:pPr>
        <w:spacing w:after="0" w:line="240" w:lineRule="auto"/>
        <w:rPr>
          <w:rFonts w:ascii="Arial" w:hAnsi="Arial" w:cs="Arial"/>
          <w:sz w:val="20"/>
          <w:szCs w:val="20"/>
        </w:rPr>
      </w:pPr>
    </w:p>
    <w:p w:rsidR="001522A3" w:rsidRPr="001522A3" w:rsidRDefault="001522A3" w:rsidP="001522A3">
      <w:pPr>
        <w:spacing w:after="0" w:line="240" w:lineRule="auto"/>
        <w:rPr>
          <w:rFonts w:ascii="Arial" w:hAnsi="Arial" w:cs="Arial"/>
          <w:sz w:val="20"/>
          <w:szCs w:val="20"/>
        </w:rPr>
      </w:pPr>
      <w:r w:rsidRPr="001522A3">
        <w:rPr>
          <w:rFonts w:ascii="Arial" w:hAnsi="Arial" w:cs="Arial"/>
          <w:sz w:val="20"/>
          <w:szCs w:val="20"/>
        </w:rPr>
        <w:t xml:space="preserve">Similarly, if an ERL is removed, the retailer must obtain another from the manufacturer or importer and attach it prior to continuing to offer the product for supply. </w:t>
      </w:r>
    </w:p>
    <w:p w:rsidR="00F42A47" w:rsidRDefault="00F42A47" w:rsidP="00F42A47">
      <w:pPr>
        <w:spacing w:after="0" w:line="240" w:lineRule="auto"/>
        <w:rPr>
          <w:rFonts w:ascii="Arial" w:hAnsi="Arial" w:cs="Arial"/>
          <w:sz w:val="20"/>
          <w:szCs w:val="20"/>
        </w:rPr>
      </w:pPr>
    </w:p>
    <w:p w:rsidR="00F42A47" w:rsidRPr="00F42A47" w:rsidRDefault="00F42A47" w:rsidP="00F42A47">
      <w:pPr>
        <w:spacing w:after="0" w:line="240" w:lineRule="auto"/>
        <w:rPr>
          <w:rFonts w:ascii="Arial" w:hAnsi="Arial" w:cs="Arial"/>
          <w:sz w:val="20"/>
          <w:szCs w:val="20"/>
        </w:rPr>
      </w:pPr>
      <w:r>
        <w:rPr>
          <w:rFonts w:ascii="Arial" w:hAnsi="Arial" w:cs="Arial"/>
          <w:sz w:val="20"/>
          <w:szCs w:val="20"/>
        </w:rPr>
        <w:t xml:space="preserve">The GEMS Regulator strongly encourages manufacturers and importers, as registrants, to assist retailers and others in their supply chain to comply with GEMS Act labelling requirements by, for example, providing additional ERLs with their products; or clearly identifying an appropriate contact to source additional ERLs as required. Whilst it is the retailer, as the supplier, who is directly affected by Section 16 of the GEMS Act, the absence of the ERL with its energy efficiency information may also reflect on the brand and model, ultimately influencing a consumer’s choice of product. </w:t>
      </w:r>
    </w:p>
    <w:p w:rsidR="0085237D" w:rsidRDefault="0085237D" w:rsidP="00373DEA">
      <w:pPr>
        <w:spacing w:after="0" w:line="240" w:lineRule="auto"/>
        <w:rPr>
          <w:rFonts w:ascii="Arial" w:hAnsi="Arial" w:cs="Arial"/>
          <w:sz w:val="20"/>
          <w:szCs w:val="20"/>
        </w:rPr>
      </w:pPr>
    </w:p>
    <w:p w:rsidR="009D1B80" w:rsidRPr="00B447D6" w:rsidRDefault="00B447D6" w:rsidP="00B447D6">
      <w:pPr>
        <w:spacing w:after="120" w:line="240" w:lineRule="auto"/>
        <w:rPr>
          <w:rFonts w:ascii="Arial" w:eastAsiaTheme="majorEastAsia" w:hAnsi="Arial" w:cstheme="majorBidi"/>
          <w:b/>
          <w:bCs/>
          <w:color w:val="4A7729"/>
          <w:kern w:val="28"/>
          <w:sz w:val="28"/>
          <w:szCs w:val="28"/>
          <w:lang w:val="en-US"/>
        </w:rPr>
      </w:pPr>
      <w:r>
        <w:rPr>
          <w:rFonts w:ascii="Arial" w:eastAsiaTheme="majorEastAsia" w:hAnsi="Arial" w:cstheme="majorBidi"/>
          <w:b/>
          <w:bCs/>
          <w:color w:val="4A7729"/>
          <w:kern w:val="28"/>
          <w:sz w:val="28"/>
          <w:szCs w:val="28"/>
          <w:lang w:val="en-US"/>
        </w:rPr>
        <w:t>8.</w:t>
      </w:r>
      <w:r>
        <w:rPr>
          <w:rFonts w:ascii="Arial" w:eastAsiaTheme="majorEastAsia" w:hAnsi="Arial" w:cstheme="majorBidi"/>
          <w:b/>
          <w:bCs/>
          <w:color w:val="4A7729"/>
          <w:kern w:val="28"/>
          <w:sz w:val="28"/>
          <w:szCs w:val="28"/>
          <w:lang w:val="en-US"/>
        </w:rPr>
        <w:tab/>
      </w:r>
      <w:r w:rsidR="00301448" w:rsidRPr="00B447D6">
        <w:rPr>
          <w:rFonts w:ascii="Arial" w:eastAsiaTheme="majorEastAsia" w:hAnsi="Arial" w:cstheme="majorBidi"/>
          <w:b/>
          <w:bCs/>
          <w:color w:val="4A7729"/>
          <w:kern w:val="28"/>
          <w:sz w:val="28"/>
          <w:szCs w:val="28"/>
          <w:lang w:val="en-US"/>
        </w:rPr>
        <w:t>Further Information</w:t>
      </w:r>
    </w:p>
    <w:p w:rsidR="00301108" w:rsidRPr="00301108" w:rsidRDefault="00301108" w:rsidP="00301108">
      <w:pPr>
        <w:spacing w:after="0" w:line="240" w:lineRule="auto"/>
        <w:rPr>
          <w:rFonts w:ascii="Arial" w:hAnsi="Arial" w:cs="Arial"/>
          <w:sz w:val="20"/>
          <w:szCs w:val="20"/>
        </w:rPr>
      </w:pPr>
      <w:r w:rsidRPr="00301108">
        <w:rPr>
          <w:rFonts w:ascii="Arial" w:hAnsi="Arial" w:cs="Arial"/>
          <w:sz w:val="20"/>
          <w:szCs w:val="20"/>
        </w:rPr>
        <w:t xml:space="preserve">If you would like to contact the GEMS Regulator with information about suspected non-compliance or you would like further information about anything noted here, please contact us at </w:t>
      </w:r>
      <w:hyperlink r:id="rId12" w:history="1">
        <w:r w:rsidR="00791951" w:rsidRPr="003936DA">
          <w:rPr>
            <w:rStyle w:val="Hyperlink"/>
            <w:rFonts w:ascii="Arial" w:hAnsi="Arial" w:cs="Arial"/>
            <w:sz w:val="20"/>
            <w:szCs w:val="20"/>
          </w:rPr>
          <w:t>E3.Compliance@environment.gov.au</w:t>
        </w:r>
      </w:hyperlink>
      <w:r w:rsidR="00791951">
        <w:rPr>
          <w:rFonts w:ascii="Arial" w:hAnsi="Arial" w:cs="Arial"/>
          <w:sz w:val="20"/>
          <w:szCs w:val="20"/>
        </w:rPr>
        <w:t xml:space="preserve"> </w:t>
      </w:r>
      <w:r w:rsidRPr="00301108">
        <w:rPr>
          <w:rFonts w:ascii="Arial" w:hAnsi="Arial" w:cs="Arial"/>
          <w:sz w:val="20"/>
          <w:szCs w:val="20"/>
        </w:rPr>
        <w:t xml:space="preserve">or visit </w:t>
      </w:r>
      <w:hyperlink r:id="rId13" w:history="1">
        <w:r w:rsidRPr="00301108">
          <w:rPr>
            <w:rStyle w:val="Hyperlink"/>
            <w:rFonts w:ascii="Arial" w:hAnsi="Arial" w:cs="Arial"/>
            <w:sz w:val="20"/>
            <w:szCs w:val="20"/>
          </w:rPr>
          <w:t>energyrating.gov.au</w:t>
        </w:r>
      </w:hyperlink>
      <w:r w:rsidRPr="00301108">
        <w:rPr>
          <w:rFonts w:ascii="Arial" w:hAnsi="Arial" w:cs="Arial"/>
          <w:sz w:val="20"/>
          <w:szCs w:val="20"/>
        </w:rPr>
        <w:t>.</w:t>
      </w:r>
    </w:p>
    <w:p w:rsidR="00754758" w:rsidRDefault="00754758" w:rsidP="00F93358">
      <w:pPr>
        <w:spacing w:after="0" w:line="240" w:lineRule="auto"/>
        <w:rPr>
          <w:rFonts w:ascii="Arial" w:hAnsi="Arial" w:cs="Arial"/>
          <w:sz w:val="20"/>
          <w:szCs w:val="20"/>
        </w:rPr>
      </w:pPr>
    </w:p>
    <w:p w:rsidR="00D04352" w:rsidRDefault="00D04352">
      <w:pPr>
        <w:rPr>
          <w:rFonts w:ascii="Arial" w:hAnsi="Arial" w:cs="Arial"/>
          <w:sz w:val="20"/>
          <w:szCs w:val="20"/>
        </w:rPr>
      </w:pPr>
      <w:r>
        <w:rPr>
          <w:rFonts w:ascii="Arial" w:hAnsi="Arial" w:cs="Arial"/>
          <w:sz w:val="20"/>
          <w:szCs w:val="20"/>
        </w:rPr>
        <w:br w:type="page"/>
      </w:r>
    </w:p>
    <w:p w:rsidR="00301108" w:rsidRDefault="00577CAF" w:rsidP="00301108">
      <w:pPr>
        <w:spacing w:after="0" w:line="240" w:lineRule="auto"/>
        <w:ind w:left="-426"/>
        <w:jc w:val="right"/>
        <w:rPr>
          <w:rFonts w:ascii="Arial" w:hAnsi="Arial" w:cs="Arial"/>
          <w:sz w:val="20"/>
          <w:szCs w:val="20"/>
        </w:rPr>
      </w:pPr>
      <w:r>
        <w:rPr>
          <w:rFonts w:ascii="Arial" w:hAnsi="Arial" w:cs="Arial"/>
          <w:sz w:val="20"/>
          <w:szCs w:val="20"/>
        </w:rPr>
        <w:lastRenderedPageBreak/>
        <w:t>Attachment</w:t>
      </w:r>
      <w:r w:rsidR="00301108">
        <w:rPr>
          <w:rFonts w:ascii="Arial" w:hAnsi="Arial" w:cs="Arial"/>
          <w:sz w:val="20"/>
          <w:szCs w:val="20"/>
        </w:rPr>
        <w:t xml:space="preserve"> “A”</w:t>
      </w:r>
    </w:p>
    <w:p w:rsidR="007C27DC" w:rsidRPr="004949C1" w:rsidRDefault="007C27DC" w:rsidP="00B747C1">
      <w:pPr>
        <w:spacing w:after="0" w:line="240" w:lineRule="auto"/>
        <w:ind w:left="-426"/>
        <w:rPr>
          <w:rFonts w:ascii="Arial" w:hAnsi="Arial" w:cs="Arial"/>
          <w:b/>
          <w:i/>
          <w:sz w:val="18"/>
          <w:szCs w:val="18"/>
        </w:rPr>
      </w:pPr>
      <w:r>
        <w:rPr>
          <w:rFonts w:ascii="Arial" w:hAnsi="Arial" w:cs="Arial"/>
          <w:sz w:val="20"/>
          <w:szCs w:val="20"/>
        </w:rPr>
        <w:br/>
      </w:r>
      <w:r w:rsidRPr="004949C1">
        <w:rPr>
          <w:rFonts w:ascii="Arial" w:hAnsi="Arial" w:cs="Arial"/>
          <w:b/>
          <w:i/>
          <w:sz w:val="18"/>
          <w:szCs w:val="18"/>
        </w:rPr>
        <w:t xml:space="preserve">Table </w:t>
      </w:r>
      <w:r w:rsidR="00F42A47">
        <w:rPr>
          <w:rFonts w:ascii="Arial" w:hAnsi="Arial" w:cs="Arial"/>
          <w:b/>
          <w:i/>
          <w:sz w:val="18"/>
          <w:szCs w:val="18"/>
        </w:rPr>
        <w:t>A</w:t>
      </w:r>
      <w:r w:rsidRPr="004949C1">
        <w:rPr>
          <w:rFonts w:ascii="Arial" w:hAnsi="Arial" w:cs="Arial"/>
          <w:b/>
          <w:i/>
          <w:sz w:val="18"/>
          <w:szCs w:val="18"/>
        </w:rPr>
        <w:t>. Registration status</w:t>
      </w:r>
    </w:p>
    <w:p w:rsidR="007C27DC" w:rsidRPr="004949C1" w:rsidRDefault="007C27DC" w:rsidP="00F93358">
      <w:pPr>
        <w:spacing w:after="0" w:line="240" w:lineRule="auto"/>
        <w:rPr>
          <w:rFonts w:ascii="Arial" w:hAnsi="Arial" w:cs="Arial"/>
          <w:sz w:val="18"/>
          <w:szCs w:val="18"/>
        </w:rPr>
      </w:pPr>
    </w:p>
    <w:tbl>
      <w:tblPr>
        <w:tblW w:w="3928" w:type="pct"/>
        <w:tblInd w:w="-4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of the registration status of all GEMS products surveyed."/>
        <w:tblDescription w:val="This table shows the number of all GEMS products surveyed according to the registration status - Approved, Expired, Superseded, or Unregistered, at the time of the market surveillance."/>
      </w:tblPr>
      <w:tblGrid>
        <w:gridCol w:w="2270"/>
        <w:gridCol w:w="1136"/>
        <w:gridCol w:w="992"/>
        <w:gridCol w:w="850"/>
        <w:gridCol w:w="1135"/>
        <w:gridCol w:w="701"/>
      </w:tblGrid>
      <w:tr w:rsidR="00F42A47" w:rsidRPr="00AF7925" w:rsidTr="00F42A47">
        <w:trPr>
          <w:trHeight w:val="340"/>
        </w:trPr>
        <w:tc>
          <w:tcPr>
            <w:tcW w:w="1602" w:type="pct"/>
            <w:shd w:val="clear" w:color="auto" w:fill="D6E3BC" w:themeFill="accent3" w:themeFillTint="66"/>
            <w:noWrap/>
            <w:vAlign w:val="center"/>
            <w:hideMark/>
          </w:tcPr>
          <w:p w:rsidR="00F42A47" w:rsidRPr="004949C1" w:rsidRDefault="00F42A47" w:rsidP="00AF7925">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GEMS Product</w:t>
            </w:r>
          </w:p>
        </w:tc>
        <w:tc>
          <w:tcPr>
            <w:tcW w:w="802" w:type="pct"/>
            <w:shd w:val="clear" w:color="auto" w:fill="D6E3BC" w:themeFill="accent3" w:themeFillTint="66"/>
            <w:noWrap/>
            <w:vAlign w:val="center"/>
            <w:hideMark/>
          </w:tcPr>
          <w:p w:rsidR="00F42A47" w:rsidRPr="004949C1" w:rsidRDefault="00F42A47" w:rsidP="00AA265C">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Approved</w:t>
            </w:r>
          </w:p>
        </w:tc>
        <w:tc>
          <w:tcPr>
            <w:tcW w:w="700" w:type="pct"/>
            <w:shd w:val="clear" w:color="auto" w:fill="D6E3BC" w:themeFill="accent3" w:themeFillTint="66"/>
            <w:noWrap/>
            <w:vAlign w:val="center"/>
            <w:hideMark/>
          </w:tcPr>
          <w:p w:rsidR="00F42A47" w:rsidRPr="004949C1" w:rsidRDefault="00F42A47" w:rsidP="00AA265C">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Expired</w:t>
            </w:r>
          </w:p>
        </w:tc>
        <w:tc>
          <w:tcPr>
            <w:tcW w:w="600" w:type="pct"/>
            <w:shd w:val="clear" w:color="auto" w:fill="D6E3BC" w:themeFill="accent3" w:themeFillTint="66"/>
          </w:tcPr>
          <w:p w:rsidR="00F42A47" w:rsidRDefault="00F42A47">
            <w:pPr>
              <w:spacing w:after="0" w:line="240" w:lineRule="auto"/>
              <w:jc w:val="right"/>
              <w:rPr>
                <w:rFonts w:ascii="Arial" w:eastAsia="Times New Roman" w:hAnsi="Arial" w:cs="Arial"/>
                <w:b/>
                <w:color w:val="000000"/>
                <w:sz w:val="18"/>
                <w:szCs w:val="18"/>
              </w:rPr>
            </w:pPr>
          </w:p>
          <w:p w:rsidR="00F42A47" w:rsidRDefault="00F42A47">
            <w:pPr>
              <w:spacing w:after="0" w:line="240" w:lineRule="auto"/>
              <w:jc w:val="right"/>
              <w:rPr>
                <w:rFonts w:ascii="Arial" w:eastAsia="Times New Roman" w:hAnsi="Arial" w:cs="Arial"/>
                <w:b/>
                <w:color w:val="000000"/>
                <w:sz w:val="18"/>
                <w:szCs w:val="18"/>
              </w:rPr>
            </w:pPr>
          </w:p>
          <w:p w:rsidR="00F42A47" w:rsidRPr="004949C1" w:rsidRDefault="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Superseded</w:t>
            </w:r>
          </w:p>
        </w:tc>
        <w:tc>
          <w:tcPr>
            <w:tcW w:w="801" w:type="pct"/>
            <w:shd w:val="clear" w:color="auto" w:fill="D6E3BC" w:themeFill="accent3" w:themeFillTint="66"/>
            <w:noWrap/>
            <w:vAlign w:val="center"/>
            <w:hideMark/>
          </w:tcPr>
          <w:p w:rsidR="00F42A47" w:rsidRPr="004949C1" w:rsidRDefault="00F42A47">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Unregistered</w:t>
            </w:r>
          </w:p>
        </w:tc>
        <w:tc>
          <w:tcPr>
            <w:tcW w:w="496" w:type="pct"/>
            <w:shd w:val="clear" w:color="auto" w:fill="D6E3BC" w:themeFill="accent3" w:themeFillTint="66"/>
            <w:noWrap/>
            <w:vAlign w:val="center"/>
            <w:hideMark/>
          </w:tcPr>
          <w:p w:rsidR="00F42A47" w:rsidRPr="007A5210" w:rsidRDefault="00F42A47">
            <w:pPr>
              <w:spacing w:after="0" w:line="240" w:lineRule="auto"/>
              <w:jc w:val="right"/>
              <w:rPr>
                <w:rFonts w:ascii="Arial" w:eastAsia="Times New Roman" w:hAnsi="Arial" w:cs="Arial"/>
                <w:b/>
                <w:color w:val="000000"/>
                <w:sz w:val="18"/>
                <w:szCs w:val="18"/>
              </w:rPr>
            </w:pPr>
            <w:r w:rsidRPr="007A5210">
              <w:rPr>
                <w:rFonts w:ascii="Arial" w:eastAsia="Times New Roman" w:hAnsi="Arial" w:cs="Arial"/>
                <w:b/>
                <w:color w:val="000000"/>
                <w:sz w:val="18"/>
                <w:szCs w:val="18"/>
              </w:rPr>
              <w:t>Total</w:t>
            </w:r>
          </w:p>
        </w:tc>
      </w:tr>
      <w:tr w:rsidR="00F42A47" w:rsidRPr="004949C1" w:rsidTr="00F42A47">
        <w:trPr>
          <w:trHeight w:val="340"/>
        </w:trPr>
        <w:tc>
          <w:tcPr>
            <w:tcW w:w="1602" w:type="pct"/>
            <w:shd w:val="clear" w:color="auto" w:fill="auto"/>
            <w:noWrap/>
            <w:vAlign w:val="center"/>
            <w:hideMark/>
          </w:tcPr>
          <w:p w:rsidR="00F42A47" w:rsidRPr="004949C1" w:rsidRDefault="00F42A47" w:rsidP="007A5210">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Air conditioners</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214</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13</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 </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3</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230</w:t>
            </w:r>
          </w:p>
        </w:tc>
      </w:tr>
      <w:tr w:rsidR="00F42A47" w:rsidRPr="004949C1" w:rsidTr="00F42A47">
        <w:trPr>
          <w:trHeight w:val="340"/>
        </w:trPr>
        <w:tc>
          <w:tcPr>
            <w:tcW w:w="1602" w:type="pct"/>
            <w:shd w:val="clear" w:color="auto" w:fill="auto"/>
            <w:noWrap/>
            <w:vAlign w:val="center"/>
            <w:hideMark/>
          </w:tcPr>
          <w:p w:rsidR="00F42A47" w:rsidRPr="004949C1" w:rsidRDefault="00F42A47" w:rsidP="007A5210">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Clothes dryers</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307</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3</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 </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0</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310</w:t>
            </w:r>
          </w:p>
        </w:tc>
      </w:tr>
      <w:tr w:rsidR="00F42A47" w:rsidRPr="004949C1" w:rsidTr="00F42A47">
        <w:trPr>
          <w:trHeight w:val="340"/>
        </w:trPr>
        <w:tc>
          <w:tcPr>
            <w:tcW w:w="1602" w:type="pct"/>
            <w:shd w:val="clear" w:color="auto" w:fill="auto"/>
            <w:noWrap/>
            <w:vAlign w:val="center"/>
            <w:hideMark/>
          </w:tcPr>
          <w:p w:rsidR="00F42A47" w:rsidRPr="004949C1" w:rsidRDefault="00F42A47" w:rsidP="007A5210">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Clothes washing machines</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686</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3</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 </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9</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698</w:t>
            </w:r>
          </w:p>
        </w:tc>
      </w:tr>
      <w:tr w:rsidR="00F42A47" w:rsidRPr="004949C1" w:rsidTr="00F42A47">
        <w:trPr>
          <w:trHeight w:val="340"/>
        </w:trPr>
        <w:tc>
          <w:tcPr>
            <w:tcW w:w="1602" w:type="pct"/>
            <w:shd w:val="clear" w:color="auto" w:fill="auto"/>
            <w:noWrap/>
            <w:vAlign w:val="center"/>
          </w:tcPr>
          <w:p w:rsidR="00F42A47" w:rsidRPr="004949C1" w:rsidRDefault="00F42A47" w:rsidP="007A521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washer/dryer</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12</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0</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 </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0</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12</w:t>
            </w:r>
          </w:p>
        </w:tc>
      </w:tr>
      <w:tr w:rsidR="00F42A47" w:rsidRPr="004949C1" w:rsidTr="00F42A47">
        <w:trPr>
          <w:trHeight w:val="340"/>
        </w:trPr>
        <w:tc>
          <w:tcPr>
            <w:tcW w:w="1602" w:type="pct"/>
            <w:shd w:val="clear" w:color="auto" w:fill="auto"/>
            <w:noWrap/>
            <w:vAlign w:val="center"/>
          </w:tcPr>
          <w:p w:rsidR="00F42A47" w:rsidRPr="004949C1" w:rsidRDefault="00F42A47" w:rsidP="007A5210">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Computer monitors</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139</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 </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 </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22</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161</w:t>
            </w:r>
          </w:p>
        </w:tc>
      </w:tr>
      <w:tr w:rsidR="00F42A47" w:rsidRPr="004949C1" w:rsidTr="00F42A47">
        <w:trPr>
          <w:trHeight w:val="340"/>
        </w:trPr>
        <w:tc>
          <w:tcPr>
            <w:tcW w:w="1602" w:type="pct"/>
            <w:shd w:val="clear" w:color="auto" w:fill="auto"/>
            <w:noWrap/>
            <w:vAlign w:val="center"/>
            <w:hideMark/>
          </w:tcPr>
          <w:p w:rsidR="00F42A47" w:rsidRPr="004949C1" w:rsidRDefault="00F42A47" w:rsidP="007A5210">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Dishwashers</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609</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6</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 </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6</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621</w:t>
            </w:r>
          </w:p>
        </w:tc>
      </w:tr>
      <w:tr w:rsidR="00F42A47" w:rsidRPr="004949C1" w:rsidTr="00F42A47">
        <w:trPr>
          <w:trHeight w:val="340"/>
        </w:trPr>
        <w:tc>
          <w:tcPr>
            <w:tcW w:w="1602" w:type="pct"/>
            <w:shd w:val="clear" w:color="auto" w:fill="auto"/>
            <w:noWrap/>
            <w:vAlign w:val="center"/>
            <w:hideMark/>
          </w:tcPr>
          <w:p w:rsidR="00F42A47" w:rsidRPr="004949C1" w:rsidRDefault="00F42A47" w:rsidP="007A5210">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Household refrigerators/</w:t>
            </w:r>
            <w:r>
              <w:rPr>
                <w:rFonts w:ascii="Arial" w:eastAsia="Times New Roman" w:hAnsi="Arial" w:cs="Arial"/>
                <w:color w:val="000000"/>
                <w:sz w:val="18"/>
                <w:szCs w:val="18"/>
              </w:rPr>
              <w:t xml:space="preserve"> </w:t>
            </w:r>
            <w:r w:rsidRPr="004949C1">
              <w:rPr>
                <w:rFonts w:ascii="Arial" w:eastAsia="Times New Roman" w:hAnsi="Arial" w:cs="Arial"/>
                <w:color w:val="000000"/>
                <w:sz w:val="18"/>
                <w:szCs w:val="18"/>
              </w:rPr>
              <w:t>freezers</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937</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11</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5</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20</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973</w:t>
            </w:r>
          </w:p>
        </w:tc>
      </w:tr>
      <w:tr w:rsidR="00F42A47" w:rsidRPr="004949C1" w:rsidTr="00F42A47">
        <w:trPr>
          <w:trHeight w:val="340"/>
        </w:trPr>
        <w:tc>
          <w:tcPr>
            <w:tcW w:w="1602" w:type="pct"/>
            <w:shd w:val="clear" w:color="auto" w:fill="auto"/>
            <w:noWrap/>
            <w:vAlign w:val="center"/>
            <w:hideMark/>
          </w:tcPr>
          <w:p w:rsidR="00F42A47" w:rsidRPr="004949C1" w:rsidRDefault="00F42A47" w:rsidP="007A5210">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Televisions</w:t>
            </w:r>
          </w:p>
        </w:tc>
        <w:tc>
          <w:tcPr>
            <w:tcW w:w="802"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576</w:t>
            </w:r>
          </w:p>
        </w:tc>
        <w:tc>
          <w:tcPr>
            <w:tcW w:w="700"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2</w:t>
            </w:r>
          </w:p>
        </w:tc>
        <w:tc>
          <w:tcPr>
            <w:tcW w:w="600" w:type="pct"/>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bCs/>
                <w:color w:val="000000"/>
                <w:sz w:val="18"/>
                <w:szCs w:val="18"/>
              </w:rPr>
              <w:t> </w:t>
            </w:r>
          </w:p>
        </w:tc>
        <w:tc>
          <w:tcPr>
            <w:tcW w:w="801" w:type="pct"/>
            <w:shd w:val="clear" w:color="auto" w:fill="auto"/>
            <w:noWrap/>
            <w:vAlign w:val="center"/>
          </w:tcPr>
          <w:p w:rsidR="00F42A47" w:rsidRPr="007A5210" w:rsidRDefault="00F42A47" w:rsidP="007A5210">
            <w:pPr>
              <w:spacing w:after="0" w:line="240" w:lineRule="auto"/>
              <w:jc w:val="right"/>
              <w:rPr>
                <w:rFonts w:ascii="Arial" w:eastAsia="Times New Roman" w:hAnsi="Arial" w:cs="Arial"/>
                <w:color w:val="000000"/>
                <w:sz w:val="18"/>
                <w:szCs w:val="18"/>
              </w:rPr>
            </w:pPr>
            <w:r w:rsidRPr="007A5210">
              <w:rPr>
                <w:rFonts w:ascii="Arial" w:hAnsi="Arial" w:cs="Arial"/>
                <w:color w:val="000000"/>
                <w:sz w:val="18"/>
                <w:szCs w:val="18"/>
              </w:rPr>
              <w:t>8</w:t>
            </w:r>
          </w:p>
        </w:tc>
        <w:tc>
          <w:tcPr>
            <w:tcW w:w="496" w:type="pct"/>
            <w:shd w:val="clear" w:color="auto" w:fill="D6E3BC" w:themeFill="accent3" w:themeFillTint="66"/>
            <w:noWrap/>
            <w:vAlign w:val="center"/>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586</w:t>
            </w:r>
          </w:p>
        </w:tc>
      </w:tr>
      <w:tr w:rsidR="00F42A47" w:rsidRPr="004949C1" w:rsidTr="00F42A47">
        <w:trPr>
          <w:trHeight w:val="340"/>
        </w:trPr>
        <w:tc>
          <w:tcPr>
            <w:tcW w:w="1602" w:type="pct"/>
            <w:shd w:val="clear" w:color="auto" w:fill="D6E3BC" w:themeFill="accent3" w:themeFillTint="66"/>
            <w:vAlign w:val="center"/>
            <w:hideMark/>
          </w:tcPr>
          <w:p w:rsidR="00F42A47" w:rsidRPr="004949C1" w:rsidRDefault="00F42A47" w:rsidP="007A5210">
            <w:pPr>
              <w:spacing w:after="0" w:line="240" w:lineRule="auto"/>
              <w:rPr>
                <w:rFonts w:ascii="Arial" w:eastAsia="Times New Roman" w:hAnsi="Arial" w:cs="Arial"/>
                <w:b/>
                <w:color w:val="000000"/>
                <w:sz w:val="18"/>
                <w:szCs w:val="18"/>
              </w:rPr>
            </w:pPr>
            <w:r w:rsidRPr="004949C1">
              <w:rPr>
                <w:rFonts w:ascii="Arial" w:eastAsia="Times New Roman" w:hAnsi="Arial" w:cs="Arial"/>
                <w:b/>
                <w:color w:val="000000"/>
                <w:sz w:val="18"/>
                <w:szCs w:val="18"/>
              </w:rPr>
              <w:t>Totals</w:t>
            </w:r>
          </w:p>
        </w:tc>
        <w:tc>
          <w:tcPr>
            <w:tcW w:w="802" w:type="pct"/>
            <w:shd w:val="clear" w:color="auto" w:fill="D6E3BC" w:themeFill="accent3" w:themeFillTint="66"/>
            <w:noWrap/>
            <w:vAlign w:val="bottom"/>
          </w:tcPr>
          <w:p w:rsidR="00F42A47" w:rsidRPr="007A5210" w:rsidRDefault="00F42A47" w:rsidP="007A5210">
            <w:pPr>
              <w:spacing w:after="0" w:line="240" w:lineRule="auto"/>
              <w:jc w:val="right"/>
              <w:rPr>
                <w:rFonts w:ascii="Arial" w:eastAsia="Times New Roman" w:hAnsi="Arial" w:cs="Arial"/>
                <w:b/>
                <w:color w:val="000000"/>
                <w:sz w:val="18"/>
                <w:szCs w:val="18"/>
              </w:rPr>
            </w:pPr>
            <w:r w:rsidRPr="007A5210">
              <w:rPr>
                <w:rFonts w:ascii="Calibri" w:hAnsi="Calibri"/>
                <w:b/>
                <w:color w:val="000000"/>
              </w:rPr>
              <w:t>3</w:t>
            </w:r>
            <w:r>
              <w:rPr>
                <w:rFonts w:ascii="Calibri" w:hAnsi="Calibri"/>
                <w:b/>
                <w:color w:val="000000"/>
              </w:rPr>
              <w:t>,</w:t>
            </w:r>
            <w:r w:rsidRPr="007A5210">
              <w:rPr>
                <w:rFonts w:ascii="Calibri" w:hAnsi="Calibri"/>
                <w:b/>
                <w:color w:val="000000"/>
              </w:rPr>
              <w:t>480</w:t>
            </w:r>
          </w:p>
        </w:tc>
        <w:tc>
          <w:tcPr>
            <w:tcW w:w="700" w:type="pct"/>
            <w:shd w:val="clear" w:color="auto" w:fill="D6E3BC" w:themeFill="accent3" w:themeFillTint="66"/>
            <w:noWrap/>
            <w:vAlign w:val="bottom"/>
          </w:tcPr>
          <w:p w:rsidR="00F42A47" w:rsidRPr="007A5210" w:rsidRDefault="00F42A47" w:rsidP="007A5210">
            <w:pPr>
              <w:spacing w:after="0" w:line="240" w:lineRule="auto"/>
              <w:jc w:val="right"/>
              <w:rPr>
                <w:rFonts w:ascii="Arial" w:eastAsia="Times New Roman" w:hAnsi="Arial" w:cs="Arial"/>
                <w:b/>
                <w:color w:val="000000"/>
                <w:sz w:val="18"/>
                <w:szCs w:val="18"/>
              </w:rPr>
            </w:pPr>
            <w:r w:rsidRPr="007A5210">
              <w:rPr>
                <w:rFonts w:ascii="Calibri" w:hAnsi="Calibri"/>
                <w:b/>
                <w:color w:val="000000"/>
              </w:rPr>
              <w:t>38</w:t>
            </w:r>
          </w:p>
        </w:tc>
        <w:tc>
          <w:tcPr>
            <w:tcW w:w="600" w:type="pct"/>
            <w:shd w:val="clear" w:color="auto" w:fill="D6E3BC" w:themeFill="accent3" w:themeFillTint="66"/>
            <w:vAlign w:val="bottom"/>
          </w:tcPr>
          <w:p w:rsidR="00F42A47" w:rsidRPr="007A5210" w:rsidRDefault="00F42A47" w:rsidP="007A5210">
            <w:pPr>
              <w:spacing w:after="0" w:line="240" w:lineRule="auto"/>
              <w:jc w:val="right"/>
              <w:rPr>
                <w:rFonts w:ascii="Arial" w:eastAsia="Times New Roman" w:hAnsi="Arial" w:cs="Arial"/>
                <w:b/>
                <w:color w:val="000000"/>
                <w:sz w:val="18"/>
                <w:szCs w:val="18"/>
              </w:rPr>
            </w:pPr>
            <w:r w:rsidRPr="007A5210">
              <w:rPr>
                <w:rFonts w:ascii="Calibri" w:hAnsi="Calibri"/>
                <w:b/>
                <w:color w:val="000000"/>
              </w:rPr>
              <w:t>5</w:t>
            </w:r>
          </w:p>
        </w:tc>
        <w:tc>
          <w:tcPr>
            <w:tcW w:w="801" w:type="pct"/>
            <w:shd w:val="clear" w:color="auto" w:fill="D6E3BC" w:themeFill="accent3" w:themeFillTint="66"/>
            <w:noWrap/>
            <w:vAlign w:val="bottom"/>
          </w:tcPr>
          <w:p w:rsidR="00F42A47" w:rsidRPr="007A5210" w:rsidRDefault="00F42A47" w:rsidP="007A5210">
            <w:pPr>
              <w:spacing w:after="0" w:line="240" w:lineRule="auto"/>
              <w:jc w:val="right"/>
              <w:rPr>
                <w:rFonts w:ascii="Arial" w:eastAsia="Times New Roman" w:hAnsi="Arial" w:cs="Arial"/>
                <w:b/>
                <w:color w:val="000000"/>
                <w:sz w:val="18"/>
                <w:szCs w:val="18"/>
              </w:rPr>
            </w:pPr>
            <w:r w:rsidRPr="007A5210">
              <w:rPr>
                <w:rFonts w:ascii="Calibri" w:hAnsi="Calibri"/>
                <w:b/>
                <w:color w:val="000000"/>
              </w:rPr>
              <w:t>68</w:t>
            </w:r>
          </w:p>
        </w:tc>
        <w:tc>
          <w:tcPr>
            <w:tcW w:w="496" w:type="pct"/>
            <w:shd w:val="clear" w:color="auto" w:fill="D6E3BC" w:themeFill="accent3" w:themeFillTint="66"/>
            <w:noWrap/>
            <w:vAlign w:val="bottom"/>
          </w:tcPr>
          <w:p w:rsidR="00F42A47" w:rsidRPr="007A5210" w:rsidRDefault="00F42A47" w:rsidP="007A5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3,591</w:t>
            </w:r>
          </w:p>
        </w:tc>
      </w:tr>
    </w:tbl>
    <w:p w:rsidR="00D04352" w:rsidRPr="004949C1" w:rsidRDefault="00D04352" w:rsidP="00F93358">
      <w:pPr>
        <w:spacing w:after="0" w:line="240" w:lineRule="auto"/>
        <w:rPr>
          <w:rFonts w:ascii="Arial" w:hAnsi="Arial" w:cs="Arial"/>
          <w:sz w:val="18"/>
          <w:szCs w:val="18"/>
        </w:rPr>
      </w:pPr>
    </w:p>
    <w:p w:rsidR="007C27DC" w:rsidRPr="004949C1" w:rsidRDefault="007C27DC" w:rsidP="00F93358">
      <w:pPr>
        <w:spacing w:after="0" w:line="240" w:lineRule="auto"/>
        <w:rPr>
          <w:rFonts w:ascii="Arial" w:hAnsi="Arial" w:cs="Arial"/>
          <w:sz w:val="18"/>
          <w:szCs w:val="18"/>
        </w:rPr>
      </w:pPr>
    </w:p>
    <w:p w:rsidR="00EE31BD" w:rsidRPr="004949C1" w:rsidRDefault="00EE31BD" w:rsidP="00A13966">
      <w:pPr>
        <w:spacing w:after="0" w:line="240" w:lineRule="auto"/>
        <w:rPr>
          <w:rFonts w:ascii="Arial" w:hAnsi="Arial" w:cs="Arial"/>
          <w:sz w:val="18"/>
          <w:szCs w:val="18"/>
        </w:rPr>
      </w:pPr>
    </w:p>
    <w:p w:rsidR="00A13966" w:rsidRPr="004949C1" w:rsidRDefault="00F42A47" w:rsidP="00EE31BD">
      <w:pPr>
        <w:spacing w:after="0" w:line="240" w:lineRule="auto"/>
        <w:ind w:left="-426"/>
        <w:rPr>
          <w:rFonts w:ascii="Arial" w:hAnsi="Arial" w:cs="Arial"/>
          <w:b/>
          <w:i/>
          <w:sz w:val="18"/>
          <w:szCs w:val="18"/>
        </w:rPr>
      </w:pPr>
      <w:r>
        <w:rPr>
          <w:rFonts w:ascii="Arial" w:hAnsi="Arial" w:cs="Arial"/>
          <w:b/>
          <w:i/>
          <w:sz w:val="18"/>
          <w:szCs w:val="18"/>
        </w:rPr>
        <w:t>Table B</w:t>
      </w:r>
      <w:r w:rsidR="00A13966" w:rsidRPr="004949C1">
        <w:rPr>
          <w:rFonts w:ascii="Arial" w:hAnsi="Arial" w:cs="Arial"/>
          <w:b/>
          <w:i/>
          <w:sz w:val="18"/>
          <w:szCs w:val="18"/>
        </w:rPr>
        <w:t xml:space="preserve">. </w:t>
      </w:r>
      <w:r>
        <w:rPr>
          <w:rFonts w:ascii="Arial" w:hAnsi="Arial" w:cs="Arial"/>
          <w:b/>
          <w:i/>
          <w:sz w:val="18"/>
          <w:szCs w:val="18"/>
        </w:rPr>
        <w:t>ERL</w:t>
      </w:r>
      <w:r w:rsidR="00A13966" w:rsidRPr="004949C1">
        <w:rPr>
          <w:rFonts w:ascii="Arial" w:hAnsi="Arial" w:cs="Arial"/>
          <w:b/>
          <w:i/>
          <w:sz w:val="18"/>
          <w:szCs w:val="18"/>
        </w:rPr>
        <w:t xml:space="preserve"> status</w:t>
      </w:r>
    </w:p>
    <w:p w:rsidR="007C27DC" w:rsidRPr="004949C1" w:rsidRDefault="007C27DC" w:rsidP="00F93358">
      <w:pPr>
        <w:spacing w:after="0" w:line="240" w:lineRule="auto"/>
        <w:rPr>
          <w:rFonts w:ascii="Arial" w:hAnsi="Arial" w:cs="Arial"/>
          <w:sz w:val="18"/>
          <w:szCs w:val="18"/>
        </w:rPr>
      </w:pPr>
    </w:p>
    <w:tbl>
      <w:tblPr>
        <w:tblW w:w="9215"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of the labelling status of all GEMS products surveyed."/>
        <w:tblDescription w:val="This table shows the number of all GEMS products surveyed according to the labelling status - Correctly Labelled, Damaged Label, Incorrect Details, No Label, Obscured Label, or Wrong Label, at the time of the market surveillance."/>
      </w:tblPr>
      <w:tblGrid>
        <w:gridCol w:w="2836"/>
        <w:gridCol w:w="1134"/>
        <w:gridCol w:w="1134"/>
        <w:gridCol w:w="1134"/>
        <w:gridCol w:w="1134"/>
        <w:gridCol w:w="1134"/>
        <w:gridCol w:w="709"/>
      </w:tblGrid>
      <w:tr w:rsidR="00F42A47" w:rsidRPr="004949C1" w:rsidTr="00F42A47">
        <w:trPr>
          <w:trHeight w:val="340"/>
        </w:trPr>
        <w:tc>
          <w:tcPr>
            <w:tcW w:w="2836" w:type="dxa"/>
            <w:shd w:val="clear" w:color="auto" w:fill="D6E3BC" w:themeFill="accent3" w:themeFillTint="66"/>
            <w:noWrap/>
            <w:vAlign w:val="center"/>
            <w:hideMark/>
          </w:tcPr>
          <w:p w:rsidR="00F42A47" w:rsidRPr="004949C1" w:rsidRDefault="00F42A47" w:rsidP="00F42A47">
            <w:pPr>
              <w:spacing w:after="0" w:line="240" w:lineRule="auto"/>
              <w:rPr>
                <w:rFonts w:ascii="Arial" w:eastAsia="Times New Roman" w:hAnsi="Arial" w:cs="Arial"/>
                <w:b/>
                <w:color w:val="000000"/>
                <w:sz w:val="18"/>
                <w:szCs w:val="18"/>
              </w:rPr>
            </w:pPr>
            <w:r w:rsidRPr="004949C1">
              <w:rPr>
                <w:rFonts w:ascii="Arial" w:eastAsia="Times New Roman" w:hAnsi="Arial" w:cs="Arial"/>
                <w:b/>
                <w:color w:val="000000"/>
                <w:sz w:val="18"/>
                <w:szCs w:val="18"/>
              </w:rPr>
              <w:t>GEMS Product</w:t>
            </w:r>
          </w:p>
        </w:tc>
        <w:tc>
          <w:tcPr>
            <w:tcW w:w="1134" w:type="dxa"/>
            <w:shd w:val="clear" w:color="auto" w:fill="D6E3BC" w:themeFill="accent3" w:themeFillTint="66"/>
            <w:noWrap/>
            <w:vAlign w:val="center"/>
            <w:hideMark/>
          </w:tcPr>
          <w:p w:rsidR="00F42A47" w:rsidRPr="004949C1" w:rsidRDefault="00F42A47" w:rsidP="00F42A47">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Correctly labelled</w:t>
            </w:r>
          </w:p>
        </w:tc>
        <w:tc>
          <w:tcPr>
            <w:tcW w:w="1134" w:type="dxa"/>
            <w:shd w:val="clear" w:color="auto" w:fill="FF0000"/>
            <w:vAlign w:val="center"/>
          </w:tcPr>
          <w:p w:rsidR="00F42A47" w:rsidRPr="004949C1" w:rsidRDefault="00F42A47" w:rsidP="00F42A47">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No</w:t>
            </w:r>
          </w:p>
          <w:p w:rsidR="00F42A47" w:rsidRPr="004949C1" w:rsidRDefault="00F42A47" w:rsidP="00F42A47">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label</w:t>
            </w:r>
          </w:p>
        </w:tc>
        <w:tc>
          <w:tcPr>
            <w:tcW w:w="1134" w:type="dxa"/>
            <w:shd w:val="clear" w:color="auto" w:fill="FF0000"/>
            <w:vAlign w:val="center"/>
          </w:tcPr>
          <w:p w:rsidR="00F42A47" w:rsidRPr="004949C1" w:rsidRDefault="00F42A47" w:rsidP="00F42A47">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Obscured label</w:t>
            </w:r>
          </w:p>
        </w:tc>
        <w:tc>
          <w:tcPr>
            <w:tcW w:w="1134" w:type="dxa"/>
            <w:shd w:val="clear" w:color="auto" w:fill="FF0000"/>
            <w:vAlign w:val="center"/>
          </w:tcPr>
          <w:p w:rsidR="00F42A47" w:rsidRPr="004949C1" w:rsidRDefault="00F42A47" w:rsidP="00F42A47">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Wrong label</w:t>
            </w:r>
          </w:p>
        </w:tc>
        <w:tc>
          <w:tcPr>
            <w:tcW w:w="1134" w:type="dxa"/>
            <w:shd w:val="clear" w:color="auto" w:fill="FF0000"/>
            <w:noWrap/>
            <w:vAlign w:val="center"/>
            <w:hideMark/>
          </w:tcPr>
          <w:p w:rsidR="00F42A47" w:rsidRPr="004949C1" w:rsidRDefault="00F42A47" w:rsidP="00F42A47">
            <w:pPr>
              <w:spacing w:after="0" w:line="240" w:lineRule="auto"/>
              <w:jc w:val="right"/>
              <w:rPr>
                <w:rFonts w:ascii="Arial" w:eastAsia="Times New Roman" w:hAnsi="Arial" w:cs="Arial"/>
                <w:b/>
                <w:color w:val="000000"/>
                <w:sz w:val="18"/>
                <w:szCs w:val="18"/>
              </w:rPr>
            </w:pPr>
            <w:r w:rsidRPr="004949C1">
              <w:rPr>
                <w:rFonts w:ascii="Arial" w:eastAsia="Times New Roman" w:hAnsi="Arial" w:cs="Arial"/>
                <w:b/>
                <w:color w:val="000000"/>
                <w:sz w:val="18"/>
                <w:szCs w:val="18"/>
              </w:rPr>
              <w:t>Damaged label</w:t>
            </w:r>
          </w:p>
        </w:tc>
        <w:tc>
          <w:tcPr>
            <w:tcW w:w="709" w:type="dxa"/>
            <w:shd w:val="clear" w:color="auto" w:fill="D6E3BC" w:themeFill="accent3" w:themeFillTint="66"/>
            <w:noWrap/>
            <w:vAlign w:val="center"/>
            <w:hideMark/>
          </w:tcPr>
          <w:p w:rsidR="00F42A47" w:rsidRPr="004949C1"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Total</w:t>
            </w:r>
          </w:p>
        </w:tc>
      </w:tr>
      <w:tr w:rsidR="00F42A47" w:rsidRPr="004949C1" w:rsidTr="00F42A47">
        <w:trPr>
          <w:trHeight w:val="340"/>
        </w:trPr>
        <w:tc>
          <w:tcPr>
            <w:tcW w:w="2836" w:type="dxa"/>
            <w:shd w:val="clear" w:color="auto" w:fill="auto"/>
            <w:noWrap/>
            <w:vAlign w:val="center"/>
            <w:hideMark/>
          </w:tcPr>
          <w:p w:rsidR="00F42A47" w:rsidRPr="004949C1" w:rsidRDefault="00F42A47" w:rsidP="00F42A47">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Air conditioners</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175</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58</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237</w:t>
            </w:r>
          </w:p>
        </w:tc>
      </w:tr>
      <w:tr w:rsidR="00F42A47" w:rsidRPr="004949C1" w:rsidTr="00F42A47">
        <w:trPr>
          <w:trHeight w:val="340"/>
        </w:trPr>
        <w:tc>
          <w:tcPr>
            <w:tcW w:w="2836" w:type="dxa"/>
            <w:shd w:val="clear" w:color="auto" w:fill="auto"/>
            <w:noWrap/>
            <w:vAlign w:val="center"/>
            <w:hideMark/>
          </w:tcPr>
          <w:p w:rsidR="00F42A47" w:rsidRPr="004949C1" w:rsidRDefault="00F42A47" w:rsidP="00F42A47">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Clothes dryers</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325</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347</w:t>
            </w:r>
          </w:p>
        </w:tc>
      </w:tr>
      <w:tr w:rsidR="00F42A47" w:rsidRPr="004949C1" w:rsidTr="00F42A47">
        <w:trPr>
          <w:trHeight w:val="340"/>
        </w:trPr>
        <w:tc>
          <w:tcPr>
            <w:tcW w:w="2836" w:type="dxa"/>
            <w:shd w:val="clear" w:color="auto" w:fill="auto"/>
            <w:noWrap/>
            <w:vAlign w:val="center"/>
            <w:hideMark/>
          </w:tcPr>
          <w:p w:rsidR="00F42A47" w:rsidRPr="004949C1" w:rsidRDefault="00F42A47" w:rsidP="00F42A47">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Clothes washing machines</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543</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36</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46</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631</w:t>
            </w:r>
          </w:p>
        </w:tc>
      </w:tr>
      <w:tr w:rsidR="00F42A47" w:rsidRPr="004949C1" w:rsidTr="00F42A47">
        <w:trPr>
          <w:trHeight w:val="340"/>
        </w:trPr>
        <w:tc>
          <w:tcPr>
            <w:tcW w:w="2836" w:type="dxa"/>
            <w:shd w:val="clear" w:color="auto" w:fill="auto"/>
            <w:noWrap/>
            <w:vAlign w:val="center"/>
          </w:tcPr>
          <w:p w:rsidR="00F42A47" w:rsidRPr="004949C1" w:rsidRDefault="00F42A47" w:rsidP="00F42A4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Washer/Dryer</w:t>
            </w:r>
          </w:p>
        </w:tc>
        <w:tc>
          <w:tcPr>
            <w:tcW w:w="1134" w:type="dxa"/>
            <w:shd w:val="clear" w:color="auto" w:fill="auto"/>
            <w:noWrap/>
            <w:vAlign w:val="center"/>
          </w:tcPr>
          <w:p w:rsidR="00F42A47"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w:t>
            </w:r>
          </w:p>
        </w:tc>
        <w:tc>
          <w:tcPr>
            <w:tcW w:w="1134" w:type="dxa"/>
            <w:vAlign w:val="center"/>
          </w:tcPr>
          <w:p w:rsidR="00F42A47"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4" w:type="dxa"/>
            <w:vAlign w:val="center"/>
          </w:tcPr>
          <w:p w:rsidR="00F42A47"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1134" w:type="dxa"/>
            <w:vAlign w:val="center"/>
          </w:tcPr>
          <w:p w:rsidR="00F42A47"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4" w:type="dxa"/>
            <w:shd w:val="clear" w:color="auto" w:fill="auto"/>
            <w:noWrap/>
            <w:vAlign w:val="center"/>
          </w:tcPr>
          <w:p w:rsidR="00F42A47"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12</w:t>
            </w:r>
          </w:p>
        </w:tc>
      </w:tr>
      <w:tr w:rsidR="00F42A47" w:rsidRPr="004949C1" w:rsidTr="00F42A47">
        <w:trPr>
          <w:trHeight w:val="340"/>
        </w:trPr>
        <w:tc>
          <w:tcPr>
            <w:tcW w:w="2836" w:type="dxa"/>
            <w:shd w:val="clear" w:color="auto" w:fill="auto"/>
            <w:noWrap/>
            <w:vAlign w:val="center"/>
          </w:tcPr>
          <w:p w:rsidR="00F42A47" w:rsidRPr="004949C1" w:rsidRDefault="00F42A47" w:rsidP="00F42A47">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Computer monitors</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61</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99</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164</w:t>
            </w:r>
          </w:p>
        </w:tc>
      </w:tr>
      <w:tr w:rsidR="00F42A47" w:rsidRPr="004949C1" w:rsidTr="00F42A47">
        <w:trPr>
          <w:trHeight w:val="340"/>
        </w:trPr>
        <w:tc>
          <w:tcPr>
            <w:tcW w:w="2836" w:type="dxa"/>
            <w:shd w:val="clear" w:color="auto" w:fill="auto"/>
            <w:noWrap/>
            <w:vAlign w:val="center"/>
            <w:hideMark/>
          </w:tcPr>
          <w:p w:rsidR="00F42A47" w:rsidRPr="004949C1" w:rsidRDefault="00F42A47" w:rsidP="00F42A47">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Dishwashers</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402</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51</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25</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484</w:t>
            </w:r>
          </w:p>
        </w:tc>
      </w:tr>
      <w:tr w:rsidR="00F42A47" w:rsidRPr="004949C1" w:rsidTr="00F42A47">
        <w:trPr>
          <w:trHeight w:val="340"/>
        </w:trPr>
        <w:tc>
          <w:tcPr>
            <w:tcW w:w="2836" w:type="dxa"/>
            <w:shd w:val="clear" w:color="auto" w:fill="auto"/>
            <w:noWrap/>
            <w:vAlign w:val="center"/>
            <w:hideMark/>
          </w:tcPr>
          <w:p w:rsidR="00F42A47" w:rsidRPr="004949C1" w:rsidRDefault="00F42A47" w:rsidP="00F42A47">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Household refrigerators/freezers</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827</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52</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57</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944</w:t>
            </w:r>
          </w:p>
        </w:tc>
      </w:tr>
      <w:tr w:rsidR="00F42A47" w:rsidRPr="004949C1" w:rsidTr="00F42A47">
        <w:trPr>
          <w:trHeight w:val="340"/>
        </w:trPr>
        <w:tc>
          <w:tcPr>
            <w:tcW w:w="2836" w:type="dxa"/>
            <w:shd w:val="clear" w:color="auto" w:fill="auto"/>
            <w:noWrap/>
            <w:vAlign w:val="center"/>
            <w:hideMark/>
          </w:tcPr>
          <w:p w:rsidR="00F42A47" w:rsidRPr="004949C1" w:rsidRDefault="00F42A47" w:rsidP="00F42A47">
            <w:pPr>
              <w:spacing w:after="0" w:line="240" w:lineRule="auto"/>
              <w:rPr>
                <w:rFonts w:ascii="Arial" w:eastAsia="Times New Roman" w:hAnsi="Arial" w:cs="Arial"/>
                <w:color w:val="000000"/>
                <w:sz w:val="18"/>
                <w:szCs w:val="18"/>
              </w:rPr>
            </w:pPr>
            <w:r w:rsidRPr="004949C1">
              <w:rPr>
                <w:rFonts w:ascii="Arial" w:eastAsia="Times New Roman" w:hAnsi="Arial" w:cs="Arial"/>
                <w:color w:val="000000"/>
                <w:sz w:val="18"/>
                <w:szCs w:val="18"/>
              </w:rPr>
              <w:t>Televisions</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261</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204</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82</w:t>
            </w:r>
          </w:p>
        </w:tc>
        <w:tc>
          <w:tcPr>
            <w:tcW w:w="1134" w:type="dxa"/>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34" w:type="dxa"/>
            <w:shd w:val="clear" w:color="auto" w:fill="auto"/>
            <w:noWrap/>
            <w:vAlign w:val="center"/>
          </w:tcPr>
          <w:p w:rsidR="00F42A47" w:rsidRPr="004949C1" w:rsidRDefault="00F42A47" w:rsidP="00F42A4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709" w:type="dxa"/>
            <w:shd w:val="clear" w:color="auto" w:fill="auto"/>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548</w:t>
            </w:r>
          </w:p>
        </w:tc>
      </w:tr>
      <w:tr w:rsidR="00F42A47" w:rsidRPr="004949C1" w:rsidTr="00F42A47">
        <w:trPr>
          <w:trHeight w:val="340"/>
        </w:trPr>
        <w:tc>
          <w:tcPr>
            <w:tcW w:w="2836" w:type="dxa"/>
            <w:shd w:val="clear" w:color="auto" w:fill="D6E3BC" w:themeFill="accent3" w:themeFillTint="66"/>
            <w:vAlign w:val="center"/>
            <w:hideMark/>
          </w:tcPr>
          <w:p w:rsidR="00F42A47" w:rsidRPr="004949C1" w:rsidRDefault="00F42A47" w:rsidP="00F42A47">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TOTAL:</w:t>
            </w:r>
          </w:p>
        </w:tc>
        <w:tc>
          <w:tcPr>
            <w:tcW w:w="1134" w:type="dxa"/>
            <w:shd w:val="clear" w:color="auto" w:fill="D6E3BC" w:themeFill="accent3" w:themeFillTint="66"/>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sidRPr="007A5210">
              <w:rPr>
                <w:rFonts w:ascii="Arial" w:hAnsi="Arial" w:cs="Arial"/>
                <w:b/>
                <w:color w:val="000000"/>
                <w:sz w:val="18"/>
                <w:szCs w:val="18"/>
              </w:rPr>
              <w:t>2</w:t>
            </w:r>
            <w:r>
              <w:rPr>
                <w:rFonts w:ascii="Arial" w:hAnsi="Arial" w:cs="Arial"/>
                <w:b/>
                <w:color w:val="000000"/>
                <w:sz w:val="18"/>
                <w:szCs w:val="18"/>
              </w:rPr>
              <w:t>,</w:t>
            </w:r>
            <w:r w:rsidRPr="007A5210">
              <w:rPr>
                <w:rFonts w:ascii="Arial" w:hAnsi="Arial" w:cs="Arial"/>
                <w:b/>
                <w:color w:val="000000"/>
                <w:sz w:val="18"/>
                <w:szCs w:val="18"/>
              </w:rPr>
              <w:t>603</w:t>
            </w:r>
          </w:p>
        </w:tc>
        <w:tc>
          <w:tcPr>
            <w:tcW w:w="1134" w:type="dxa"/>
            <w:shd w:val="clear" w:color="auto" w:fill="FF0000"/>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sidRPr="007A5210">
              <w:rPr>
                <w:rFonts w:ascii="Arial" w:hAnsi="Arial" w:cs="Arial"/>
                <w:b/>
                <w:color w:val="000000"/>
                <w:sz w:val="18"/>
                <w:szCs w:val="18"/>
              </w:rPr>
              <w:t>509</w:t>
            </w:r>
          </w:p>
        </w:tc>
        <w:tc>
          <w:tcPr>
            <w:tcW w:w="1134" w:type="dxa"/>
            <w:shd w:val="clear" w:color="auto" w:fill="FF0000"/>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sidRPr="007A5210">
              <w:rPr>
                <w:rFonts w:ascii="Arial" w:hAnsi="Arial" w:cs="Arial"/>
                <w:b/>
                <w:color w:val="000000"/>
                <w:sz w:val="18"/>
                <w:szCs w:val="18"/>
              </w:rPr>
              <w:t>228</w:t>
            </w:r>
          </w:p>
        </w:tc>
        <w:tc>
          <w:tcPr>
            <w:tcW w:w="1134" w:type="dxa"/>
            <w:shd w:val="clear" w:color="auto" w:fill="FF0000"/>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sidRPr="007A5210">
              <w:rPr>
                <w:rFonts w:ascii="Arial" w:hAnsi="Arial" w:cs="Arial"/>
                <w:b/>
                <w:color w:val="000000"/>
                <w:sz w:val="18"/>
                <w:szCs w:val="18"/>
              </w:rPr>
              <w:t>2</w:t>
            </w:r>
          </w:p>
        </w:tc>
        <w:tc>
          <w:tcPr>
            <w:tcW w:w="1134" w:type="dxa"/>
            <w:shd w:val="clear" w:color="auto" w:fill="FF0000"/>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sidRPr="007A5210">
              <w:rPr>
                <w:rFonts w:ascii="Arial" w:hAnsi="Arial" w:cs="Arial"/>
                <w:b/>
                <w:color w:val="000000"/>
                <w:sz w:val="18"/>
                <w:szCs w:val="18"/>
              </w:rPr>
              <w:t>25</w:t>
            </w:r>
          </w:p>
        </w:tc>
        <w:tc>
          <w:tcPr>
            <w:tcW w:w="709" w:type="dxa"/>
            <w:shd w:val="clear" w:color="auto" w:fill="D6E3BC" w:themeFill="accent3" w:themeFillTint="66"/>
            <w:noWrap/>
            <w:vAlign w:val="center"/>
          </w:tcPr>
          <w:p w:rsidR="00F42A47" w:rsidRPr="007A5210" w:rsidRDefault="00F42A47" w:rsidP="00F42A47">
            <w:pPr>
              <w:spacing w:after="0" w:line="240" w:lineRule="auto"/>
              <w:jc w:val="right"/>
              <w:rPr>
                <w:rFonts w:ascii="Arial" w:eastAsia="Times New Roman" w:hAnsi="Arial" w:cs="Arial"/>
                <w:b/>
                <w:color w:val="000000"/>
                <w:sz w:val="18"/>
                <w:szCs w:val="18"/>
              </w:rPr>
            </w:pPr>
            <w:r w:rsidRPr="007A5210">
              <w:rPr>
                <w:rFonts w:ascii="Arial" w:hAnsi="Arial" w:cs="Arial"/>
                <w:b/>
                <w:color w:val="000000"/>
                <w:sz w:val="18"/>
                <w:szCs w:val="18"/>
              </w:rPr>
              <w:t>3</w:t>
            </w:r>
            <w:r>
              <w:rPr>
                <w:rFonts w:ascii="Arial" w:hAnsi="Arial" w:cs="Arial"/>
                <w:b/>
                <w:color w:val="000000"/>
                <w:sz w:val="18"/>
                <w:szCs w:val="18"/>
              </w:rPr>
              <w:t>,367</w:t>
            </w:r>
          </w:p>
        </w:tc>
      </w:tr>
    </w:tbl>
    <w:p w:rsidR="007C27DC" w:rsidRPr="004949C1" w:rsidRDefault="007C27DC" w:rsidP="00F93358">
      <w:pPr>
        <w:spacing w:after="0" w:line="240" w:lineRule="auto"/>
        <w:rPr>
          <w:rFonts w:ascii="Arial" w:hAnsi="Arial" w:cs="Arial"/>
          <w:sz w:val="18"/>
          <w:szCs w:val="18"/>
        </w:rPr>
      </w:pPr>
    </w:p>
    <w:sectPr w:rsidR="007C27DC" w:rsidRPr="004949C1" w:rsidSect="004949C1">
      <w:headerReference w:type="default" r:id="rId14"/>
      <w:footerReference w:type="default" r:id="rId15"/>
      <w:headerReference w:type="first" r:id="rId16"/>
      <w:footerReference w:type="first" r:id="rId17"/>
      <w:pgSz w:w="11907" w:h="16840" w:code="9"/>
      <w:pgMar w:top="1440" w:right="1440" w:bottom="1134" w:left="1440" w:header="567" w:footer="4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25" w:rsidRDefault="00C04525" w:rsidP="006715E4">
      <w:pPr>
        <w:spacing w:after="0" w:line="240" w:lineRule="auto"/>
      </w:pPr>
      <w:r>
        <w:separator/>
      </w:r>
    </w:p>
  </w:endnote>
  <w:endnote w:type="continuationSeparator" w:id="0">
    <w:p w:rsidR="00C04525" w:rsidRDefault="00C04525"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val="0"/>
        <w:szCs w:val="16"/>
      </w:rPr>
      <w:id w:val="1179932871"/>
      <w:docPartObj>
        <w:docPartGallery w:val="Page Numbers (Bottom of Page)"/>
        <w:docPartUnique/>
      </w:docPartObj>
    </w:sdtPr>
    <w:sdtEndPr>
      <w:rPr>
        <w:b/>
        <w:noProof/>
      </w:rPr>
    </w:sdtEndPr>
    <w:sdtContent>
      <w:p w:rsidR="00C04525" w:rsidRPr="00274DE4" w:rsidRDefault="00C04525" w:rsidP="00340188">
        <w:pPr>
          <w:pStyle w:val="Footer"/>
          <w:jc w:val="center"/>
          <w:rPr>
            <w:rFonts w:ascii="Arial" w:hAnsi="Arial" w:cs="Arial"/>
            <w:b w:val="0"/>
            <w:szCs w:val="16"/>
          </w:rPr>
        </w:pPr>
        <w:r>
          <w:rPr>
            <w:rFonts w:ascii="Arial" w:hAnsi="Arial" w:cs="Arial"/>
            <w:b w:val="0"/>
            <w:szCs w:val="16"/>
          </w:rPr>
          <w:t>Market Surveillance Results – July 2016 to June 2017</w:t>
        </w:r>
      </w:p>
    </w:sdtContent>
  </w:sdt>
  <w:p w:rsidR="00C04525" w:rsidRPr="006D5A8C" w:rsidRDefault="00C04525" w:rsidP="006D5A8C">
    <w:pPr>
      <w:spacing w:after="0" w:line="240" w:lineRule="auto"/>
      <w:jc w:val="right"/>
    </w:pPr>
    <w:r w:rsidRPr="006D5A8C">
      <w:fldChar w:fldCharType="begin"/>
    </w:r>
    <w:r w:rsidRPr="006D5A8C">
      <w:instrText xml:space="preserve"> PAGE   \* MERGEFORMAT </w:instrText>
    </w:r>
    <w:r w:rsidRPr="006D5A8C">
      <w:fldChar w:fldCharType="separate"/>
    </w:r>
    <w:r w:rsidR="001F790F">
      <w:rPr>
        <w:noProof/>
      </w:rPr>
      <w:t>4</w:t>
    </w:r>
    <w:r w:rsidRPr="006D5A8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561933"/>
      <w:docPartObj>
        <w:docPartGallery w:val="Page Numbers (Bottom of Page)"/>
        <w:docPartUnique/>
      </w:docPartObj>
    </w:sdtPr>
    <w:sdtEndPr>
      <w:rPr>
        <w:b w:val="0"/>
        <w:noProof/>
      </w:rPr>
    </w:sdtEndPr>
    <w:sdtContent>
      <w:p w:rsidR="00C04525" w:rsidRPr="004949C1" w:rsidRDefault="00C04525" w:rsidP="004949C1">
        <w:pPr>
          <w:pStyle w:val="Footer"/>
          <w:rPr>
            <w:b w:val="0"/>
          </w:rPr>
        </w:pPr>
        <w:r w:rsidRPr="00FC0816">
          <w:rPr>
            <w:b w:val="0"/>
          </w:rPr>
          <w:fldChar w:fldCharType="begin"/>
        </w:r>
        <w:r w:rsidRPr="00FC0816">
          <w:rPr>
            <w:b w:val="0"/>
          </w:rPr>
          <w:instrText xml:space="preserve"> PAGE   \* MERGEFORMAT </w:instrText>
        </w:r>
        <w:r w:rsidRPr="00FC0816">
          <w:rPr>
            <w:b w:val="0"/>
          </w:rPr>
          <w:fldChar w:fldCharType="separate"/>
        </w:r>
        <w:r w:rsidR="001F790F">
          <w:rPr>
            <w:b w:val="0"/>
            <w:noProof/>
          </w:rPr>
          <w:t>1</w:t>
        </w:r>
        <w:r w:rsidRPr="00FC0816">
          <w:rPr>
            <w:b w:val="0"/>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25" w:rsidRDefault="00C04525" w:rsidP="006715E4">
      <w:pPr>
        <w:spacing w:after="0" w:line="240" w:lineRule="auto"/>
      </w:pPr>
      <w:r>
        <w:separator/>
      </w:r>
    </w:p>
  </w:footnote>
  <w:footnote w:type="continuationSeparator" w:id="0">
    <w:p w:rsidR="00C04525" w:rsidRDefault="00C04525" w:rsidP="006715E4">
      <w:pPr>
        <w:spacing w:after="0" w:line="240" w:lineRule="auto"/>
      </w:pPr>
      <w:r>
        <w:continuationSeparator/>
      </w:r>
    </w:p>
  </w:footnote>
  <w:footnote w:id="1">
    <w:p w:rsidR="00C04525" w:rsidRDefault="00C04525">
      <w:pPr>
        <w:pStyle w:val="FootnoteText"/>
      </w:pPr>
      <w:r>
        <w:rPr>
          <w:rStyle w:val="FootnoteReference"/>
        </w:rPr>
        <w:footnoteRef/>
      </w:r>
      <w:r>
        <w:t xml:space="preserve"> There are no mandatory GEMS labelling requirements for products of models offered for supply online. </w:t>
      </w:r>
    </w:p>
  </w:footnote>
  <w:footnote w:id="2">
    <w:p w:rsidR="00C04525" w:rsidRDefault="00C04525" w:rsidP="00C04525">
      <w:pPr>
        <w:pStyle w:val="FootnoteText"/>
      </w:pPr>
      <w:r>
        <w:rPr>
          <w:rStyle w:val="FootnoteReference"/>
        </w:rPr>
        <w:footnoteRef/>
      </w:r>
      <w:r>
        <w:t xml:space="preserve"> Combined clothes washers and dryers must each hold a separate registration and display an ERL for each function (i.e. the clothes washer must be registered and display the ERL as must the dryer. </w:t>
      </w:r>
    </w:p>
  </w:footnote>
  <w:footnote w:id="3">
    <w:p w:rsidR="001A7958" w:rsidRDefault="001A7958">
      <w:pPr>
        <w:pStyle w:val="FootnoteText"/>
      </w:pPr>
      <w:r>
        <w:rPr>
          <w:rStyle w:val="FootnoteReference"/>
        </w:rPr>
        <w:footnoteRef/>
      </w:r>
      <w:r>
        <w:t xml:space="preserve"> Models held an ‘Approved’ registration but the GEMS requirements changed and the registration was not updated.</w:t>
      </w:r>
    </w:p>
  </w:footnote>
  <w:footnote w:id="4">
    <w:p w:rsidR="001A7958" w:rsidRPr="001A7958" w:rsidRDefault="001A7958" w:rsidP="001A7958">
      <w:pPr>
        <w:spacing w:after="0" w:line="240" w:lineRule="auto"/>
        <w:rPr>
          <w:sz w:val="16"/>
        </w:rPr>
      </w:pPr>
      <w:r>
        <w:rPr>
          <w:rStyle w:val="FootnoteReference"/>
        </w:rPr>
        <w:footnoteRef/>
      </w:r>
      <w:r>
        <w:t xml:space="preserve"> </w:t>
      </w:r>
      <w:r w:rsidRPr="001A7958">
        <w:rPr>
          <w:sz w:val="16"/>
        </w:rPr>
        <w:t>A model of a GEMS product holds an “Approved” registration for five years from the date on which the registration was approved, as long as it continues to meet the relevant determination’s requirements. At the end of this period, the model’s registration expires and it is considered “unregistered”.</w:t>
      </w:r>
    </w:p>
    <w:p w:rsidR="001A7958" w:rsidRDefault="001A7958">
      <w:pPr>
        <w:pStyle w:val="FootnoteText"/>
      </w:pPr>
    </w:p>
  </w:footnote>
  <w:footnote w:id="5">
    <w:p w:rsidR="00BA25D1" w:rsidRDefault="00BA25D1">
      <w:pPr>
        <w:pStyle w:val="FootnoteText"/>
      </w:pPr>
      <w:r>
        <w:rPr>
          <w:rStyle w:val="FootnoteReference"/>
        </w:rPr>
        <w:footnoteRef/>
      </w:r>
      <w:r>
        <w:t xml:space="preserve"> The practice of obscuring ERLs with product barcodes has recently been observed.</w:t>
      </w:r>
    </w:p>
  </w:footnote>
  <w:footnote w:id="6">
    <w:p w:rsidR="00FD1262" w:rsidRDefault="00FD1262">
      <w:pPr>
        <w:pStyle w:val="FootnoteText"/>
      </w:pPr>
      <w:r>
        <w:rPr>
          <w:rStyle w:val="FootnoteReference"/>
        </w:rPr>
        <w:footnoteRef/>
      </w:r>
      <w:r>
        <w:t xml:space="preserve"> </w:t>
      </w:r>
      <w:r w:rsidRPr="00FD1262">
        <w:t>In very limited circumstances, such models may be deemed ‘</w:t>
      </w:r>
      <w:proofErr w:type="spellStart"/>
      <w:r w:rsidRPr="00FD1262">
        <w:t>secondhand</w:t>
      </w:r>
      <w:proofErr w:type="spellEnd"/>
      <w:r w:rsidRPr="00FD1262">
        <w:t xml:space="preserve">’ however; there are very specific conditions that must be met and generally speaking, if it is a straight swap (i.e. a customer has returned a fridge because it does not </w:t>
      </w:r>
      <w:r w:rsidR="00F42A47">
        <w:t>fit the space, then the product</w:t>
      </w:r>
      <w:r w:rsidR="00455347">
        <w:t xml:space="preserve"> </w:t>
      </w:r>
      <w:r w:rsidRPr="00FD1262">
        <w:t>cannot met the conditions for a ‘</w:t>
      </w:r>
      <w:proofErr w:type="spellStart"/>
      <w:r w:rsidRPr="00FD1262">
        <w:t>secondhand</w:t>
      </w:r>
      <w:proofErr w:type="spellEnd"/>
      <w:r w:rsidRPr="00FD1262">
        <w:t>’ product).</w:t>
      </w:r>
    </w:p>
  </w:footnote>
  <w:footnote w:id="7">
    <w:p w:rsidR="00B447D6" w:rsidRDefault="00B447D6" w:rsidP="00B447D6">
      <w:pPr>
        <w:pStyle w:val="FootnoteText"/>
        <w:spacing w:line="240" w:lineRule="auto"/>
      </w:pPr>
      <w:r>
        <w:rPr>
          <w:rStyle w:val="FootnoteReference"/>
        </w:rPr>
        <w:footnoteRef/>
      </w:r>
      <w:r>
        <w:t xml:space="preserve"> Section 14 GEMS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25" w:rsidRDefault="00C04525">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25" w:rsidRDefault="00C04525">
    <w:pPr>
      <w:pStyle w:val="Header"/>
      <w:rPr>
        <w:sz w:val="24"/>
      </w:rPr>
    </w:pPr>
    <w:r w:rsidRPr="008725DC">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04525" w:rsidRPr="001D2195" w:rsidRDefault="00C04525">
    <w:pPr>
      <w:pStyle w:val="Header"/>
      <w:rPr>
        <w:sz w:val="24"/>
      </w:rPr>
    </w:pPr>
    <w:r w:rsidRPr="004B7D24">
      <w:rPr>
        <w:noProof/>
        <w:sz w:val="24"/>
      </w:rPr>
      <w:drawing>
        <wp:inline distT="0" distB="0" distL="0" distR="0" wp14:anchorId="63FA09A7" wp14:editId="0A513518">
          <wp:extent cx="5732145" cy="864850"/>
          <wp:effectExtent l="0" t="0" r="0" b="0"/>
          <wp:docPr id="3" name="Picture 3" descr="G:\Energy Efficiency\Compliance\2.  GEMS\10. Templates\10. Labels, Logos, Letterhead\Dept of Envionment and Energy\DoEE GEMS Regul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gy Efficiency\Compliance\2.  GEMS\10. Templates\10. Labels, Logos, Letterhead\Dept of Envionment and Energy\DoEE GEMS Regula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86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C4E17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02C20D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E2C63"/>
    <w:multiLevelType w:val="hybridMultilevel"/>
    <w:tmpl w:val="2F24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93A62"/>
    <w:multiLevelType w:val="hybridMultilevel"/>
    <w:tmpl w:val="1C9E4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B44BD"/>
    <w:multiLevelType w:val="hybridMultilevel"/>
    <w:tmpl w:val="726E6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B31F2"/>
    <w:multiLevelType w:val="hybridMultilevel"/>
    <w:tmpl w:val="AE7A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9120C"/>
    <w:multiLevelType w:val="hybridMultilevel"/>
    <w:tmpl w:val="AEE88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52516F"/>
    <w:multiLevelType w:val="hybridMultilevel"/>
    <w:tmpl w:val="CB32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C36CD"/>
    <w:multiLevelType w:val="hybridMultilevel"/>
    <w:tmpl w:val="132C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F7CFF"/>
    <w:multiLevelType w:val="hybridMultilevel"/>
    <w:tmpl w:val="CC3C9006"/>
    <w:lvl w:ilvl="0" w:tplc="13F269CA">
      <w:numFmt w:val="bullet"/>
      <w:lvlText w:val=""/>
      <w:lvlJc w:val="left"/>
      <w:pPr>
        <w:ind w:left="1080" w:hanging="72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94935"/>
    <w:multiLevelType w:val="hybridMultilevel"/>
    <w:tmpl w:val="53A6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66023D"/>
    <w:multiLevelType w:val="hybridMultilevel"/>
    <w:tmpl w:val="F258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D4FD8"/>
    <w:multiLevelType w:val="multilevel"/>
    <w:tmpl w:val="4C445E9E"/>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8C3777"/>
    <w:multiLevelType w:val="hybridMultilevel"/>
    <w:tmpl w:val="06902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111560"/>
    <w:multiLevelType w:val="hybridMultilevel"/>
    <w:tmpl w:val="4E603776"/>
    <w:lvl w:ilvl="0" w:tplc="13F269CA">
      <w:numFmt w:val="bullet"/>
      <w:lvlText w:val=""/>
      <w:lvlJc w:val="left"/>
      <w:pPr>
        <w:ind w:left="1080" w:hanging="720"/>
      </w:pPr>
      <w:rPr>
        <w:rFonts w:ascii="Symbol" w:eastAsiaTheme="minorEastAsia"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3B57B9"/>
    <w:multiLevelType w:val="hybridMultilevel"/>
    <w:tmpl w:val="29C0F30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023BB9"/>
    <w:multiLevelType w:val="hybridMultilevel"/>
    <w:tmpl w:val="BE2669E0"/>
    <w:lvl w:ilvl="0" w:tplc="13F269CA">
      <w:numFmt w:val="bullet"/>
      <w:lvlText w:val=""/>
      <w:lvlJc w:val="left"/>
      <w:pPr>
        <w:ind w:left="1080" w:hanging="72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0261E"/>
    <w:multiLevelType w:val="hybridMultilevel"/>
    <w:tmpl w:val="160A05B8"/>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402CF"/>
    <w:multiLevelType w:val="hybridMultilevel"/>
    <w:tmpl w:val="E47A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F7110"/>
    <w:multiLevelType w:val="hybridMultilevel"/>
    <w:tmpl w:val="92984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764C68"/>
    <w:multiLevelType w:val="hybridMultilevel"/>
    <w:tmpl w:val="0BAE7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BD7996"/>
    <w:multiLevelType w:val="multilevel"/>
    <w:tmpl w:val="277407F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183D2B"/>
    <w:multiLevelType w:val="multilevel"/>
    <w:tmpl w:val="0C09001F"/>
    <w:lvl w:ilvl="0">
      <w:start w:val="1"/>
      <w:numFmt w:val="decimal"/>
      <w:lvlText w:val="%1."/>
      <w:lvlJc w:val="left"/>
      <w:pPr>
        <w:ind w:left="360" w:hanging="360"/>
      </w:pPr>
    </w:lvl>
    <w:lvl w:ilvl="1">
      <w:start w:val="1"/>
      <w:numFmt w:val="decimal"/>
      <w:lvlText w:val="%1.%2."/>
      <w:lvlJc w:val="left"/>
      <w:pPr>
        <w:ind w:left="45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5C7F1F"/>
    <w:multiLevelType w:val="hybridMultilevel"/>
    <w:tmpl w:val="3482AF00"/>
    <w:lvl w:ilvl="0" w:tplc="35A2F2B2">
      <w:numFmt w:val="bullet"/>
      <w:lvlText w:val="-"/>
      <w:lvlJc w:val="left"/>
      <w:pPr>
        <w:ind w:left="600" w:hanging="24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69741B"/>
    <w:multiLevelType w:val="hybridMultilevel"/>
    <w:tmpl w:val="1022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454A1"/>
    <w:multiLevelType w:val="hybridMultilevel"/>
    <w:tmpl w:val="DEC82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2A5D78"/>
    <w:multiLevelType w:val="hybridMultilevel"/>
    <w:tmpl w:val="3FBCA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A58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1C752E"/>
    <w:multiLevelType w:val="hybridMultilevel"/>
    <w:tmpl w:val="61BE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08489C"/>
    <w:multiLevelType w:val="hybridMultilevel"/>
    <w:tmpl w:val="AECA0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B38FC"/>
    <w:multiLevelType w:val="hybridMultilevel"/>
    <w:tmpl w:val="AD4AA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161293"/>
    <w:multiLevelType w:val="hybridMultilevel"/>
    <w:tmpl w:val="A7BA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093497"/>
    <w:multiLevelType w:val="hybridMultilevel"/>
    <w:tmpl w:val="6E120B9A"/>
    <w:lvl w:ilvl="0" w:tplc="DA36F396">
      <w:numFmt w:val="bullet"/>
      <w:lvlText w:val="-"/>
      <w:lvlJc w:val="left"/>
      <w:pPr>
        <w:ind w:left="600" w:hanging="24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4064B3"/>
    <w:multiLevelType w:val="hybridMultilevel"/>
    <w:tmpl w:val="DD86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ED4662"/>
    <w:multiLevelType w:val="hybridMultilevel"/>
    <w:tmpl w:val="DECE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76125A"/>
    <w:multiLevelType w:val="hybridMultilevel"/>
    <w:tmpl w:val="6DBC2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007B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B0747A"/>
    <w:multiLevelType w:val="hybridMultilevel"/>
    <w:tmpl w:val="5BD80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D56E4"/>
    <w:multiLevelType w:val="hybridMultilevel"/>
    <w:tmpl w:val="504A9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41" w15:restartNumberingAfterBreak="0">
    <w:nsid w:val="7FF06D71"/>
    <w:multiLevelType w:val="hybridMultilevel"/>
    <w:tmpl w:val="8F6CB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40"/>
  </w:num>
  <w:num w:numId="5">
    <w:abstractNumId w:val="22"/>
  </w:num>
  <w:num w:numId="6">
    <w:abstractNumId w:val="37"/>
  </w:num>
  <w:num w:numId="7">
    <w:abstractNumId w:val="21"/>
  </w:num>
  <w:num w:numId="8">
    <w:abstractNumId w:val="31"/>
  </w:num>
  <w:num w:numId="9">
    <w:abstractNumId w:val="20"/>
  </w:num>
  <w:num w:numId="10">
    <w:abstractNumId w:val="35"/>
  </w:num>
  <w:num w:numId="11">
    <w:abstractNumId w:val="14"/>
  </w:num>
  <w:num w:numId="12">
    <w:abstractNumId w:val="6"/>
  </w:num>
  <w:num w:numId="13">
    <w:abstractNumId w:val="18"/>
  </w:num>
  <w:num w:numId="14">
    <w:abstractNumId w:val="16"/>
  </w:num>
  <w:num w:numId="15">
    <w:abstractNumId w:val="39"/>
  </w:num>
  <w:num w:numId="16">
    <w:abstractNumId w:val="30"/>
  </w:num>
  <w:num w:numId="17">
    <w:abstractNumId w:val="23"/>
  </w:num>
  <w:num w:numId="18">
    <w:abstractNumId w:val="28"/>
  </w:num>
  <w:num w:numId="19">
    <w:abstractNumId w:val="12"/>
  </w:num>
  <w:num w:numId="20">
    <w:abstractNumId w:val="11"/>
  </w:num>
  <w:num w:numId="21">
    <w:abstractNumId w:val="25"/>
  </w:num>
  <w:num w:numId="22">
    <w:abstractNumId w:val="8"/>
  </w:num>
  <w:num w:numId="23">
    <w:abstractNumId w:val="1"/>
  </w:num>
  <w:num w:numId="24">
    <w:abstractNumId w:val="7"/>
  </w:num>
  <w:num w:numId="25">
    <w:abstractNumId w:val="9"/>
  </w:num>
  <w:num w:numId="26">
    <w:abstractNumId w:val="10"/>
  </w:num>
  <w:num w:numId="27">
    <w:abstractNumId w:val="15"/>
  </w:num>
  <w:num w:numId="28">
    <w:abstractNumId w:val="17"/>
  </w:num>
  <w:num w:numId="29">
    <w:abstractNumId w:val="34"/>
  </w:num>
  <w:num w:numId="30">
    <w:abstractNumId w:val="3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9"/>
  </w:num>
  <w:num w:numId="34">
    <w:abstractNumId w:val="36"/>
  </w:num>
  <w:num w:numId="35">
    <w:abstractNumId w:val="29"/>
  </w:num>
  <w:num w:numId="36">
    <w:abstractNumId w:val="5"/>
  </w:num>
  <w:num w:numId="37">
    <w:abstractNumId w:val="26"/>
  </w:num>
  <w:num w:numId="38">
    <w:abstractNumId w:val="2"/>
  </w:num>
  <w:num w:numId="39">
    <w:abstractNumId w:val="41"/>
  </w:num>
  <w:num w:numId="40">
    <w:abstractNumId w:val="3"/>
  </w:num>
  <w:num w:numId="41">
    <w:abstractNumId w:val="33"/>
  </w:num>
  <w:num w:numId="42">
    <w:abstractNumId w:val="38"/>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5"/>
  <w:displayHorizontalDrawingGridEvery w:val="2"/>
  <w:characterSpacingControl w:val="doNotCompress"/>
  <w:hdrShapeDefaults>
    <o:shapedefaults v:ext="edit" spidmax="2051"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25B6"/>
    <w:rsid w:val="000026F4"/>
    <w:rsid w:val="000048B0"/>
    <w:rsid w:val="00006784"/>
    <w:rsid w:val="000113CA"/>
    <w:rsid w:val="0001151F"/>
    <w:rsid w:val="000130AA"/>
    <w:rsid w:val="00015626"/>
    <w:rsid w:val="000206F5"/>
    <w:rsid w:val="00020EB6"/>
    <w:rsid w:val="00021060"/>
    <w:rsid w:val="000221EC"/>
    <w:rsid w:val="000233BF"/>
    <w:rsid w:val="00025CF2"/>
    <w:rsid w:val="00026AEE"/>
    <w:rsid w:val="000341AE"/>
    <w:rsid w:val="00037C66"/>
    <w:rsid w:val="00041EDE"/>
    <w:rsid w:val="00041FC1"/>
    <w:rsid w:val="0004303B"/>
    <w:rsid w:val="000440B6"/>
    <w:rsid w:val="000452F7"/>
    <w:rsid w:val="00045FA5"/>
    <w:rsid w:val="000508D6"/>
    <w:rsid w:val="000511B5"/>
    <w:rsid w:val="000515C6"/>
    <w:rsid w:val="00051D0B"/>
    <w:rsid w:val="000533C8"/>
    <w:rsid w:val="00053671"/>
    <w:rsid w:val="00057409"/>
    <w:rsid w:val="00060919"/>
    <w:rsid w:val="00061039"/>
    <w:rsid w:val="00065518"/>
    <w:rsid w:val="0007098E"/>
    <w:rsid w:val="00075449"/>
    <w:rsid w:val="00081131"/>
    <w:rsid w:val="00081C82"/>
    <w:rsid w:val="00082E74"/>
    <w:rsid w:val="00083DB0"/>
    <w:rsid w:val="00085A69"/>
    <w:rsid w:val="00086937"/>
    <w:rsid w:val="00087D2B"/>
    <w:rsid w:val="0009156F"/>
    <w:rsid w:val="00091FD3"/>
    <w:rsid w:val="000926C8"/>
    <w:rsid w:val="00093B6B"/>
    <w:rsid w:val="00093E82"/>
    <w:rsid w:val="0009650F"/>
    <w:rsid w:val="000A0740"/>
    <w:rsid w:val="000A1A2D"/>
    <w:rsid w:val="000A1EDB"/>
    <w:rsid w:val="000A3096"/>
    <w:rsid w:val="000A31D3"/>
    <w:rsid w:val="000A3CAB"/>
    <w:rsid w:val="000A63DE"/>
    <w:rsid w:val="000A7043"/>
    <w:rsid w:val="000B0BB1"/>
    <w:rsid w:val="000B126A"/>
    <w:rsid w:val="000B19ED"/>
    <w:rsid w:val="000B1E00"/>
    <w:rsid w:val="000B7F5B"/>
    <w:rsid w:val="000C0894"/>
    <w:rsid w:val="000C2B2F"/>
    <w:rsid w:val="000C72F5"/>
    <w:rsid w:val="000D09CE"/>
    <w:rsid w:val="000D187A"/>
    <w:rsid w:val="000E0F45"/>
    <w:rsid w:val="000E0FC4"/>
    <w:rsid w:val="000E100D"/>
    <w:rsid w:val="000E29BF"/>
    <w:rsid w:val="000E5568"/>
    <w:rsid w:val="000E76A7"/>
    <w:rsid w:val="000E7841"/>
    <w:rsid w:val="000E7A06"/>
    <w:rsid w:val="000F59F4"/>
    <w:rsid w:val="000F7D01"/>
    <w:rsid w:val="0010167D"/>
    <w:rsid w:val="00103A3E"/>
    <w:rsid w:val="001047AD"/>
    <w:rsid w:val="00104818"/>
    <w:rsid w:val="00104BE0"/>
    <w:rsid w:val="00106405"/>
    <w:rsid w:val="00111387"/>
    <w:rsid w:val="00111F80"/>
    <w:rsid w:val="0011291F"/>
    <w:rsid w:val="001159BB"/>
    <w:rsid w:val="00115E15"/>
    <w:rsid w:val="00121274"/>
    <w:rsid w:val="001213E1"/>
    <w:rsid w:val="001225E9"/>
    <w:rsid w:val="0012319B"/>
    <w:rsid w:val="00124901"/>
    <w:rsid w:val="00127ACB"/>
    <w:rsid w:val="00127F99"/>
    <w:rsid w:val="00131C35"/>
    <w:rsid w:val="001328BC"/>
    <w:rsid w:val="00140A12"/>
    <w:rsid w:val="001431BD"/>
    <w:rsid w:val="00143D53"/>
    <w:rsid w:val="001443BB"/>
    <w:rsid w:val="00146EBE"/>
    <w:rsid w:val="001471F6"/>
    <w:rsid w:val="00151BFE"/>
    <w:rsid w:val="001522A3"/>
    <w:rsid w:val="00152435"/>
    <w:rsid w:val="00153825"/>
    <w:rsid w:val="00155C30"/>
    <w:rsid w:val="00156244"/>
    <w:rsid w:val="0016473D"/>
    <w:rsid w:val="00164BB5"/>
    <w:rsid w:val="001652CD"/>
    <w:rsid w:val="001659E2"/>
    <w:rsid w:val="001716BB"/>
    <w:rsid w:val="00171DC7"/>
    <w:rsid w:val="001745A2"/>
    <w:rsid w:val="001763D9"/>
    <w:rsid w:val="00176FF7"/>
    <w:rsid w:val="00181F8A"/>
    <w:rsid w:val="00185D45"/>
    <w:rsid w:val="00190233"/>
    <w:rsid w:val="00190E51"/>
    <w:rsid w:val="001924E6"/>
    <w:rsid w:val="001940B8"/>
    <w:rsid w:val="00195DC1"/>
    <w:rsid w:val="001A0731"/>
    <w:rsid w:val="001A1201"/>
    <w:rsid w:val="001A3692"/>
    <w:rsid w:val="001A3FB8"/>
    <w:rsid w:val="001A415F"/>
    <w:rsid w:val="001A6A45"/>
    <w:rsid w:val="001A7958"/>
    <w:rsid w:val="001A7B4E"/>
    <w:rsid w:val="001B7706"/>
    <w:rsid w:val="001C0B25"/>
    <w:rsid w:val="001C1966"/>
    <w:rsid w:val="001C1EA3"/>
    <w:rsid w:val="001C3814"/>
    <w:rsid w:val="001C4FAE"/>
    <w:rsid w:val="001C56D0"/>
    <w:rsid w:val="001C591E"/>
    <w:rsid w:val="001C71C7"/>
    <w:rsid w:val="001D209C"/>
    <w:rsid w:val="001D2195"/>
    <w:rsid w:val="001D26E4"/>
    <w:rsid w:val="001D36FB"/>
    <w:rsid w:val="001D4760"/>
    <w:rsid w:val="001D687B"/>
    <w:rsid w:val="001D6B60"/>
    <w:rsid w:val="001E193E"/>
    <w:rsid w:val="001E2801"/>
    <w:rsid w:val="001E286F"/>
    <w:rsid w:val="001E4D84"/>
    <w:rsid w:val="001E5598"/>
    <w:rsid w:val="001E5FBA"/>
    <w:rsid w:val="001E6E5E"/>
    <w:rsid w:val="001F13BE"/>
    <w:rsid w:val="001F3B26"/>
    <w:rsid w:val="001F60FF"/>
    <w:rsid w:val="001F6504"/>
    <w:rsid w:val="001F69FE"/>
    <w:rsid w:val="001F790F"/>
    <w:rsid w:val="00201854"/>
    <w:rsid w:val="00201C17"/>
    <w:rsid w:val="00203907"/>
    <w:rsid w:val="00203A4A"/>
    <w:rsid w:val="0020486B"/>
    <w:rsid w:val="00204C41"/>
    <w:rsid w:val="002053A7"/>
    <w:rsid w:val="00206EF8"/>
    <w:rsid w:val="00206F32"/>
    <w:rsid w:val="00207192"/>
    <w:rsid w:val="002109B8"/>
    <w:rsid w:val="002119E9"/>
    <w:rsid w:val="00211CEB"/>
    <w:rsid w:val="00214D84"/>
    <w:rsid w:val="00216486"/>
    <w:rsid w:val="00220BAE"/>
    <w:rsid w:val="002227AF"/>
    <w:rsid w:val="002232FE"/>
    <w:rsid w:val="00224A07"/>
    <w:rsid w:val="00227609"/>
    <w:rsid w:val="00231504"/>
    <w:rsid w:val="00231852"/>
    <w:rsid w:val="00233F48"/>
    <w:rsid w:val="0023423D"/>
    <w:rsid w:val="00234F51"/>
    <w:rsid w:val="00235356"/>
    <w:rsid w:val="002415E0"/>
    <w:rsid w:val="002416DC"/>
    <w:rsid w:val="00241ADF"/>
    <w:rsid w:val="00241B41"/>
    <w:rsid w:val="002423E1"/>
    <w:rsid w:val="002505CB"/>
    <w:rsid w:val="00250C68"/>
    <w:rsid w:val="0025130F"/>
    <w:rsid w:val="00251763"/>
    <w:rsid w:val="002522B6"/>
    <w:rsid w:val="0025247E"/>
    <w:rsid w:val="00252EBB"/>
    <w:rsid w:val="00253411"/>
    <w:rsid w:val="00255EBA"/>
    <w:rsid w:val="002570FD"/>
    <w:rsid w:val="002602C6"/>
    <w:rsid w:val="002605B8"/>
    <w:rsid w:val="00262698"/>
    <w:rsid w:val="00271774"/>
    <w:rsid w:val="00272FEA"/>
    <w:rsid w:val="00273377"/>
    <w:rsid w:val="00274DE4"/>
    <w:rsid w:val="0027759C"/>
    <w:rsid w:val="00277895"/>
    <w:rsid w:val="00277933"/>
    <w:rsid w:val="00282552"/>
    <w:rsid w:val="00283751"/>
    <w:rsid w:val="00284ABD"/>
    <w:rsid w:val="0028548F"/>
    <w:rsid w:val="00285808"/>
    <w:rsid w:val="00290F48"/>
    <w:rsid w:val="00296D87"/>
    <w:rsid w:val="00297645"/>
    <w:rsid w:val="00297A1B"/>
    <w:rsid w:val="002A14D3"/>
    <w:rsid w:val="002A1579"/>
    <w:rsid w:val="002A1F95"/>
    <w:rsid w:val="002A1FED"/>
    <w:rsid w:val="002B06CC"/>
    <w:rsid w:val="002B7B76"/>
    <w:rsid w:val="002C0817"/>
    <w:rsid w:val="002C161F"/>
    <w:rsid w:val="002C1ABA"/>
    <w:rsid w:val="002C7768"/>
    <w:rsid w:val="002D0088"/>
    <w:rsid w:val="002D4139"/>
    <w:rsid w:val="002D5EA0"/>
    <w:rsid w:val="002E09FE"/>
    <w:rsid w:val="002E0B3F"/>
    <w:rsid w:val="002E1236"/>
    <w:rsid w:val="002E1E58"/>
    <w:rsid w:val="002E4925"/>
    <w:rsid w:val="002E4F44"/>
    <w:rsid w:val="002E5FEE"/>
    <w:rsid w:val="002E6063"/>
    <w:rsid w:val="002F0031"/>
    <w:rsid w:val="002F1167"/>
    <w:rsid w:val="002F2BE8"/>
    <w:rsid w:val="002F4B5B"/>
    <w:rsid w:val="002F5AD6"/>
    <w:rsid w:val="00300D83"/>
    <w:rsid w:val="00301108"/>
    <w:rsid w:val="00301448"/>
    <w:rsid w:val="00301B95"/>
    <w:rsid w:val="00302486"/>
    <w:rsid w:val="0030431B"/>
    <w:rsid w:val="00304E8F"/>
    <w:rsid w:val="003064EF"/>
    <w:rsid w:val="00306938"/>
    <w:rsid w:val="00306F77"/>
    <w:rsid w:val="0030790D"/>
    <w:rsid w:val="00307D9A"/>
    <w:rsid w:val="00311840"/>
    <w:rsid w:val="00313B24"/>
    <w:rsid w:val="00313F09"/>
    <w:rsid w:val="00320971"/>
    <w:rsid w:val="0032795F"/>
    <w:rsid w:val="00327B92"/>
    <w:rsid w:val="00327F1C"/>
    <w:rsid w:val="00331037"/>
    <w:rsid w:val="00332A9B"/>
    <w:rsid w:val="00333C04"/>
    <w:rsid w:val="00336506"/>
    <w:rsid w:val="00340188"/>
    <w:rsid w:val="0034028D"/>
    <w:rsid w:val="003414AD"/>
    <w:rsid w:val="00341A55"/>
    <w:rsid w:val="0034369E"/>
    <w:rsid w:val="00344759"/>
    <w:rsid w:val="00346A44"/>
    <w:rsid w:val="00347446"/>
    <w:rsid w:val="003500C0"/>
    <w:rsid w:val="003517EF"/>
    <w:rsid w:val="0035679B"/>
    <w:rsid w:val="00362B2A"/>
    <w:rsid w:val="0036316F"/>
    <w:rsid w:val="003646F4"/>
    <w:rsid w:val="00366CB6"/>
    <w:rsid w:val="0037130B"/>
    <w:rsid w:val="0037346C"/>
    <w:rsid w:val="00373DEA"/>
    <w:rsid w:val="0037416A"/>
    <w:rsid w:val="00374483"/>
    <w:rsid w:val="00375B7D"/>
    <w:rsid w:val="003762CA"/>
    <w:rsid w:val="00376EF9"/>
    <w:rsid w:val="00380606"/>
    <w:rsid w:val="00380C01"/>
    <w:rsid w:val="00384582"/>
    <w:rsid w:val="00384DB2"/>
    <w:rsid w:val="003850C0"/>
    <w:rsid w:val="00385A58"/>
    <w:rsid w:val="00385CF8"/>
    <w:rsid w:val="003873EC"/>
    <w:rsid w:val="0039033C"/>
    <w:rsid w:val="00391DA1"/>
    <w:rsid w:val="00393265"/>
    <w:rsid w:val="00393A6B"/>
    <w:rsid w:val="00393B87"/>
    <w:rsid w:val="003947E2"/>
    <w:rsid w:val="00396EC2"/>
    <w:rsid w:val="00397994"/>
    <w:rsid w:val="003A08E0"/>
    <w:rsid w:val="003A1862"/>
    <w:rsid w:val="003A2B2E"/>
    <w:rsid w:val="003A3E2A"/>
    <w:rsid w:val="003A6EC2"/>
    <w:rsid w:val="003A7B20"/>
    <w:rsid w:val="003B0886"/>
    <w:rsid w:val="003B1A4C"/>
    <w:rsid w:val="003B2F7F"/>
    <w:rsid w:val="003B32B0"/>
    <w:rsid w:val="003B59ED"/>
    <w:rsid w:val="003B5D13"/>
    <w:rsid w:val="003B7177"/>
    <w:rsid w:val="003C344F"/>
    <w:rsid w:val="003C642F"/>
    <w:rsid w:val="003C7712"/>
    <w:rsid w:val="003C7FEC"/>
    <w:rsid w:val="003D1BCB"/>
    <w:rsid w:val="003D2057"/>
    <w:rsid w:val="003D296D"/>
    <w:rsid w:val="003D2B8D"/>
    <w:rsid w:val="003D30E0"/>
    <w:rsid w:val="003D5A7D"/>
    <w:rsid w:val="003D7187"/>
    <w:rsid w:val="003E0342"/>
    <w:rsid w:val="003E093B"/>
    <w:rsid w:val="003E1DED"/>
    <w:rsid w:val="003E35A9"/>
    <w:rsid w:val="003E41CF"/>
    <w:rsid w:val="003E5323"/>
    <w:rsid w:val="003E5EF5"/>
    <w:rsid w:val="003E72E6"/>
    <w:rsid w:val="003F33F2"/>
    <w:rsid w:val="003F5EBD"/>
    <w:rsid w:val="003F7D45"/>
    <w:rsid w:val="0040030F"/>
    <w:rsid w:val="004019EC"/>
    <w:rsid w:val="00401C23"/>
    <w:rsid w:val="00402A24"/>
    <w:rsid w:val="00404628"/>
    <w:rsid w:val="004071DE"/>
    <w:rsid w:val="0041061D"/>
    <w:rsid w:val="00411E2F"/>
    <w:rsid w:val="004131E2"/>
    <w:rsid w:val="004217F6"/>
    <w:rsid w:val="00421AD0"/>
    <w:rsid w:val="00422B0E"/>
    <w:rsid w:val="00423A86"/>
    <w:rsid w:val="00426697"/>
    <w:rsid w:val="00426816"/>
    <w:rsid w:val="00427603"/>
    <w:rsid w:val="0043067F"/>
    <w:rsid w:val="004336A0"/>
    <w:rsid w:val="00434061"/>
    <w:rsid w:val="0043554F"/>
    <w:rsid w:val="00436F96"/>
    <w:rsid w:val="00437D16"/>
    <w:rsid w:val="004459A6"/>
    <w:rsid w:val="00446832"/>
    <w:rsid w:val="00450112"/>
    <w:rsid w:val="00450DC1"/>
    <w:rsid w:val="00450E18"/>
    <w:rsid w:val="004513B5"/>
    <w:rsid w:val="00454076"/>
    <w:rsid w:val="00455347"/>
    <w:rsid w:val="00456E9D"/>
    <w:rsid w:val="00457101"/>
    <w:rsid w:val="00460892"/>
    <w:rsid w:val="004622DA"/>
    <w:rsid w:val="00467FE6"/>
    <w:rsid w:val="00472AF4"/>
    <w:rsid w:val="00475D45"/>
    <w:rsid w:val="00476227"/>
    <w:rsid w:val="0047798A"/>
    <w:rsid w:val="00477E38"/>
    <w:rsid w:val="00480A03"/>
    <w:rsid w:val="00481D73"/>
    <w:rsid w:val="0048286C"/>
    <w:rsid w:val="004832E9"/>
    <w:rsid w:val="00484173"/>
    <w:rsid w:val="00484F1F"/>
    <w:rsid w:val="00485DFB"/>
    <w:rsid w:val="0049182C"/>
    <w:rsid w:val="00491CA1"/>
    <w:rsid w:val="00492048"/>
    <w:rsid w:val="00492274"/>
    <w:rsid w:val="0049231C"/>
    <w:rsid w:val="004949C1"/>
    <w:rsid w:val="00494BAB"/>
    <w:rsid w:val="004954D8"/>
    <w:rsid w:val="00497333"/>
    <w:rsid w:val="00497779"/>
    <w:rsid w:val="004A13E4"/>
    <w:rsid w:val="004A40EC"/>
    <w:rsid w:val="004A53D1"/>
    <w:rsid w:val="004A5506"/>
    <w:rsid w:val="004A6336"/>
    <w:rsid w:val="004A68F0"/>
    <w:rsid w:val="004A7BA9"/>
    <w:rsid w:val="004B5BF8"/>
    <w:rsid w:val="004B735E"/>
    <w:rsid w:val="004B7D24"/>
    <w:rsid w:val="004C7464"/>
    <w:rsid w:val="004D2192"/>
    <w:rsid w:val="004D3CA7"/>
    <w:rsid w:val="004D52F2"/>
    <w:rsid w:val="004D56E5"/>
    <w:rsid w:val="004D5D1F"/>
    <w:rsid w:val="004D6396"/>
    <w:rsid w:val="004E04D2"/>
    <w:rsid w:val="004E0DBA"/>
    <w:rsid w:val="004E131C"/>
    <w:rsid w:val="004E2D4F"/>
    <w:rsid w:val="004E304F"/>
    <w:rsid w:val="004E4F15"/>
    <w:rsid w:val="004E5AA1"/>
    <w:rsid w:val="004F242A"/>
    <w:rsid w:val="004F2C7C"/>
    <w:rsid w:val="004F2FBD"/>
    <w:rsid w:val="004F5894"/>
    <w:rsid w:val="004F7AE7"/>
    <w:rsid w:val="0050194C"/>
    <w:rsid w:val="00503AE0"/>
    <w:rsid w:val="00505389"/>
    <w:rsid w:val="00505C9D"/>
    <w:rsid w:val="00505E9E"/>
    <w:rsid w:val="005067C7"/>
    <w:rsid w:val="005125E4"/>
    <w:rsid w:val="00513F1F"/>
    <w:rsid w:val="005144FF"/>
    <w:rsid w:val="0051469A"/>
    <w:rsid w:val="00516417"/>
    <w:rsid w:val="00516878"/>
    <w:rsid w:val="0051741C"/>
    <w:rsid w:val="005216B1"/>
    <w:rsid w:val="00521AD3"/>
    <w:rsid w:val="00521C9B"/>
    <w:rsid w:val="00521CDC"/>
    <w:rsid w:val="00523187"/>
    <w:rsid w:val="00523E0F"/>
    <w:rsid w:val="005242A0"/>
    <w:rsid w:val="00525754"/>
    <w:rsid w:val="005304D7"/>
    <w:rsid w:val="005319F2"/>
    <w:rsid w:val="00531B05"/>
    <w:rsid w:val="00532F30"/>
    <w:rsid w:val="0053363F"/>
    <w:rsid w:val="00534C87"/>
    <w:rsid w:val="0053789C"/>
    <w:rsid w:val="00541C2C"/>
    <w:rsid w:val="005434AD"/>
    <w:rsid w:val="005470A6"/>
    <w:rsid w:val="00550215"/>
    <w:rsid w:val="00550C3A"/>
    <w:rsid w:val="00554C14"/>
    <w:rsid w:val="00554D28"/>
    <w:rsid w:val="00555757"/>
    <w:rsid w:val="00555A1D"/>
    <w:rsid w:val="005566D0"/>
    <w:rsid w:val="00556DA9"/>
    <w:rsid w:val="00556E35"/>
    <w:rsid w:val="00560A86"/>
    <w:rsid w:val="005617B0"/>
    <w:rsid w:val="0056676A"/>
    <w:rsid w:val="00567931"/>
    <w:rsid w:val="00572AD8"/>
    <w:rsid w:val="00573FAD"/>
    <w:rsid w:val="00577449"/>
    <w:rsid w:val="00577CAF"/>
    <w:rsid w:val="00581CE6"/>
    <w:rsid w:val="00581FE9"/>
    <w:rsid w:val="005828AD"/>
    <w:rsid w:val="00583E16"/>
    <w:rsid w:val="005861D1"/>
    <w:rsid w:val="0058662B"/>
    <w:rsid w:val="00586AE1"/>
    <w:rsid w:val="00587C72"/>
    <w:rsid w:val="0059036C"/>
    <w:rsid w:val="005939C7"/>
    <w:rsid w:val="00595209"/>
    <w:rsid w:val="005A07F5"/>
    <w:rsid w:val="005A22B6"/>
    <w:rsid w:val="005A2E68"/>
    <w:rsid w:val="005A35CE"/>
    <w:rsid w:val="005B2453"/>
    <w:rsid w:val="005B39A8"/>
    <w:rsid w:val="005B3B4F"/>
    <w:rsid w:val="005B4143"/>
    <w:rsid w:val="005B74A3"/>
    <w:rsid w:val="005B7FE0"/>
    <w:rsid w:val="005C3DE5"/>
    <w:rsid w:val="005C4D03"/>
    <w:rsid w:val="005D24F8"/>
    <w:rsid w:val="005D4B4A"/>
    <w:rsid w:val="005D7D95"/>
    <w:rsid w:val="005E2284"/>
    <w:rsid w:val="005E2B2A"/>
    <w:rsid w:val="005E408E"/>
    <w:rsid w:val="005E6ED3"/>
    <w:rsid w:val="005E7011"/>
    <w:rsid w:val="005F0415"/>
    <w:rsid w:val="005F06E8"/>
    <w:rsid w:val="005F1836"/>
    <w:rsid w:val="005F2AA7"/>
    <w:rsid w:val="005F51B8"/>
    <w:rsid w:val="005F7684"/>
    <w:rsid w:val="00601F80"/>
    <w:rsid w:val="00603AB0"/>
    <w:rsid w:val="00607304"/>
    <w:rsid w:val="00614DFE"/>
    <w:rsid w:val="00620AB1"/>
    <w:rsid w:val="0062227A"/>
    <w:rsid w:val="006227CC"/>
    <w:rsid w:val="00622B39"/>
    <w:rsid w:val="00622CE3"/>
    <w:rsid w:val="00624AF1"/>
    <w:rsid w:val="00624FC3"/>
    <w:rsid w:val="006266B4"/>
    <w:rsid w:val="00627C2F"/>
    <w:rsid w:val="006313DD"/>
    <w:rsid w:val="006356FE"/>
    <w:rsid w:val="0064121B"/>
    <w:rsid w:val="006425C2"/>
    <w:rsid w:val="00647611"/>
    <w:rsid w:val="006500D9"/>
    <w:rsid w:val="0065050B"/>
    <w:rsid w:val="00652E66"/>
    <w:rsid w:val="00654578"/>
    <w:rsid w:val="0065493B"/>
    <w:rsid w:val="00655701"/>
    <w:rsid w:val="00656D2B"/>
    <w:rsid w:val="00657830"/>
    <w:rsid w:val="00662673"/>
    <w:rsid w:val="0066431B"/>
    <w:rsid w:val="00664542"/>
    <w:rsid w:val="006714CB"/>
    <w:rsid w:val="006715E4"/>
    <w:rsid w:val="00675DBE"/>
    <w:rsid w:val="00675EFD"/>
    <w:rsid w:val="00676F9C"/>
    <w:rsid w:val="00681CDF"/>
    <w:rsid w:val="006843B1"/>
    <w:rsid w:val="00684445"/>
    <w:rsid w:val="006871B5"/>
    <w:rsid w:val="00687660"/>
    <w:rsid w:val="0069133C"/>
    <w:rsid w:val="006942AF"/>
    <w:rsid w:val="0069435B"/>
    <w:rsid w:val="00695BD6"/>
    <w:rsid w:val="00695FF3"/>
    <w:rsid w:val="006A032B"/>
    <w:rsid w:val="006A11B7"/>
    <w:rsid w:val="006A125C"/>
    <w:rsid w:val="006A23C9"/>
    <w:rsid w:val="006A726C"/>
    <w:rsid w:val="006A7619"/>
    <w:rsid w:val="006A7CA1"/>
    <w:rsid w:val="006B176C"/>
    <w:rsid w:val="006B311C"/>
    <w:rsid w:val="006B6360"/>
    <w:rsid w:val="006C0684"/>
    <w:rsid w:val="006C18E2"/>
    <w:rsid w:val="006C5F55"/>
    <w:rsid w:val="006C6A08"/>
    <w:rsid w:val="006C7D66"/>
    <w:rsid w:val="006D3B70"/>
    <w:rsid w:val="006D5A8C"/>
    <w:rsid w:val="006D7229"/>
    <w:rsid w:val="006E0F14"/>
    <w:rsid w:val="006E7B64"/>
    <w:rsid w:val="006F516B"/>
    <w:rsid w:val="006F54A3"/>
    <w:rsid w:val="006F65F3"/>
    <w:rsid w:val="0070342F"/>
    <w:rsid w:val="007043EB"/>
    <w:rsid w:val="0070461D"/>
    <w:rsid w:val="0071188B"/>
    <w:rsid w:val="007118F9"/>
    <w:rsid w:val="00720C13"/>
    <w:rsid w:val="007229B5"/>
    <w:rsid w:val="00722A1B"/>
    <w:rsid w:val="0072340B"/>
    <w:rsid w:val="00723ECF"/>
    <w:rsid w:val="007246B6"/>
    <w:rsid w:val="007255CE"/>
    <w:rsid w:val="007302C7"/>
    <w:rsid w:val="00730C9E"/>
    <w:rsid w:val="00731FF8"/>
    <w:rsid w:val="00733A87"/>
    <w:rsid w:val="00736E3C"/>
    <w:rsid w:val="00741784"/>
    <w:rsid w:val="007428DB"/>
    <w:rsid w:val="00742F3B"/>
    <w:rsid w:val="00744A21"/>
    <w:rsid w:val="00746728"/>
    <w:rsid w:val="00747248"/>
    <w:rsid w:val="00747FA1"/>
    <w:rsid w:val="007527C3"/>
    <w:rsid w:val="00753B32"/>
    <w:rsid w:val="00754758"/>
    <w:rsid w:val="007614E7"/>
    <w:rsid w:val="00761D41"/>
    <w:rsid w:val="0076336B"/>
    <w:rsid w:val="00767D58"/>
    <w:rsid w:val="007741D0"/>
    <w:rsid w:val="00774A29"/>
    <w:rsid w:val="00775C7B"/>
    <w:rsid w:val="00782CEE"/>
    <w:rsid w:val="00783B86"/>
    <w:rsid w:val="007845AA"/>
    <w:rsid w:val="00785354"/>
    <w:rsid w:val="00785DE5"/>
    <w:rsid w:val="007870E4"/>
    <w:rsid w:val="007907A3"/>
    <w:rsid w:val="00791951"/>
    <w:rsid w:val="00791CB9"/>
    <w:rsid w:val="00793A9C"/>
    <w:rsid w:val="00793BEC"/>
    <w:rsid w:val="007961C1"/>
    <w:rsid w:val="00796B86"/>
    <w:rsid w:val="00796DC3"/>
    <w:rsid w:val="00796ED7"/>
    <w:rsid w:val="007A01A6"/>
    <w:rsid w:val="007A12F3"/>
    <w:rsid w:val="007A14FA"/>
    <w:rsid w:val="007A2F72"/>
    <w:rsid w:val="007A3FEB"/>
    <w:rsid w:val="007A5210"/>
    <w:rsid w:val="007A552E"/>
    <w:rsid w:val="007B167B"/>
    <w:rsid w:val="007B25BA"/>
    <w:rsid w:val="007B3298"/>
    <w:rsid w:val="007B396E"/>
    <w:rsid w:val="007B3A80"/>
    <w:rsid w:val="007B7896"/>
    <w:rsid w:val="007C09F6"/>
    <w:rsid w:val="007C17AA"/>
    <w:rsid w:val="007C19D1"/>
    <w:rsid w:val="007C27DC"/>
    <w:rsid w:val="007C3844"/>
    <w:rsid w:val="007C7528"/>
    <w:rsid w:val="007C7E7D"/>
    <w:rsid w:val="007C7F6E"/>
    <w:rsid w:val="007D0983"/>
    <w:rsid w:val="007D2ADE"/>
    <w:rsid w:val="007D5AF3"/>
    <w:rsid w:val="007D7811"/>
    <w:rsid w:val="007E12F7"/>
    <w:rsid w:val="007E1FFB"/>
    <w:rsid w:val="007E2731"/>
    <w:rsid w:val="007E41EC"/>
    <w:rsid w:val="007E4367"/>
    <w:rsid w:val="007E4493"/>
    <w:rsid w:val="007E70EB"/>
    <w:rsid w:val="007E7F13"/>
    <w:rsid w:val="007F2169"/>
    <w:rsid w:val="007F3D51"/>
    <w:rsid w:val="007F4D94"/>
    <w:rsid w:val="008010BE"/>
    <w:rsid w:val="008033BA"/>
    <w:rsid w:val="00803BCF"/>
    <w:rsid w:val="008056BC"/>
    <w:rsid w:val="00805AA9"/>
    <w:rsid w:val="008067D1"/>
    <w:rsid w:val="00810CDB"/>
    <w:rsid w:val="00810E7A"/>
    <w:rsid w:val="00810EB5"/>
    <w:rsid w:val="00812610"/>
    <w:rsid w:val="008141AE"/>
    <w:rsid w:val="0082269F"/>
    <w:rsid w:val="008236AF"/>
    <w:rsid w:val="00823AC3"/>
    <w:rsid w:val="00823D6A"/>
    <w:rsid w:val="0082620B"/>
    <w:rsid w:val="00826DC8"/>
    <w:rsid w:val="008270FD"/>
    <w:rsid w:val="008302B3"/>
    <w:rsid w:val="00834D28"/>
    <w:rsid w:val="0083595E"/>
    <w:rsid w:val="0083766B"/>
    <w:rsid w:val="00837B18"/>
    <w:rsid w:val="00842081"/>
    <w:rsid w:val="00843642"/>
    <w:rsid w:val="00846668"/>
    <w:rsid w:val="008476EC"/>
    <w:rsid w:val="008516A0"/>
    <w:rsid w:val="0085237D"/>
    <w:rsid w:val="008533A8"/>
    <w:rsid w:val="00854405"/>
    <w:rsid w:val="008570AE"/>
    <w:rsid w:val="00857292"/>
    <w:rsid w:val="00857E87"/>
    <w:rsid w:val="00860AC1"/>
    <w:rsid w:val="00861ACB"/>
    <w:rsid w:val="00861BDE"/>
    <w:rsid w:val="0086521D"/>
    <w:rsid w:val="008673F5"/>
    <w:rsid w:val="008725DC"/>
    <w:rsid w:val="0087375D"/>
    <w:rsid w:val="00873CD8"/>
    <w:rsid w:val="00874A05"/>
    <w:rsid w:val="00874FAD"/>
    <w:rsid w:val="008751A5"/>
    <w:rsid w:val="00877165"/>
    <w:rsid w:val="008771D3"/>
    <w:rsid w:val="008809C2"/>
    <w:rsid w:val="00881456"/>
    <w:rsid w:val="00881F6E"/>
    <w:rsid w:val="00882E61"/>
    <w:rsid w:val="008835D1"/>
    <w:rsid w:val="008851F6"/>
    <w:rsid w:val="008869C3"/>
    <w:rsid w:val="00886A77"/>
    <w:rsid w:val="00893CD7"/>
    <w:rsid w:val="00894070"/>
    <w:rsid w:val="00894109"/>
    <w:rsid w:val="0089467B"/>
    <w:rsid w:val="00895720"/>
    <w:rsid w:val="00895CB5"/>
    <w:rsid w:val="008960D9"/>
    <w:rsid w:val="008A169A"/>
    <w:rsid w:val="008A21C2"/>
    <w:rsid w:val="008A3083"/>
    <w:rsid w:val="008A37CE"/>
    <w:rsid w:val="008A39BA"/>
    <w:rsid w:val="008A3ED9"/>
    <w:rsid w:val="008A5F1C"/>
    <w:rsid w:val="008A62A5"/>
    <w:rsid w:val="008A73F2"/>
    <w:rsid w:val="008A749F"/>
    <w:rsid w:val="008B3673"/>
    <w:rsid w:val="008B428B"/>
    <w:rsid w:val="008B4637"/>
    <w:rsid w:val="008B54DE"/>
    <w:rsid w:val="008C3E83"/>
    <w:rsid w:val="008C4041"/>
    <w:rsid w:val="008C5655"/>
    <w:rsid w:val="008C6776"/>
    <w:rsid w:val="008D2DE2"/>
    <w:rsid w:val="008D68F5"/>
    <w:rsid w:val="008E0907"/>
    <w:rsid w:val="008E127D"/>
    <w:rsid w:val="008E2077"/>
    <w:rsid w:val="008E2599"/>
    <w:rsid w:val="008E2AAB"/>
    <w:rsid w:val="008E3C58"/>
    <w:rsid w:val="008E41F0"/>
    <w:rsid w:val="008E43DA"/>
    <w:rsid w:val="008F4366"/>
    <w:rsid w:val="008F7D96"/>
    <w:rsid w:val="0090034A"/>
    <w:rsid w:val="0090237A"/>
    <w:rsid w:val="00910C52"/>
    <w:rsid w:val="0091292F"/>
    <w:rsid w:val="009137BB"/>
    <w:rsid w:val="00914DFE"/>
    <w:rsid w:val="009176EA"/>
    <w:rsid w:val="009211FF"/>
    <w:rsid w:val="00921C0B"/>
    <w:rsid w:val="00921DCB"/>
    <w:rsid w:val="00922F3E"/>
    <w:rsid w:val="009237BC"/>
    <w:rsid w:val="00931320"/>
    <w:rsid w:val="009341F4"/>
    <w:rsid w:val="00934497"/>
    <w:rsid w:val="00935655"/>
    <w:rsid w:val="00937A09"/>
    <w:rsid w:val="00937F8C"/>
    <w:rsid w:val="0094387C"/>
    <w:rsid w:val="00943F92"/>
    <w:rsid w:val="009443EE"/>
    <w:rsid w:val="00945875"/>
    <w:rsid w:val="00947D17"/>
    <w:rsid w:val="009501FC"/>
    <w:rsid w:val="009507B4"/>
    <w:rsid w:val="009518A6"/>
    <w:rsid w:val="00952465"/>
    <w:rsid w:val="00952BC6"/>
    <w:rsid w:val="00954098"/>
    <w:rsid w:val="00955AE9"/>
    <w:rsid w:val="00956367"/>
    <w:rsid w:val="0095661E"/>
    <w:rsid w:val="009612A9"/>
    <w:rsid w:val="00966AB7"/>
    <w:rsid w:val="0096756F"/>
    <w:rsid w:val="0097022D"/>
    <w:rsid w:val="00972F81"/>
    <w:rsid w:val="00975C6F"/>
    <w:rsid w:val="009770D6"/>
    <w:rsid w:val="009814D0"/>
    <w:rsid w:val="00982887"/>
    <w:rsid w:val="009837DC"/>
    <w:rsid w:val="00983E58"/>
    <w:rsid w:val="0098514A"/>
    <w:rsid w:val="00986053"/>
    <w:rsid w:val="00986CBD"/>
    <w:rsid w:val="00992D22"/>
    <w:rsid w:val="0099404B"/>
    <w:rsid w:val="00994633"/>
    <w:rsid w:val="0099701E"/>
    <w:rsid w:val="009A0878"/>
    <w:rsid w:val="009A1969"/>
    <w:rsid w:val="009A2055"/>
    <w:rsid w:val="009A277B"/>
    <w:rsid w:val="009A4D19"/>
    <w:rsid w:val="009A53F4"/>
    <w:rsid w:val="009A5477"/>
    <w:rsid w:val="009A7C00"/>
    <w:rsid w:val="009B0704"/>
    <w:rsid w:val="009B0718"/>
    <w:rsid w:val="009B4579"/>
    <w:rsid w:val="009B50AD"/>
    <w:rsid w:val="009B54CD"/>
    <w:rsid w:val="009B771A"/>
    <w:rsid w:val="009B7E0A"/>
    <w:rsid w:val="009C24A0"/>
    <w:rsid w:val="009C32BC"/>
    <w:rsid w:val="009C5EBB"/>
    <w:rsid w:val="009C64FE"/>
    <w:rsid w:val="009D08FF"/>
    <w:rsid w:val="009D16A2"/>
    <w:rsid w:val="009D1A55"/>
    <w:rsid w:val="009D1B80"/>
    <w:rsid w:val="009D2153"/>
    <w:rsid w:val="009D2EC4"/>
    <w:rsid w:val="009D692E"/>
    <w:rsid w:val="009D6B5F"/>
    <w:rsid w:val="009D70C3"/>
    <w:rsid w:val="009E02EA"/>
    <w:rsid w:val="009E103D"/>
    <w:rsid w:val="009E13A4"/>
    <w:rsid w:val="009E3DD2"/>
    <w:rsid w:val="009E5A20"/>
    <w:rsid w:val="009E6B3E"/>
    <w:rsid w:val="009E6FFB"/>
    <w:rsid w:val="009E7825"/>
    <w:rsid w:val="009F1641"/>
    <w:rsid w:val="009F3F00"/>
    <w:rsid w:val="009F715F"/>
    <w:rsid w:val="00A03E9A"/>
    <w:rsid w:val="00A049D8"/>
    <w:rsid w:val="00A04EB4"/>
    <w:rsid w:val="00A05804"/>
    <w:rsid w:val="00A061A1"/>
    <w:rsid w:val="00A10425"/>
    <w:rsid w:val="00A13966"/>
    <w:rsid w:val="00A20A74"/>
    <w:rsid w:val="00A20C99"/>
    <w:rsid w:val="00A21783"/>
    <w:rsid w:val="00A220DD"/>
    <w:rsid w:val="00A23031"/>
    <w:rsid w:val="00A2612A"/>
    <w:rsid w:val="00A277AA"/>
    <w:rsid w:val="00A32186"/>
    <w:rsid w:val="00A3245A"/>
    <w:rsid w:val="00A32E1C"/>
    <w:rsid w:val="00A45AB0"/>
    <w:rsid w:val="00A45FE5"/>
    <w:rsid w:val="00A467E4"/>
    <w:rsid w:val="00A54B34"/>
    <w:rsid w:val="00A5586E"/>
    <w:rsid w:val="00A623A8"/>
    <w:rsid w:val="00A646DF"/>
    <w:rsid w:val="00A66530"/>
    <w:rsid w:val="00A66984"/>
    <w:rsid w:val="00A71641"/>
    <w:rsid w:val="00A71F3C"/>
    <w:rsid w:val="00A72541"/>
    <w:rsid w:val="00A73644"/>
    <w:rsid w:val="00A739D0"/>
    <w:rsid w:val="00A743A9"/>
    <w:rsid w:val="00A745B0"/>
    <w:rsid w:val="00A74901"/>
    <w:rsid w:val="00A77380"/>
    <w:rsid w:val="00A8203E"/>
    <w:rsid w:val="00A820CB"/>
    <w:rsid w:val="00A845E5"/>
    <w:rsid w:val="00A853F2"/>
    <w:rsid w:val="00A86D9E"/>
    <w:rsid w:val="00A90339"/>
    <w:rsid w:val="00A92010"/>
    <w:rsid w:val="00A922F4"/>
    <w:rsid w:val="00A971DE"/>
    <w:rsid w:val="00A97AF8"/>
    <w:rsid w:val="00AA1002"/>
    <w:rsid w:val="00AA1A02"/>
    <w:rsid w:val="00AA265C"/>
    <w:rsid w:val="00AA37DA"/>
    <w:rsid w:val="00AA3D0C"/>
    <w:rsid w:val="00AA40C9"/>
    <w:rsid w:val="00AA56BF"/>
    <w:rsid w:val="00AA68A4"/>
    <w:rsid w:val="00AA6B84"/>
    <w:rsid w:val="00AA6FF9"/>
    <w:rsid w:val="00AB3737"/>
    <w:rsid w:val="00AB578E"/>
    <w:rsid w:val="00AC16EA"/>
    <w:rsid w:val="00AC7024"/>
    <w:rsid w:val="00AD06D5"/>
    <w:rsid w:val="00AD1121"/>
    <w:rsid w:val="00AD1BD6"/>
    <w:rsid w:val="00AD1D36"/>
    <w:rsid w:val="00AD1FBE"/>
    <w:rsid w:val="00AD4351"/>
    <w:rsid w:val="00AD60F0"/>
    <w:rsid w:val="00AD62F2"/>
    <w:rsid w:val="00AD725F"/>
    <w:rsid w:val="00AE372A"/>
    <w:rsid w:val="00AE5A3C"/>
    <w:rsid w:val="00AF0562"/>
    <w:rsid w:val="00AF4A47"/>
    <w:rsid w:val="00AF7046"/>
    <w:rsid w:val="00AF7925"/>
    <w:rsid w:val="00B0008A"/>
    <w:rsid w:val="00B03DE9"/>
    <w:rsid w:val="00B0420D"/>
    <w:rsid w:val="00B05B00"/>
    <w:rsid w:val="00B13B99"/>
    <w:rsid w:val="00B13BCB"/>
    <w:rsid w:val="00B15E63"/>
    <w:rsid w:val="00B17EAB"/>
    <w:rsid w:val="00B2090A"/>
    <w:rsid w:val="00B20EF6"/>
    <w:rsid w:val="00B22950"/>
    <w:rsid w:val="00B22C41"/>
    <w:rsid w:val="00B23803"/>
    <w:rsid w:val="00B24F4C"/>
    <w:rsid w:val="00B27ECA"/>
    <w:rsid w:val="00B306FB"/>
    <w:rsid w:val="00B315F2"/>
    <w:rsid w:val="00B31888"/>
    <w:rsid w:val="00B365A9"/>
    <w:rsid w:val="00B367CC"/>
    <w:rsid w:val="00B41F45"/>
    <w:rsid w:val="00B447D6"/>
    <w:rsid w:val="00B45851"/>
    <w:rsid w:val="00B53607"/>
    <w:rsid w:val="00B54925"/>
    <w:rsid w:val="00B60787"/>
    <w:rsid w:val="00B639E8"/>
    <w:rsid w:val="00B64F62"/>
    <w:rsid w:val="00B656F7"/>
    <w:rsid w:val="00B660BB"/>
    <w:rsid w:val="00B67F93"/>
    <w:rsid w:val="00B71F01"/>
    <w:rsid w:val="00B738B3"/>
    <w:rsid w:val="00B7433A"/>
    <w:rsid w:val="00B747C1"/>
    <w:rsid w:val="00B7580D"/>
    <w:rsid w:val="00B85474"/>
    <w:rsid w:val="00B92447"/>
    <w:rsid w:val="00B958AC"/>
    <w:rsid w:val="00B968BF"/>
    <w:rsid w:val="00B96A1D"/>
    <w:rsid w:val="00B96BD0"/>
    <w:rsid w:val="00BA25D1"/>
    <w:rsid w:val="00BB22FF"/>
    <w:rsid w:val="00BB3B22"/>
    <w:rsid w:val="00BB4F2B"/>
    <w:rsid w:val="00BB614D"/>
    <w:rsid w:val="00BB70F3"/>
    <w:rsid w:val="00BC1D11"/>
    <w:rsid w:val="00BC22FC"/>
    <w:rsid w:val="00BC44AB"/>
    <w:rsid w:val="00BC4BBF"/>
    <w:rsid w:val="00BC551D"/>
    <w:rsid w:val="00BC5BBA"/>
    <w:rsid w:val="00BC6927"/>
    <w:rsid w:val="00BC7627"/>
    <w:rsid w:val="00BD009B"/>
    <w:rsid w:val="00BD0CDF"/>
    <w:rsid w:val="00BD2A29"/>
    <w:rsid w:val="00BD4158"/>
    <w:rsid w:val="00BD49E0"/>
    <w:rsid w:val="00BD6E17"/>
    <w:rsid w:val="00BD7D06"/>
    <w:rsid w:val="00BE3854"/>
    <w:rsid w:val="00BE513B"/>
    <w:rsid w:val="00BE57D5"/>
    <w:rsid w:val="00BE6292"/>
    <w:rsid w:val="00BE79FB"/>
    <w:rsid w:val="00BF0782"/>
    <w:rsid w:val="00BF0FEA"/>
    <w:rsid w:val="00BF3C33"/>
    <w:rsid w:val="00BF7A0D"/>
    <w:rsid w:val="00C01AD6"/>
    <w:rsid w:val="00C02A37"/>
    <w:rsid w:val="00C03347"/>
    <w:rsid w:val="00C03FC8"/>
    <w:rsid w:val="00C04525"/>
    <w:rsid w:val="00C074AD"/>
    <w:rsid w:val="00C12B46"/>
    <w:rsid w:val="00C143B7"/>
    <w:rsid w:val="00C15A1F"/>
    <w:rsid w:val="00C17949"/>
    <w:rsid w:val="00C21981"/>
    <w:rsid w:val="00C220EA"/>
    <w:rsid w:val="00C22EC2"/>
    <w:rsid w:val="00C241BF"/>
    <w:rsid w:val="00C274C9"/>
    <w:rsid w:val="00C2766B"/>
    <w:rsid w:val="00C27FED"/>
    <w:rsid w:val="00C30351"/>
    <w:rsid w:val="00C337A0"/>
    <w:rsid w:val="00C36F6A"/>
    <w:rsid w:val="00C40BC3"/>
    <w:rsid w:val="00C40FFD"/>
    <w:rsid w:val="00C41361"/>
    <w:rsid w:val="00C4158E"/>
    <w:rsid w:val="00C467E7"/>
    <w:rsid w:val="00C504B6"/>
    <w:rsid w:val="00C515E4"/>
    <w:rsid w:val="00C51E9C"/>
    <w:rsid w:val="00C52575"/>
    <w:rsid w:val="00C52658"/>
    <w:rsid w:val="00C53053"/>
    <w:rsid w:val="00C60438"/>
    <w:rsid w:val="00C62B77"/>
    <w:rsid w:val="00C63A21"/>
    <w:rsid w:val="00C645CA"/>
    <w:rsid w:val="00C64A7A"/>
    <w:rsid w:val="00C654FB"/>
    <w:rsid w:val="00C66791"/>
    <w:rsid w:val="00C72558"/>
    <w:rsid w:val="00C7475C"/>
    <w:rsid w:val="00C747CA"/>
    <w:rsid w:val="00C74D5B"/>
    <w:rsid w:val="00C75976"/>
    <w:rsid w:val="00C7738A"/>
    <w:rsid w:val="00C8235C"/>
    <w:rsid w:val="00C8473E"/>
    <w:rsid w:val="00C87A34"/>
    <w:rsid w:val="00C87FC7"/>
    <w:rsid w:val="00C91351"/>
    <w:rsid w:val="00C91A99"/>
    <w:rsid w:val="00C91E83"/>
    <w:rsid w:val="00CA0DCC"/>
    <w:rsid w:val="00CA1F19"/>
    <w:rsid w:val="00CA22A1"/>
    <w:rsid w:val="00CA3583"/>
    <w:rsid w:val="00CA3C30"/>
    <w:rsid w:val="00CA694F"/>
    <w:rsid w:val="00CB2DBF"/>
    <w:rsid w:val="00CB38A5"/>
    <w:rsid w:val="00CB49C4"/>
    <w:rsid w:val="00CB6CF9"/>
    <w:rsid w:val="00CC0B69"/>
    <w:rsid w:val="00CC0C51"/>
    <w:rsid w:val="00CC1412"/>
    <w:rsid w:val="00CC4CCA"/>
    <w:rsid w:val="00CC6BD9"/>
    <w:rsid w:val="00CC6BF0"/>
    <w:rsid w:val="00CC6E3C"/>
    <w:rsid w:val="00CD145F"/>
    <w:rsid w:val="00CD2053"/>
    <w:rsid w:val="00CD2ACD"/>
    <w:rsid w:val="00CD3D36"/>
    <w:rsid w:val="00CD4BB9"/>
    <w:rsid w:val="00CD6F94"/>
    <w:rsid w:val="00CD7098"/>
    <w:rsid w:val="00CE328F"/>
    <w:rsid w:val="00CE32D7"/>
    <w:rsid w:val="00CE5702"/>
    <w:rsid w:val="00CE7025"/>
    <w:rsid w:val="00D04352"/>
    <w:rsid w:val="00D04D06"/>
    <w:rsid w:val="00D05283"/>
    <w:rsid w:val="00D05D04"/>
    <w:rsid w:val="00D06131"/>
    <w:rsid w:val="00D075F6"/>
    <w:rsid w:val="00D07700"/>
    <w:rsid w:val="00D11D44"/>
    <w:rsid w:val="00D14B3E"/>
    <w:rsid w:val="00D16F44"/>
    <w:rsid w:val="00D1730D"/>
    <w:rsid w:val="00D17E71"/>
    <w:rsid w:val="00D22BF5"/>
    <w:rsid w:val="00D23079"/>
    <w:rsid w:val="00D2437B"/>
    <w:rsid w:val="00D24383"/>
    <w:rsid w:val="00D249C1"/>
    <w:rsid w:val="00D24DC1"/>
    <w:rsid w:val="00D2780F"/>
    <w:rsid w:val="00D30B0D"/>
    <w:rsid w:val="00D34023"/>
    <w:rsid w:val="00D34EDC"/>
    <w:rsid w:val="00D350CF"/>
    <w:rsid w:val="00D35163"/>
    <w:rsid w:val="00D35EFD"/>
    <w:rsid w:val="00D375FC"/>
    <w:rsid w:val="00D413DD"/>
    <w:rsid w:val="00D443C0"/>
    <w:rsid w:val="00D449FB"/>
    <w:rsid w:val="00D52C96"/>
    <w:rsid w:val="00D5307C"/>
    <w:rsid w:val="00D531BE"/>
    <w:rsid w:val="00D53AF1"/>
    <w:rsid w:val="00D54E7C"/>
    <w:rsid w:val="00D5586C"/>
    <w:rsid w:val="00D56F30"/>
    <w:rsid w:val="00D64C4E"/>
    <w:rsid w:val="00D7186A"/>
    <w:rsid w:val="00D730E3"/>
    <w:rsid w:val="00D7320B"/>
    <w:rsid w:val="00D73755"/>
    <w:rsid w:val="00D77FCC"/>
    <w:rsid w:val="00D840FA"/>
    <w:rsid w:val="00D8411D"/>
    <w:rsid w:val="00D848C7"/>
    <w:rsid w:val="00D850B3"/>
    <w:rsid w:val="00D85838"/>
    <w:rsid w:val="00D8596E"/>
    <w:rsid w:val="00D86B47"/>
    <w:rsid w:val="00D915C9"/>
    <w:rsid w:val="00D91E53"/>
    <w:rsid w:val="00D9511D"/>
    <w:rsid w:val="00D96993"/>
    <w:rsid w:val="00D96AB8"/>
    <w:rsid w:val="00DA127B"/>
    <w:rsid w:val="00DA1F02"/>
    <w:rsid w:val="00DA7C18"/>
    <w:rsid w:val="00DB225C"/>
    <w:rsid w:val="00DB32DC"/>
    <w:rsid w:val="00DB724E"/>
    <w:rsid w:val="00DB72D2"/>
    <w:rsid w:val="00DC044C"/>
    <w:rsid w:val="00DC1801"/>
    <w:rsid w:val="00DC4DE5"/>
    <w:rsid w:val="00DC5FA2"/>
    <w:rsid w:val="00DD008E"/>
    <w:rsid w:val="00DD3EFB"/>
    <w:rsid w:val="00DD461A"/>
    <w:rsid w:val="00DD49BE"/>
    <w:rsid w:val="00DD648E"/>
    <w:rsid w:val="00DD6A21"/>
    <w:rsid w:val="00DD6A72"/>
    <w:rsid w:val="00DD7FD8"/>
    <w:rsid w:val="00DE48D4"/>
    <w:rsid w:val="00DE4E51"/>
    <w:rsid w:val="00DE5EA2"/>
    <w:rsid w:val="00DE7F85"/>
    <w:rsid w:val="00DF0C4B"/>
    <w:rsid w:val="00DF31F9"/>
    <w:rsid w:val="00DF3A01"/>
    <w:rsid w:val="00DF5FC5"/>
    <w:rsid w:val="00DF6929"/>
    <w:rsid w:val="00E03DA3"/>
    <w:rsid w:val="00E044B1"/>
    <w:rsid w:val="00E051D4"/>
    <w:rsid w:val="00E06065"/>
    <w:rsid w:val="00E06291"/>
    <w:rsid w:val="00E078AD"/>
    <w:rsid w:val="00E1120F"/>
    <w:rsid w:val="00E1276E"/>
    <w:rsid w:val="00E13697"/>
    <w:rsid w:val="00E13D11"/>
    <w:rsid w:val="00E142F9"/>
    <w:rsid w:val="00E1602C"/>
    <w:rsid w:val="00E169BA"/>
    <w:rsid w:val="00E16C34"/>
    <w:rsid w:val="00E215F3"/>
    <w:rsid w:val="00E25613"/>
    <w:rsid w:val="00E300D7"/>
    <w:rsid w:val="00E301DD"/>
    <w:rsid w:val="00E315E0"/>
    <w:rsid w:val="00E31819"/>
    <w:rsid w:val="00E328FA"/>
    <w:rsid w:val="00E34FE8"/>
    <w:rsid w:val="00E35F1F"/>
    <w:rsid w:val="00E37BEF"/>
    <w:rsid w:val="00E45008"/>
    <w:rsid w:val="00E47AA7"/>
    <w:rsid w:val="00E50AAA"/>
    <w:rsid w:val="00E50C7C"/>
    <w:rsid w:val="00E52BEC"/>
    <w:rsid w:val="00E54D4D"/>
    <w:rsid w:val="00E57DA7"/>
    <w:rsid w:val="00E61005"/>
    <w:rsid w:val="00E613F9"/>
    <w:rsid w:val="00E6218C"/>
    <w:rsid w:val="00E63629"/>
    <w:rsid w:val="00E638F7"/>
    <w:rsid w:val="00E639DA"/>
    <w:rsid w:val="00E656D7"/>
    <w:rsid w:val="00E66FC0"/>
    <w:rsid w:val="00E6789A"/>
    <w:rsid w:val="00E71088"/>
    <w:rsid w:val="00E7195E"/>
    <w:rsid w:val="00E72E88"/>
    <w:rsid w:val="00E73994"/>
    <w:rsid w:val="00E73A00"/>
    <w:rsid w:val="00E73D60"/>
    <w:rsid w:val="00E7741C"/>
    <w:rsid w:val="00E8020D"/>
    <w:rsid w:val="00E827F5"/>
    <w:rsid w:val="00E8434D"/>
    <w:rsid w:val="00E86DD4"/>
    <w:rsid w:val="00E94A67"/>
    <w:rsid w:val="00E96222"/>
    <w:rsid w:val="00E9722C"/>
    <w:rsid w:val="00E978F5"/>
    <w:rsid w:val="00EA16B9"/>
    <w:rsid w:val="00EA31C0"/>
    <w:rsid w:val="00EA3B81"/>
    <w:rsid w:val="00EA54CE"/>
    <w:rsid w:val="00EA599A"/>
    <w:rsid w:val="00EB019D"/>
    <w:rsid w:val="00EB0AE2"/>
    <w:rsid w:val="00EB2C49"/>
    <w:rsid w:val="00EB3973"/>
    <w:rsid w:val="00EB6F55"/>
    <w:rsid w:val="00EB716F"/>
    <w:rsid w:val="00EC0D46"/>
    <w:rsid w:val="00EC1994"/>
    <w:rsid w:val="00EC2AEE"/>
    <w:rsid w:val="00EC4E0E"/>
    <w:rsid w:val="00EC5165"/>
    <w:rsid w:val="00EC5540"/>
    <w:rsid w:val="00EC6BAD"/>
    <w:rsid w:val="00EC6D08"/>
    <w:rsid w:val="00EC7AAD"/>
    <w:rsid w:val="00ED11D5"/>
    <w:rsid w:val="00ED26B4"/>
    <w:rsid w:val="00ED412A"/>
    <w:rsid w:val="00ED5DCA"/>
    <w:rsid w:val="00ED62AD"/>
    <w:rsid w:val="00ED6BA3"/>
    <w:rsid w:val="00EE0184"/>
    <w:rsid w:val="00EE137A"/>
    <w:rsid w:val="00EE193B"/>
    <w:rsid w:val="00EE2083"/>
    <w:rsid w:val="00EE31BD"/>
    <w:rsid w:val="00EE46A8"/>
    <w:rsid w:val="00EE4789"/>
    <w:rsid w:val="00EE4A53"/>
    <w:rsid w:val="00EE4BF3"/>
    <w:rsid w:val="00EE5F5A"/>
    <w:rsid w:val="00EE6704"/>
    <w:rsid w:val="00EF11F3"/>
    <w:rsid w:val="00EF1990"/>
    <w:rsid w:val="00EF2717"/>
    <w:rsid w:val="00EF3300"/>
    <w:rsid w:val="00EF64C7"/>
    <w:rsid w:val="00EF6BD4"/>
    <w:rsid w:val="00EF7163"/>
    <w:rsid w:val="00EF7C2B"/>
    <w:rsid w:val="00F01650"/>
    <w:rsid w:val="00F0284C"/>
    <w:rsid w:val="00F02B7E"/>
    <w:rsid w:val="00F04F20"/>
    <w:rsid w:val="00F0654F"/>
    <w:rsid w:val="00F10ED6"/>
    <w:rsid w:val="00F13F5E"/>
    <w:rsid w:val="00F140DB"/>
    <w:rsid w:val="00F1661C"/>
    <w:rsid w:val="00F17075"/>
    <w:rsid w:val="00F23559"/>
    <w:rsid w:val="00F24841"/>
    <w:rsid w:val="00F27645"/>
    <w:rsid w:val="00F334DE"/>
    <w:rsid w:val="00F33B49"/>
    <w:rsid w:val="00F34786"/>
    <w:rsid w:val="00F36259"/>
    <w:rsid w:val="00F37431"/>
    <w:rsid w:val="00F37D8D"/>
    <w:rsid w:val="00F41DCE"/>
    <w:rsid w:val="00F42A47"/>
    <w:rsid w:val="00F44041"/>
    <w:rsid w:val="00F4425A"/>
    <w:rsid w:val="00F451B9"/>
    <w:rsid w:val="00F466F5"/>
    <w:rsid w:val="00F469C6"/>
    <w:rsid w:val="00F46E38"/>
    <w:rsid w:val="00F4786E"/>
    <w:rsid w:val="00F5039A"/>
    <w:rsid w:val="00F50E02"/>
    <w:rsid w:val="00F52F0E"/>
    <w:rsid w:val="00F55FAB"/>
    <w:rsid w:val="00F61A7C"/>
    <w:rsid w:val="00F620F5"/>
    <w:rsid w:val="00F62D47"/>
    <w:rsid w:val="00F6441F"/>
    <w:rsid w:val="00F7149E"/>
    <w:rsid w:val="00F71765"/>
    <w:rsid w:val="00F73101"/>
    <w:rsid w:val="00F74396"/>
    <w:rsid w:val="00F75F55"/>
    <w:rsid w:val="00F76399"/>
    <w:rsid w:val="00F77881"/>
    <w:rsid w:val="00F80E13"/>
    <w:rsid w:val="00F81783"/>
    <w:rsid w:val="00F8446D"/>
    <w:rsid w:val="00F845F4"/>
    <w:rsid w:val="00F8561F"/>
    <w:rsid w:val="00F93358"/>
    <w:rsid w:val="00F94798"/>
    <w:rsid w:val="00F962E6"/>
    <w:rsid w:val="00F965D5"/>
    <w:rsid w:val="00FA054B"/>
    <w:rsid w:val="00FA3210"/>
    <w:rsid w:val="00FA3FB2"/>
    <w:rsid w:val="00FA4D6B"/>
    <w:rsid w:val="00FA5500"/>
    <w:rsid w:val="00FA6763"/>
    <w:rsid w:val="00FB012C"/>
    <w:rsid w:val="00FB1738"/>
    <w:rsid w:val="00FB2C59"/>
    <w:rsid w:val="00FB394A"/>
    <w:rsid w:val="00FB435B"/>
    <w:rsid w:val="00FB6CF2"/>
    <w:rsid w:val="00FB6E2F"/>
    <w:rsid w:val="00FC03E9"/>
    <w:rsid w:val="00FC0816"/>
    <w:rsid w:val="00FC1CFA"/>
    <w:rsid w:val="00FC2515"/>
    <w:rsid w:val="00FC4DE0"/>
    <w:rsid w:val="00FC626D"/>
    <w:rsid w:val="00FC7E29"/>
    <w:rsid w:val="00FD100C"/>
    <w:rsid w:val="00FD1262"/>
    <w:rsid w:val="00FD474B"/>
    <w:rsid w:val="00FD5195"/>
    <w:rsid w:val="00FD6580"/>
    <w:rsid w:val="00FD74FA"/>
    <w:rsid w:val="00FE0390"/>
    <w:rsid w:val="00FE1B53"/>
    <w:rsid w:val="00FE448A"/>
    <w:rsid w:val="00FE44E8"/>
    <w:rsid w:val="00FE4F8A"/>
    <w:rsid w:val="00FE52EE"/>
    <w:rsid w:val="00FF0323"/>
    <w:rsid w:val="00FF1131"/>
    <w:rsid w:val="00FF4B2C"/>
    <w:rsid w:val="00FF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DE"/>
  </w:style>
  <w:style w:type="paragraph" w:styleId="Heading1">
    <w:name w:val="heading 1"/>
    <w:basedOn w:val="Normal"/>
    <w:next w:val="Normal"/>
    <w:link w:val="Heading1Char"/>
    <w:uiPriority w:val="9"/>
    <w:qFormat/>
    <w:rsid w:val="00861B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1B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1B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1B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1B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1B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1B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1B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1B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rsid w:val="00720C13"/>
    <w:pPr>
      <w:numPr>
        <w:numId w:val="3"/>
      </w:numPr>
      <w:ind w:left="227" w:hanging="227"/>
      <w:contextualSpacing/>
    </w:pPr>
  </w:style>
  <w:style w:type="character" w:customStyle="1" w:styleId="E3BulletsChar">
    <w:name w:val="E3 Bullets Char"/>
    <w:link w:val="E3Bullets"/>
    <w:rsid w:val="00284ABD"/>
    <w:rPr>
      <w:rFonts w:ascii="Georgia" w:eastAsia="Cambria" w:hAnsi="Georgia"/>
      <w:sz w:val="19"/>
      <w:szCs w:val="24"/>
      <w:lang w:eastAsia="en-US"/>
    </w:rPr>
  </w:style>
  <w:style w:type="paragraph" w:customStyle="1" w:styleId="E3BodyIntroductionText">
    <w:name w:val="E3 Body Introduction Text"/>
    <w:basedOn w:val="Normal"/>
    <w:rsid w:val="006715E4"/>
    <w:pPr>
      <w:tabs>
        <w:tab w:val="left" w:pos="480"/>
      </w:tabs>
    </w:pPr>
    <w:rPr>
      <w:i/>
    </w:rPr>
  </w:style>
  <w:style w:type="character" w:customStyle="1" w:styleId="Bold">
    <w:name w:val="Bold"/>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uiPriority w:val="99"/>
    <w:unhideWhenUsed/>
    <w:rsid w:val="006715E4"/>
    <w:rPr>
      <w:sz w:val="16"/>
      <w:szCs w:val="16"/>
    </w:rPr>
  </w:style>
  <w:style w:type="paragraph" w:styleId="CommentText">
    <w:name w:val="annotation text"/>
    <w:basedOn w:val="Normal"/>
    <w:link w:val="CommentTextChar"/>
    <w:uiPriority w:val="99"/>
    <w:unhideWhenUsed/>
    <w:rsid w:val="006715E4"/>
    <w:pPr>
      <w:spacing w:line="240" w:lineRule="auto"/>
    </w:pPr>
    <w:rPr>
      <w:rFonts w:ascii="Cambria" w:hAnsi="Cambria"/>
      <w:sz w:val="20"/>
      <w:szCs w:val="20"/>
    </w:rPr>
  </w:style>
  <w:style w:type="character" w:customStyle="1" w:styleId="CommentTextChar">
    <w:name w:val="Comment Text Char"/>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861BDE"/>
    <w:rPr>
      <w:rFonts w:asciiTheme="majorHAnsi" w:eastAsiaTheme="majorEastAsia" w:hAnsiTheme="majorHAnsi" w:cstheme="majorBidi"/>
      <w:b/>
      <w:bCs/>
      <w:sz w:val="28"/>
      <w:szCs w:val="28"/>
    </w:rPr>
  </w:style>
  <w:style w:type="paragraph" w:customStyle="1" w:styleId="E3ChapterTitle">
    <w:name w:val="E3 Chapter Title"/>
    <w:basedOn w:val="Heading1"/>
    <w:rsid w:val="008A5F1C"/>
    <w:rPr>
      <w:sz w:val="60"/>
    </w:rPr>
  </w:style>
  <w:style w:type="paragraph" w:customStyle="1" w:styleId="E3CoverFooter">
    <w:name w:val="E3 Cover Footer"/>
    <w:basedOn w:val="Normal"/>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rsid w:val="006715E4"/>
  </w:style>
  <w:style w:type="paragraph" w:customStyle="1" w:styleId="E3Heading1">
    <w:name w:val="E3 Heading 1"/>
    <w:basedOn w:val="Normal"/>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861BDE"/>
    <w:rPr>
      <w:rFonts w:asciiTheme="majorHAnsi" w:eastAsiaTheme="majorEastAsia" w:hAnsiTheme="majorHAnsi" w:cstheme="majorBidi"/>
      <w:b/>
      <w:bCs/>
      <w:sz w:val="26"/>
      <w:szCs w:val="26"/>
    </w:rPr>
  </w:style>
  <w:style w:type="paragraph" w:customStyle="1" w:styleId="E3Heading2">
    <w:name w:val="E3 Heading 2"/>
    <w:basedOn w:val="Heading2"/>
    <w:next w:val="Normal"/>
    <w:rsid w:val="00F77881"/>
  </w:style>
  <w:style w:type="character" w:customStyle="1" w:styleId="Heading3Char">
    <w:name w:val="Heading 3 Char"/>
    <w:basedOn w:val="DefaultParagraphFont"/>
    <w:link w:val="Heading3"/>
    <w:uiPriority w:val="9"/>
    <w:rsid w:val="00861BDE"/>
    <w:rPr>
      <w:rFonts w:asciiTheme="majorHAnsi" w:eastAsiaTheme="majorEastAsia" w:hAnsiTheme="majorHAnsi" w:cstheme="majorBidi"/>
      <w:b/>
      <w:bCs/>
    </w:rPr>
  </w:style>
  <w:style w:type="paragraph" w:customStyle="1" w:styleId="E3Heading3">
    <w:name w:val="E3 Heading 3"/>
    <w:basedOn w:val="Heading3"/>
    <w:next w:val="Normal"/>
    <w:rsid w:val="00F77881"/>
    <w:rPr>
      <w:sz w:val="19"/>
    </w:rPr>
  </w:style>
  <w:style w:type="character" w:customStyle="1" w:styleId="Heading4Char">
    <w:name w:val="Heading 4 Char"/>
    <w:basedOn w:val="DefaultParagraphFont"/>
    <w:link w:val="Heading4"/>
    <w:uiPriority w:val="9"/>
    <w:rsid w:val="00861BDE"/>
    <w:rPr>
      <w:rFonts w:asciiTheme="majorHAnsi" w:eastAsiaTheme="majorEastAsia" w:hAnsiTheme="majorHAnsi" w:cstheme="majorBidi"/>
      <w:b/>
      <w:bCs/>
      <w:i/>
      <w:iCs/>
    </w:rPr>
  </w:style>
  <w:style w:type="paragraph" w:customStyle="1" w:styleId="E3Heading4">
    <w:name w:val="E3 Heading 4"/>
    <w:basedOn w:val="Heading4"/>
    <w:rsid w:val="006715E4"/>
  </w:style>
  <w:style w:type="paragraph" w:styleId="ListBullet">
    <w:name w:val="List Bullet"/>
    <w:basedOn w:val="Normal"/>
    <w:rsid w:val="006715E4"/>
    <w:pPr>
      <w:numPr>
        <w:numId w:val="2"/>
      </w:numPr>
      <w:contextualSpacing/>
    </w:pPr>
  </w:style>
  <w:style w:type="paragraph" w:customStyle="1" w:styleId="E3SubBullets">
    <w:name w:val="E3 Sub Bullets"/>
    <w:basedOn w:val="ListBullet"/>
    <w:rsid w:val="00284ABD"/>
    <w:pPr>
      <w:ind w:left="488" w:hanging="244"/>
    </w:pPr>
  </w:style>
  <w:style w:type="paragraph" w:styleId="Subtitle">
    <w:name w:val="Subtitle"/>
    <w:basedOn w:val="Normal"/>
    <w:next w:val="Normal"/>
    <w:link w:val="SubtitleChar"/>
    <w:uiPriority w:val="11"/>
    <w:qFormat/>
    <w:rsid w:val="00861B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1BDE"/>
    <w:rPr>
      <w:rFonts w:asciiTheme="majorHAnsi" w:eastAsiaTheme="majorEastAsia" w:hAnsiTheme="majorHAnsi" w:cstheme="majorBidi"/>
      <w:i/>
      <w:iCs/>
      <w:spacing w:val="13"/>
      <w:sz w:val="24"/>
      <w:szCs w:val="24"/>
    </w:rPr>
  </w:style>
  <w:style w:type="paragraph" w:customStyle="1" w:styleId="E3Subtitle">
    <w:name w:val="E3 Sub title"/>
    <w:rsid w:val="00675EFD"/>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Normal"/>
    <w:next w:val="Normal"/>
    <w:link w:val="TitleChar"/>
    <w:uiPriority w:val="10"/>
    <w:qFormat/>
    <w:rsid w:val="00861B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BDE"/>
    <w:rPr>
      <w:rFonts w:asciiTheme="majorHAnsi" w:eastAsiaTheme="majorEastAsia" w:hAnsiTheme="majorHAnsi" w:cstheme="majorBidi"/>
      <w:spacing w:val="5"/>
      <w:sz w:val="52"/>
      <w:szCs w:val="5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link w:val="Footer"/>
    <w:uiPriority w:val="99"/>
    <w:rsid w:val="006715E4"/>
    <w:rPr>
      <w:rFonts w:ascii="Helvetica" w:eastAsia="Cambria" w:hAnsi="Helvetica" w:cs="Times New Roman"/>
      <w:b/>
      <w:sz w:val="16"/>
      <w:szCs w:val="24"/>
    </w:rPr>
  </w:style>
  <w:style w:type="character" w:styleId="FootnoteReference">
    <w:name w:val="footnote reference"/>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link w:val="Header"/>
    <w:uiPriority w:val="99"/>
    <w:rsid w:val="006715E4"/>
    <w:rPr>
      <w:rFonts w:ascii="Georgia" w:eastAsia="Cambria" w:hAnsi="Georgia" w:cs="Times New Roman"/>
      <w:sz w:val="19"/>
      <w:szCs w:val="24"/>
    </w:rPr>
  </w:style>
  <w:style w:type="character" w:styleId="Hyperlink">
    <w:name w:val="Hyperlink"/>
    <w:uiPriority w:val="99"/>
    <w:unhideWhenUsed/>
    <w:rsid w:val="006715E4"/>
    <w:rPr>
      <w:color w:val="0000FF"/>
      <w:u w:val="single"/>
    </w:rPr>
  </w:style>
  <w:style w:type="character" w:styleId="PageNumber">
    <w:name w:val="page number"/>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pPr>
    <w:rPr>
      <w:rFonts w:ascii="Helvetica" w:hAnsi="Helvetica"/>
      <w:b/>
      <w:caps/>
    </w:rPr>
  </w:style>
  <w:style w:type="paragraph" w:styleId="TOC2">
    <w:name w:val="toc 2"/>
    <w:basedOn w:val="Normal"/>
    <w:next w:val="Normal"/>
    <w:autoRedefine/>
    <w:uiPriority w:val="39"/>
    <w:rsid w:val="006715E4"/>
    <w:pPr>
      <w:widowControl w:val="0"/>
      <w:spacing w:after="0"/>
      <w:ind w:left="200"/>
    </w:p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ind w:left="660"/>
    </w:pPr>
    <w:rPr>
      <w:rFonts w:ascii="Calibri" w:eastAsia="Times New Roman" w:hAnsi="Calibri"/>
    </w:rPr>
  </w:style>
  <w:style w:type="paragraph" w:styleId="TOC5">
    <w:name w:val="toc 5"/>
    <w:basedOn w:val="Normal"/>
    <w:next w:val="Normal"/>
    <w:autoRedefine/>
    <w:uiPriority w:val="39"/>
    <w:unhideWhenUsed/>
    <w:rsid w:val="006715E4"/>
    <w:pPr>
      <w:spacing w:after="100"/>
      <w:ind w:left="880"/>
    </w:pPr>
    <w:rPr>
      <w:rFonts w:ascii="Calibri" w:eastAsia="Times New Roman" w:hAnsi="Calibri"/>
    </w:rPr>
  </w:style>
  <w:style w:type="paragraph" w:styleId="TOC6">
    <w:name w:val="toc 6"/>
    <w:basedOn w:val="Normal"/>
    <w:next w:val="Normal"/>
    <w:autoRedefine/>
    <w:uiPriority w:val="39"/>
    <w:unhideWhenUsed/>
    <w:rsid w:val="006715E4"/>
    <w:pPr>
      <w:spacing w:after="100"/>
      <w:ind w:left="1100"/>
    </w:pPr>
    <w:rPr>
      <w:rFonts w:ascii="Calibri" w:eastAsia="Times New Roman" w:hAnsi="Calibri"/>
    </w:rPr>
  </w:style>
  <w:style w:type="paragraph" w:styleId="TOC7">
    <w:name w:val="toc 7"/>
    <w:basedOn w:val="Normal"/>
    <w:next w:val="Normal"/>
    <w:autoRedefine/>
    <w:uiPriority w:val="39"/>
    <w:unhideWhenUsed/>
    <w:rsid w:val="006715E4"/>
    <w:pPr>
      <w:spacing w:after="100"/>
      <w:ind w:left="1320"/>
    </w:pPr>
    <w:rPr>
      <w:rFonts w:ascii="Calibri" w:eastAsia="Times New Roman" w:hAnsi="Calibri"/>
    </w:rPr>
  </w:style>
  <w:style w:type="paragraph" w:styleId="TOC8">
    <w:name w:val="toc 8"/>
    <w:basedOn w:val="Normal"/>
    <w:next w:val="Normal"/>
    <w:autoRedefine/>
    <w:uiPriority w:val="39"/>
    <w:unhideWhenUsed/>
    <w:rsid w:val="006715E4"/>
    <w:pPr>
      <w:spacing w:after="100"/>
      <w:ind w:left="1540"/>
    </w:pPr>
    <w:rPr>
      <w:rFonts w:ascii="Calibri" w:eastAsia="Times New Roman" w:hAnsi="Calibri"/>
    </w:rPr>
  </w:style>
  <w:style w:type="paragraph" w:styleId="TOC9">
    <w:name w:val="toc 9"/>
    <w:basedOn w:val="Normal"/>
    <w:next w:val="Normal"/>
    <w:autoRedefine/>
    <w:uiPriority w:val="39"/>
    <w:unhideWhenUsed/>
    <w:rsid w:val="006715E4"/>
    <w:pPr>
      <w:spacing w:after="100"/>
      <w:ind w:left="1760"/>
    </w:pPr>
    <w:rPr>
      <w:rFonts w:ascii="Calibri" w:eastAsia="Times New Roman" w:hAnsi="Calibri"/>
    </w:rPr>
  </w:style>
  <w:style w:type="paragraph" w:styleId="IntenseQuote">
    <w:name w:val="Intense Quote"/>
    <w:basedOn w:val="Normal"/>
    <w:next w:val="Normal"/>
    <w:link w:val="IntenseQuoteChar"/>
    <w:uiPriority w:val="30"/>
    <w:qFormat/>
    <w:rsid w:val="00861BDE"/>
    <w:pPr>
      <w:pBdr>
        <w:bottom w:val="single" w:sz="4" w:space="1" w:color="auto"/>
      </w:pBdr>
      <w:spacing w:before="200" w:after="280"/>
      <w:ind w:left="1008" w:right="1152"/>
      <w:jc w:val="both"/>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861BDE"/>
    <w:rPr>
      <w:b/>
      <w:bCs/>
      <w:i/>
      <w:iCs/>
    </w:rPr>
  </w:style>
  <w:style w:type="character" w:styleId="IntenseEmphasis">
    <w:name w:val="Intense Emphasis"/>
    <w:uiPriority w:val="21"/>
    <w:qFormat/>
    <w:rsid w:val="00861BDE"/>
    <w:rPr>
      <w:b/>
      <w:bCs/>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E6B3E"/>
    <w:rPr>
      <w:rFonts w:ascii="Tahoma" w:eastAsia="Cambria" w:hAnsi="Tahoma" w:cs="Tahoma"/>
      <w:sz w:val="16"/>
      <w:szCs w:val="16"/>
    </w:rPr>
  </w:style>
  <w:style w:type="paragraph" w:customStyle="1" w:styleId="E3TableTitles">
    <w:name w:val="E3 Table Titles"/>
    <w:rsid w:val="006227CC"/>
    <w:pPr>
      <w:spacing w:after="120"/>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861BDE"/>
    <w:pPr>
      <w:outlineLvl w:val="9"/>
    </w:pPr>
    <w:rPr>
      <w:lang w:bidi="en-US"/>
    </w:rPr>
  </w:style>
  <w:style w:type="paragraph" w:customStyle="1" w:styleId="E3Figuretitles">
    <w:name w:val="E3 Figure titles"/>
    <w:rsid w:val="00BD0CDF"/>
    <w:rPr>
      <w:rFonts w:ascii="Georgia" w:eastAsia="Cambria" w:hAnsi="Georgia"/>
      <w:b/>
      <w:bCs/>
      <w:sz w:val="18"/>
      <w:lang w:val="en-US" w:eastAsia="en-US"/>
    </w:rPr>
  </w:style>
  <w:style w:type="paragraph" w:customStyle="1" w:styleId="E3Caption">
    <w:name w:val="E3 Caption"/>
    <w:basedOn w:val="Caption"/>
    <w:rsid w:val="00E638F7"/>
    <w:pPr>
      <w:spacing w:before="60" w:after="120"/>
    </w:pPr>
  </w:style>
  <w:style w:type="paragraph" w:customStyle="1" w:styleId="E3SubSubBullets">
    <w:name w:val="E3 Sub Sub Bullets"/>
    <w:basedOn w:val="E3SubBullets"/>
    <w:rsid w:val="00FA6763"/>
    <w:pPr>
      <w:numPr>
        <w:numId w:val="4"/>
      </w:numPr>
    </w:pPr>
  </w:style>
  <w:style w:type="paragraph" w:customStyle="1" w:styleId="E3MainIntro">
    <w:name w:val="E3 Main Intro"/>
    <w:basedOn w:val="Normal"/>
    <w:rsid w:val="00CD2ACD"/>
    <w:rPr>
      <w:rFonts w:ascii="Helvetica" w:hAnsi="Helvetica"/>
    </w:rPr>
  </w:style>
  <w:style w:type="paragraph" w:customStyle="1" w:styleId="E3BodyText">
    <w:name w:val="E3 Body Text"/>
    <w:basedOn w:val="Normal"/>
    <w:rsid w:val="001763D9"/>
  </w:style>
  <w:style w:type="paragraph" w:customStyle="1" w:styleId="Bullet">
    <w:name w:val="Bullet"/>
    <w:aliases w:val="b"/>
    <w:basedOn w:val="Normal"/>
    <w:link w:val="BulletChar"/>
    <w:rsid w:val="00846668"/>
    <w:pPr>
      <w:numPr>
        <w:numId w:val="5"/>
      </w:numPr>
      <w:spacing w:before="120" w:after="240" w:line="240" w:lineRule="auto"/>
    </w:pPr>
    <w:rPr>
      <w:rFonts w:ascii="Arial" w:eastAsia="Times New Roman" w:hAnsi="Arial"/>
      <w:sz w:val="24"/>
      <w:szCs w:val="20"/>
    </w:rPr>
  </w:style>
  <w:style w:type="paragraph" w:customStyle="1" w:styleId="Dash">
    <w:name w:val="Dash"/>
    <w:basedOn w:val="Normal"/>
    <w:rsid w:val="00846668"/>
    <w:pPr>
      <w:numPr>
        <w:ilvl w:val="1"/>
        <w:numId w:val="5"/>
      </w:numPr>
      <w:spacing w:before="120" w:after="240" w:line="240" w:lineRule="auto"/>
    </w:pPr>
    <w:rPr>
      <w:rFonts w:ascii="Arial" w:eastAsia="Times New Roman" w:hAnsi="Arial"/>
      <w:sz w:val="24"/>
      <w:szCs w:val="20"/>
    </w:rPr>
  </w:style>
  <w:style w:type="paragraph" w:customStyle="1" w:styleId="DoubleDot">
    <w:name w:val="Double Dot"/>
    <w:basedOn w:val="Normal"/>
    <w:rsid w:val="00846668"/>
    <w:pPr>
      <w:numPr>
        <w:ilvl w:val="2"/>
        <w:numId w:val="5"/>
      </w:numPr>
      <w:spacing w:before="120" w:after="240" w:line="240" w:lineRule="auto"/>
    </w:pPr>
    <w:rPr>
      <w:rFonts w:ascii="Arial" w:eastAsia="Times New Roman" w:hAnsi="Arial"/>
      <w:sz w:val="24"/>
      <w:szCs w:val="20"/>
    </w:rPr>
  </w:style>
  <w:style w:type="character" w:customStyle="1" w:styleId="BulletChar">
    <w:name w:val="Bullet Char"/>
    <w:aliases w:val="b Char"/>
    <w:link w:val="Bullet"/>
    <w:locked/>
    <w:rsid w:val="00846668"/>
    <w:rPr>
      <w:rFonts w:ascii="Arial" w:eastAsia="Times New Roman" w:hAnsi="Arial"/>
      <w:sz w:val="24"/>
    </w:rPr>
  </w:style>
  <w:style w:type="table" w:customStyle="1" w:styleId="LightShading1">
    <w:name w:val="Light Shading1"/>
    <w:basedOn w:val="TableNormal"/>
    <w:uiPriority w:val="60"/>
    <w:rsid w:val="00ED11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43067F"/>
    <w:pPr>
      <w:spacing w:after="113" w:line="278" w:lineRule="auto"/>
    </w:pPr>
    <w:rPr>
      <w:rFonts w:ascii="Georgia" w:hAnsi="Georgia"/>
      <w:b/>
      <w:bCs/>
    </w:rPr>
  </w:style>
  <w:style w:type="character" w:customStyle="1" w:styleId="CommentSubjectChar">
    <w:name w:val="Comment Subject Char"/>
    <w:link w:val="CommentSubject"/>
    <w:uiPriority w:val="99"/>
    <w:semiHidden/>
    <w:rsid w:val="0043067F"/>
    <w:rPr>
      <w:rFonts w:ascii="Georgia" w:eastAsia="Cambria" w:hAnsi="Georgia" w:cs="Times New Roman"/>
      <w:b/>
      <w:bCs/>
      <w:sz w:val="20"/>
      <w:szCs w:val="20"/>
      <w:lang w:val="en-AU" w:eastAsia="en-US"/>
    </w:rPr>
  </w:style>
  <w:style w:type="character" w:styleId="FollowedHyperlink">
    <w:name w:val="FollowedHyperlink"/>
    <w:uiPriority w:val="99"/>
    <w:semiHidden/>
    <w:unhideWhenUsed/>
    <w:rsid w:val="00746728"/>
    <w:rPr>
      <w:color w:val="800080"/>
      <w:u w:val="single"/>
    </w:rPr>
  </w:style>
  <w:style w:type="paragraph" w:styleId="ListParagraph">
    <w:name w:val="List Paragraph"/>
    <w:basedOn w:val="Normal"/>
    <w:uiPriority w:val="34"/>
    <w:qFormat/>
    <w:rsid w:val="00861BDE"/>
    <w:pPr>
      <w:ind w:left="720"/>
      <w:contextualSpacing/>
    </w:pPr>
  </w:style>
  <w:style w:type="paragraph" w:styleId="NormalWeb">
    <w:name w:val="Normal (Web)"/>
    <w:basedOn w:val="Normal"/>
    <w:uiPriority w:val="99"/>
    <w:semiHidden/>
    <w:unhideWhenUsed/>
    <w:rsid w:val="00EE6704"/>
    <w:pPr>
      <w:spacing w:before="100" w:beforeAutospacing="1" w:after="100" w:afterAutospacing="1" w:line="240" w:lineRule="auto"/>
    </w:pPr>
    <w:rPr>
      <w:rFonts w:ascii="Times" w:eastAsia="Times New Roman" w:hAnsi="Times"/>
      <w:sz w:val="20"/>
      <w:szCs w:val="20"/>
    </w:rPr>
  </w:style>
  <w:style w:type="paragraph" w:customStyle="1" w:styleId="ColorfulList-Accent11">
    <w:name w:val="Colorful List - Accent 11"/>
    <w:basedOn w:val="Normal"/>
    <w:uiPriority w:val="34"/>
    <w:rsid w:val="00EE6704"/>
    <w:pPr>
      <w:spacing w:after="0" w:line="240" w:lineRule="auto"/>
      <w:ind w:left="720"/>
      <w:contextualSpacing/>
    </w:pPr>
    <w:rPr>
      <w:rFonts w:ascii="Calibri" w:eastAsia="Calibri" w:hAnsi="Calibri" w:cs="Calibri"/>
      <w:sz w:val="24"/>
    </w:rPr>
  </w:style>
  <w:style w:type="paragraph" w:styleId="NoSpacing">
    <w:name w:val="No Spacing"/>
    <w:basedOn w:val="Normal"/>
    <w:uiPriority w:val="1"/>
    <w:qFormat/>
    <w:rsid w:val="00861BDE"/>
    <w:pPr>
      <w:spacing w:after="0" w:line="240" w:lineRule="auto"/>
    </w:pPr>
  </w:style>
  <w:style w:type="character" w:styleId="LineNumber">
    <w:name w:val="line number"/>
    <w:basedOn w:val="DefaultParagraphFont"/>
    <w:uiPriority w:val="99"/>
    <w:semiHidden/>
    <w:unhideWhenUsed/>
    <w:rsid w:val="009770D6"/>
  </w:style>
  <w:style w:type="character" w:customStyle="1" w:styleId="Heading5Char">
    <w:name w:val="Heading 5 Char"/>
    <w:basedOn w:val="DefaultParagraphFont"/>
    <w:link w:val="Heading5"/>
    <w:uiPriority w:val="9"/>
    <w:semiHidden/>
    <w:rsid w:val="00861B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1B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1B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1B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1BDE"/>
    <w:rPr>
      <w:rFonts w:asciiTheme="majorHAnsi" w:eastAsiaTheme="majorEastAsia" w:hAnsiTheme="majorHAnsi" w:cstheme="majorBidi"/>
      <w:i/>
      <w:iCs/>
      <w:spacing w:val="5"/>
      <w:sz w:val="20"/>
      <w:szCs w:val="20"/>
    </w:rPr>
  </w:style>
  <w:style w:type="character" w:styleId="Strong">
    <w:name w:val="Strong"/>
    <w:uiPriority w:val="22"/>
    <w:qFormat/>
    <w:rsid w:val="00861BDE"/>
    <w:rPr>
      <w:b/>
      <w:bCs/>
    </w:rPr>
  </w:style>
  <w:style w:type="character" w:styleId="Emphasis">
    <w:name w:val="Emphasis"/>
    <w:uiPriority w:val="20"/>
    <w:qFormat/>
    <w:rsid w:val="00861BDE"/>
    <w:rPr>
      <w:b/>
      <w:bCs/>
      <w:i/>
      <w:iCs/>
      <w:spacing w:val="10"/>
      <w:bdr w:val="none" w:sz="0" w:space="0" w:color="auto"/>
      <w:shd w:val="clear" w:color="auto" w:fill="auto"/>
    </w:rPr>
  </w:style>
  <w:style w:type="paragraph" w:styleId="Quote">
    <w:name w:val="Quote"/>
    <w:basedOn w:val="Normal"/>
    <w:next w:val="Normal"/>
    <w:link w:val="QuoteChar"/>
    <w:uiPriority w:val="29"/>
    <w:qFormat/>
    <w:rsid w:val="00861BDE"/>
    <w:pPr>
      <w:spacing w:before="200" w:after="0"/>
      <w:ind w:left="360" w:right="360"/>
    </w:pPr>
    <w:rPr>
      <w:i/>
      <w:iCs/>
    </w:rPr>
  </w:style>
  <w:style w:type="character" w:customStyle="1" w:styleId="QuoteChar">
    <w:name w:val="Quote Char"/>
    <w:basedOn w:val="DefaultParagraphFont"/>
    <w:link w:val="Quote"/>
    <w:uiPriority w:val="29"/>
    <w:rsid w:val="00861BDE"/>
    <w:rPr>
      <w:i/>
      <w:iCs/>
    </w:rPr>
  </w:style>
  <w:style w:type="character" w:styleId="SubtleEmphasis">
    <w:name w:val="Subtle Emphasis"/>
    <w:uiPriority w:val="19"/>
    <w:qFormat/>
    <w:rsid w:val="00861BDE"/>
    <w:rPr>
      <w:i/>
      <w:iCs/>
    </w:rPr>
  </w:style>
  <w:style w:type="character" w:styleId="SubtleReference">
    <w:name w:val="Subtle Reference"/>
    <w:uiPriority w:val="31"/>
    <w:qFormat/>
    <w:rsid w:val="00861BDE"/>
    <w:rPr>
      <w:smallCaps/>
    </w:rPr>
  </w:style>
  <w:style w:type="character" w:styleId="IntenseReference">
    <w:name w:val="Intense Reference"/>
    <w:uiPriority w:val="32"/>
    <w:qFormat/>
    <w:rsid w:val="00861BDE"/>
    <w:rPr>
      <w:smallCaps/>
      <w:spacing w:val="5"/>
      <w:u w:val="single"/>
    </w:rPr>
  </w:style>
  <w:style w:type="character" w:styleId="BookTitle">
    <w:name w:val="Book Title"/>
    <w:uiPriority w:val="33"/>
    <w:qFormat/>
    <w:rsid w:val="00861BDE"/>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667">
      <w:bodyDiv w:val="1"/>
      <w:marLeft w:val="0"/>
      <w:marRight w:val="0"/>
      <w:marTop w:val="0"/>
      <w:marBottom w:val="0"/>
      <w:divBdr>
        <w:top w:val="none" w:sz="0" w:space="0" w:color="auto"/>
        <w:left w:val="none" w:sz="0" w:space="0" w:color="auto"/>
        <w:bottom w:val="none" w:sz="0" w:space="0" w:color="auto"/>
        <w:right w:val="none" w:sz="0" w:space="0" w:color="auto"/>
      </w:divBdr>
    </w:div>
    <w:div w:id="72051366">
      <w:bodyDiv w:val="1"/>
      <w:marLeft w:val="0"/>
      <w:marRight w:val="0"/>
      <w:marTop w:val="0"/>
      <w:marBottom w:val="0"/>
      <w:divBdr>
        <w:top w:val="none" w:sz="0" w:space="0" w:color="auto"/>
        <w:left w:val="none" w:sz="0" w:space="0" w:color="auto"/>
        <w:bottom w:val="none" w:sz="0" w:space="0" w:color="auto"/>
        <w:right w:val="none" w:sz="0" w:space="0" w:color="auto"/>
      </w:divBdr>
    </w:div>
    <w:div w:id="83190924">
      <w:bodyDiv w:val="1"/>
      <w:marLeft w:val="0"/>
      <w:marRight w:val="0"/>
      <w:marTop w:val="0"/>
      <w:marBottom w:val="0"/>
      <w:divBdr>
        <w:top w:val="none" w:sz="0" w:space="0" w:color="auto"/>
        <w:left w:val="none" w:sz="0" w:space="0" w:color="auto"/>
        <w:bottom w:val="none" w:sz="0" w:space="0" w:color="auto"/>
        <w:right w:val="none" w:sz="0" w:space="0" w:color="auto"/>
      </w:divBdr>
    </w:div>
    <w:div w:id="121071266">
      <w:bodyDiv w:val="1"/>
      <w:marLeft w:val="0"/>
      <w:marRight w:val="0"/>
      <w:marTop w:val="0"/>
      <w:marBottom w:val="0"/>
      <w:divBdr>
        <w:top w:val="none" w:sz="0" w:space="0" w:color="auto"/>
        <w:left w:val="none" w:sz="0" w:space="0" w:color="auto"/>
        <w:bottom w:val="none" w:sz="0" w:space="0" w:color="auto"/>
        <w:right w:val="none" w:sz="0" w:space="0" w:color="auto"/>
      </w:divBdr>
    </w:div>
    <w:div w:id="138889713">
      <w:bodyDiv w:val="1"/>
      <w:marLeft w:val="0"/>
      <w:marRight w:val="0"/>
      <w:marTop w:val="0"/>
      <w:marBottom w:val="0"/>
      <w:divBdr>
        <w:top w:val="none" w:sz="0" w:space="0" w:color="auto"/>
        <w:left w:val="none" w:sz="0" w:space="0" w:color="auto"/>
        <w:bottom w:val="none" w:sz="0" w:space="0" w:color="auto"/>
        <w:right w:val="none" w:sz="0" w:space="0" w:color="auto"/>
      </w:divBdr>
    </w:div>
    <w:div w:id="294330924">
      <w:bodyDiv w:val="1"/>
      <w:marLeft w:val="0"/>
      <w:marRight w:val="0"/>
      <w:marTop w:val="0"/>
      <w:marBottom w:val="0"/>
      <w:divBdr>
        <w:top w:val="none" w:sz="0" w:space="0" w:color="auto"/>
        <w:left w:val="none" w:sz="0" w:space="0" w:color="auto"/>
        <w:bottom w:val="none" w:sz="0" w:space="0" w:color="auto"/>
        <w:right w:val="none" w:sz="0" w:space="0" w:color="auto"/>
      </w:divBdr>
    </w:div>
    <w:div w:id="425426481">
      <w:bodyDiv w:val="1"/>
      <w:marLeft w:val="0"/>
      <w:marRight w:val="0"/>
      <w:marTop w:val="0"/>
      <w:marBottom w:val="0"/>
      <w:divBdr>
        <w:top w:val="none" w:sz="0" w:space="0" w:color="auto"/>
        <w:left w:val="none" w:sz="0" w:space="0" w:color="auto"/>
        <w:bottom w:val="none" w:sz="0" w:space="0" w:color="auto"/>
        <w:right w:val="none" w:sz="0" w:space="0" w:color="auto"/>
      </w:divBdr>
    </w:div>
    <w:div w:id="494298903">
      <w:bodyDiv w:val="1"/>
      <w:marLeft w:val="0"/>
      <w:marRight w:val="0"/>
      <w:marTop w:val="0"/>
      <w:marBottom w:val="0"/>
      <w:divBdr>
        <w:top w:val="none" w:sz="0" w:space="0" w:color="auto"/>
        <w:left w:val="none" w:sz="0" w:space="0" w:color="auto"/>
        <w:bottom w:val="none" w:sz="0" w:space="0" w:color="auto"/>
        <w:right w:val="none" w:sz="0" w:space="0" w:color="auto"/>
      </w:divBdr>
    </w:div>
    <w:div w:id="505824823">
      <w:bodyDiv w:val="1"/>
      <w:marLeft w:val="0"/>
      <w:marRight w:val="0"/>
      <w:marTop w:val="0"/>
      <w:marBottom w:val="0"/>
      <w:divBdr>
        <w:top w:val="none" w:sz="0" w:space="0" w:color="auto"/>
        <w:left w:val="none" w:sz="0" w:space="0" w:color="auto"/>
        <w:bottom w:val="none" w:sz="0" w:space="0" w:color="auto"/>
        <w:right w:val="none" w:sz="0" w:space="0" w:color="auto"/>
      </w:divBdr>
    </w:div>
    <w:div w:id="524366386">
      <w:bodyDiv w:val="1"/>
      <w:marLeft w:val="0"/>
      <w:marRight w:val="0"/>
      <w:marTop w:val="0"/>
      <w:marBottom w:val="0"/>
      <w:divBdr>
        <w:top w:val="none" w:sz="0" w:space="0" w:color="auto"/>
        <w:left w:val="none" w:sz="0" w:space="0" w:color="auto"/>
        <w:bottom w:val="none" w:sz="0" w:space="0" w:color="auto"/>
        <w:right w:val="none" w:sz="0" w:space="0" w:color="auto"/>
      </w:divBdr>
    </w:div>
    <w:div w:id="718474604">
      <w:bodyDiv w:val="1"/>
      <w:marLeft w:val="0"/>
      <w:marRight w:val="0"/>
      <w:marTop w:val="0"/>
      <w:marBottom w:val="0"/>
      <w:divBdr>
        <w:top w:val="none" w:sz="0" w:space="0" w:color="auto"/>
        <w:left w:val="none" w:sz="0" w:space="0" w:color="auto"/>
        <w:bottom w:val="none" w:sz="0" w:space="0" w:color="auto"/>
        <w:right w:val="none" w:sz="0" w:space="0" w:color="auto"/>
      </w:divBdr>
    </w:div>
    <w:div w:id="734007816">
      <w:bodyDiv w:val="1"/>
      <w:marLeft w:val="0"/>
      <w:marRight w:val="0"/>
      <w:marTop w:val="0"/>
      <w:marBottom w:val="0"/>
      <w:divBdr>
        <w:top w:val="none" w:sz="0" w:space="0" w:color="auto"/>
        <w:left w:val="none" w:sz="0" w:space="0" w:color="auto"/>
        <w:bottom w:val="none" w:sz="0" w:space="0" w:color="auto"/>
        <w:right w:val="none" w:sz="0" w:space="0" w:color="auto"/>
      </w:divBdr>
      <w:divsChild>
        <w:div w:id="628826950">
          <w:marLeft w:val="547"/>
          <w:marRight w:val="0"/>
          <w:marTop w:val="106"/>
          <w:marBottom w:val="0"/>
          <w:divBdr>
            <w:top w:val="none" w:sz="0" w:space="0" w:color="auto"/>
            <w:left w:val="none" w:sz="0" w:space="0" w:color="auto"/>
            <w:bottom w:val="none" w:sz="0" w:space="0" w:color="auto"/>
            <w:right w:val="none" w:sz="0" w:space="0" w:color="auto"/>
          </w:divBdr>
        </w:div>
        <w:div w:id="913199418">
          <w:marLeft w:val="547"/>
          <w:marRight w:val="0"/>
          <w:marTop w:val="106"/>
          <w:marBottom w:val="0"/>
          <w:divBdr>
            <w:top w:val="none" w:sz="0" w:space="0" w:color="auto"/>
            <w:left w:val="none" w:sz="0" w:space="0" w:color="auto"/>
            <w:bottom w:val="none" w:sz="0" w:space="0" w:color="auto"/>
            <w:right w:val="none" w:sz="0" w:space="0" w:color="auto"/>
          </w:divBdr>
        </w:div>
      </w:divsChild>
    </w:div>
    <w:div w:id="992442115">
      <w:bodyDiv w:val="1"/>
      <w:marLeft w:val="0"/>
      <w:marRight w:val="0"/>
      <w:marTop w:val="0"/>
      <w:marBottom w:val="0"/>
      <w:divBdr>
        <w:top w:val="none" w:sz="0" w:space="0" w:color="auto"/>
        <w:left w:val="none" w:sz="0" w:space="0" w:color="auto"/>
        <w:bottom w:val="none" w:sz="0" w:space="0" w:color="auto"/>
        <w:right w:val="none" w:sz="0" w:space="0" w:color="auto"/>
      </w:divBdr>
    </w:div>
    <w:div w:id="1068918884">
      <w:bodyDiv w:val="1"/>
      <w:marLeft w:val="0"/>
      <w:marRight w:val="0"/>
      <w:marTop w:val="0"/>
      <w:marBottom w:val="0"/>
      <w:divBdr>
        <w:top w:val="none" w:sz="0" w:space="0" w:color="auto"/>
        <w:left w:val="none" w:sz="0" w:space="0" w:color="auto"/>
        <w:bottom w:val="none" w:sz="0" w:space="0" w:color="auto"/>
        <w:right w:val="none" w:sz="0" w:space="0" w:color="auto"/>
      </w:divBdr>
    </w:div>
    <w:div w:id="1192499588">
      <w:bodyDiv w:val="1"/>
      <w:marLeft w:val="0"/>
      <w:marRight w:val="0"/>
      <w:marTop w:val="0"/>
      <w:marBottom w:val="0"/>
      <w:divBdr>
        <w:top w:val="none" w:sz="0" w:space="0" w:color="auto"/>
        <w:left w:val="none" w:sz="0" w:space="0" w:color="auto"/>
        <w:bottom w:val="none" w:sz="0" w:space="0" w:color="auto"/>
        <w:right w:val="none" w:sz="0" w:space="0" w:color="auto"/>
      </w:divBdr>
    </w:div>
    <w:div w:id="1351490206">
      <w:bodyDiv w:val="1"/>
      <w:marLeft w:val="0"/>
      <w:marRight w:val="0"/>
      <w:marTop w:val="0"/>
      <w:marBottom w:val="0"/>
      <w:divBdr>
        <w:top w:val="none" w:sz="0" w:space="0" w:color="auto"/>
        <w:left w:val="none" w:sz="0" w:space="0" w:color="auto"/>
        <w:bottom w:val="none" w:sz="0" w:space="0" w:color="auto"/>
        <w:right w:val="none" w:sz="0" w:space="0" w:color="auto"/>
      </w:divBdr>
    </w:div>
    <w:div w:id="1368944217">
      <w:bodyDiv w:val="1"/>
      <w:marLeft w:val="0"/>
      <w:marRight w:val="0"/>
      <w:marTop w:val="0"/>
      <w:marBottom w:val="0"/>
      <w:divBdr>
        <w:top w:val="none" w:sz="0" w:space="0" w:color="auto"/>
        <w:left w:val="none" w:sz="0" w:space="0" w:color="auto"/>
        <w:bottom w:val="none" w:sz="0" w:space="0" w:color="auto"/>
        <w:right w:val="none" w:sz="0" w:space="0" w:color="auto"/>
      </w:divBdr>
    </w:div>
    <w:div w:id="1580753526">
      <w:bodyDiv w:val="1"/>
      <w:marLeft w:val="0"/>
      <w:marRight w:val="0"/>
      <w:marTop w:val="0"/>
      <w:marBottom w:val="0"/>
      <w:divBdr>
        <w:top w:val="none" w:sz="0" w:space="0" w:color="auto"/>
        <w:left w:val="none" w:sz="0" w:space="0" w:color="auto"/>
        <w:bottom w:val="none" w:sz="0" w:space="0" w:color="auto"/>
        <w:right w:val="none" w:sz="0" w:space="0" w:color="auto"/>
      </w:divBdr>
    </w:div>
    <w:div w:id="1750612675">
      <w:bodyDiv w:val="1"/>
      <w:marLeft w:val="0"/>
      <w:marRight w:val="0"/>
      <w:marTop w:val="0"/>
      <w:marBottom w:val="0"/>
      <w:divBdr>
        <w:top w:val="none" w:sz="0" w:space="0" w:color="auto"/>
        <w:left w:val="none" w:sz="0" w:space="0" w:color="auto"/>
        <w:bottom w:val="none" w:sz="0" w:space="0" w:color="auto"/>
        <w:right w:val="none" w:sz="0" w:space="0" w:color="auto"/>
      </w:divBdr>
    </w:div>
    <w:div w:id="1752576536">
      <w:bodyDiv w:val="1"/>
      <w:marLeft w:val="0"/>
      <w:marRight w:val="0"/>
      <w:marTop w:val="0"/>
      <w:marBottom w:val="0"/>
      <w:divBdr>
        <w:top w:val="none" w:sz="0" w:space="0" w:color="auto"/>
        <w:left w:val="none" w:sz="0" w:space="0" w:color="auto"/>
        <w:bottom w:val="none" w:sz="0" w:space="0" w:color="auto"/>
        <w:right w:val="none" w:sz="0" w:space="0" w:color="auto"/>
      </w:divBdr>
    </w:div>
    <w:div w:id="1765571130">
      <w:bodyDiv w:val="1"/>
      <w:marLeft w:val="0"/>
      <w:marRight w:val="0"/>
      <w:marTop w:val="0"/>
      <w:marBottom w:val="0"/>
      <w:divBdr>
        <w:top w:val="none" w:sz="0" w:space="0" w:color="auto"/>
        <w:left w:val="none" w:sz="0" w:space="0" w:color="auto"/>
        <w:bottom w:val="none" w:sz="0" w:space="0" w:color="auto"/>
        <w:right w:val="none" w:sz="0" w:space="0" w:color="auto"/>
      </w:divBdr>
    </w:div>
    <w:div w:id="1891921199">
      <w:bodyDiv w:val="1"/>
      <w:marLeft w:val="0"/>
      <w:marRight w:val="0"/>
      <w:marTop w:val="0"/>
      <w:marBottom w:val="0"/>
      <w:divBdr>
        <w:top w:val="none" w:sz="0" w:space="0" w:color="auto"/>
        <w:left w:val="none" w:sz="0" w:space="0" w:color="auto"/>
        <w:bottom w:val="none" w:sz="0" w:space="0" w:color="auto"/>
        <w:right w:val="none" w:sz="0" w:space="0" w:color="auto"/>
      </w:divBdr>
    </w:div>
    <w:div w:id="1931306652">
      <w:bodyDiv w:val="1"/>
      <w:marLeft w:val="0"/>
      <w:marRight w:val="0"/>
      <w:marTop w:val="0"/>
      <w:marBottom w:val="0"/>
      <w:divBdr>
        <w:top w:val="none" w:sz="0" w:space="0" w:color="auto"/>
        <w:left w:val="none" w:sz="0" w:space="0" w:color="auto"/>
        <w:bottom w:val="none" w:sz="0" w:space="0" w:color="auto"/>
        <w:right w:val="none" w:sz="0" w:space="0" w:color="auto"/>
      </w:divBdr>
    </w:div>
    <w:div w:id="2034919019">
      <w:bodyDiv w:val="1"/>
      <w:marLeft w:val="0"/>
      <w:marRight w:val="0"/>
      <w:marTop w:val="0"/>
      <w:marBottom w:val="0"/>
      <w:divBdr>
        <w:top w:val="none" w:sz="0" w:space="0" w:color="auto"/>
        <w:left w:val="none" w:sz="0" w:space="0" w:color="auto"/>
        <w:bottom w:val="none" w:sz="0" w:space="0" w:color="auto"/>
        <w:right w:val="none" w:sz="0" w:space="0" w:color="auto"/>
      </w:divBdr>
    </w:div>
    <w:div w:id="20613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rating.gov.au/document/gems-compliance-policy-e3-program" TargetMode="External"/><Relationship Id="rId13" Type="http://schemas.openxmlformats.org/officeDocument/2006/relationships/hyperlink" Target="http://www.energyrating.gov.au/suppliers/compli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3.Compliance@environment.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energyrating.gov.au/comparator/product_typ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ergyrating.gov.au/suppliers/registr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lii.edu.au/au/legis/cth/consol_act/ca191482/s4aa.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6D3ED-790B-427C-B651-965E1165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D9ACE0E.dotm</Template>
  <TotalTime>0</TotalTime>
  <Pages>6</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14345</CharactersWithSpaces>
  <SharedDoc>false</SharedDoc>
  <HLinks>
    <vt:vector size="30" baseType="variant">
      <vt:variant>
        <vt:i4>4063274</vt:i4>
      </vt:variant>
      <vt:variant>
        <vt:i4>9</vt:i4>
      </vt:variant>
      <vt:variant>
        <vt:i4>0</vt:i4>
      </vt:variant>
      <vt:variant>
        <vt:i4>5</vt:i4>
      </vt:variant>
      <vt:variant>
        <vt:lpwstr>http://www.energyrating.gov.au/</vt:lpwstr>
      </vt:variant>
      <vt:variant>
        <vt:lpwstr/>
      </vt:variant>
      <vt:variant>
        <vt:i4>4063274</vt:i4>
      </vt:variant>
      <vt:variant>
        <vt:i4>6</vt:i4>
      </vt:variant>
      <vt:variant>
        <vt:i4>0</vt:i4>
      </vt:variant>
      <vt:variant>
        <vt:i4>5</vt:i4>
      </vt:variant>
      <vt:variant>
        <vt:lpwstr>http://www.energyrating.gov.au/</vt:lpwstr>
      </vt:variant>
      <vt:variant>
        <vt:lpwstr/>
      </vt:variant>
      <vt:variant>
        <vt:i4>4718600</vt:i4>
      </vt:variant>
      <vt:variant>
        <vt:i4>0</vt:i4>
      </vt:variant>
      <vt:variant>
        <vt:i4>0</vt:i4>
      </vt:variant>
      <vt:variant>
        <vt:i4>5</vt:i4>
      </vt:variant>
      <vt:variant>
        <vt:lpwstr>http://www.climatechange.gov.au/~/media/about/accountability/service-charter.pdf</vt:lpwstr>
      </vt:variant>
      <vt:variant>
        <vt:lpwstr/>
      </vt:variant>
      <vt:variant>
        <vt:i4>7995516</vt:i4>
      </vt:variant>
      <vt:variant>
        <vt:i4>3</vt:i4>
      </vt:variant>
      <vt:variant>
        <vt:i4>0</vt:i4>
      </vt:variant>
      <vt:variant>
        <vt:i4>5</vt:i4>
      </vt:variant>
      <vt:variant>
        <vt:lpwstr>http://www.ag.gov.au/Fraudcontrol/Pages/HeadsofCommonwealthOperationalLawEnforcementAgencies(HOCOLEA).aspx</vt:lpwstr>
      </vt:variant>
      <vt:variant>
        <vt:lpwstr/>
      </vt:variant>
      <vt:variant>
        <vt:i4>2752565</vt:i4>
      </vt:variant>
      <vt:variant>
        <vt:i4>0</vt:i4>
      </vt:variant>
      <vt:variant>
        <vt:i4>0</vt:i4>
      </vt:variant>
      <vt:variant>
        <vt:i4>5</vt:i4>
      </vt:variant>
      <vt:variant>
        <vt:lpwstr>http://www.ag.gov.au/Fraudcontrol/Pages/CommonwealthFraudControlGuidelines2011.aspx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2018-01-31T01:16:00Z</dcterms:created>
  <dcterms:modified xsi:type="dcterms:W3CDTF">2018-02-13T21:19:00Z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