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A2054" w14:textId="77777777" w:rsidR="000365A0" w:rsidRDefault="000365A0" w:rsidP="005F3F14">
      <w:pPr>
        <w:pStyle w:val="ReportTitle"/>
        <w:spacing w:before="2600" w:after="2600"/>
        <w:jc w:val="center"/>
      </w:pPr>
    </w:p>
    <w:p w14:paraId="6AE6F2E8" w14:textId="77777777" w:rsidR="006E46A6" w:rsidRDefault="005F3F14" w:rsidP="006E46A6">
      <w:pPr>
        <w:pStyle w:val="ReportTitle"/>
        <w:spacing w:before="2600" w:after="2600"/>
        <w:jc w:val="center"/>
      </w:pPr>
      <w:bookmarkStart w:id="0" w:name="_GoBack"/>
      <w:r>
        <w:t>User Guide on 2020 energy metrics in AS/NZS 1158 lighting for roads and public spaces</w:t>
      </w:r>
      <w:bookmarkEnd w:id="0"/>
    </w:p>
    <w:p w14:paraId="0D201B4D" w14:textId="77777777" w:rsidR="006E46A6" w:rsidRDefault="006E46A6" w:rsidP="005F3F14">
      <w:pPr>
        <w:pStyle w:val="ReportTitle"/>
        <w:spacing w:before="2600" w:after="2600"/>
        <w:jc w:val="center"/>
      </w:pPr>
    </w:p>
    <w:p w14:paraId="498F0D5F" w14:textId="77777777" w:rsidR="00F9299B" w:rsidRDefault="00F9299B" w:rsidP="00C129E9">
      <w:pPr>
        <w:pStyle w:val="CopyrightInfo"/>
      </w:pPr>
    </w:p>
    <w:p w14:paraId="1000DCB1" w14:textId="77777777" w:rsidR="00F9299B" w:rsidRDefault="00F9299B" w:rsidP="00C129E9">
      <w:pPr>
        <w:pStyle w:val="CopyrightInfo"/>
      </w:pPr>
    </w:p>
    <w:p w14:paraId="0C1F2A5A" w14:textId="77777777" w:rsidR="00F9299B" w:rsidRDefault="00F9299B" w:rsidP="00C129E9">
      <w:pPr>
        <w:pStyle w:val="CopyrightInfo"/>
      </w:pPr>
    </w:p>
    <w:p w14:paraId="22A86D14" w14:textId="77777777" w:rsidR="00F9299B" w:rsidRDefault="00F9299B" w:rsidP="00C129E9">
      <w:pPr>
        <w:pStyle w:val="CopyrightInfo"/>
      </w:pPr>
    </w:p>
    <w:p w14:paraId="326D5C74" w14:textId="77777777" w:rsidR="00F9299B" w:rsidRDefault="00F9299B" w:rsidP="00C129E9">
      <w:pPr>
        <w:pStyle w:val="CopyrightInfo"/>
      </w:pPr>
    </w:p>
    <w:p w14:paraId="28808CDB" w14:textId="77777777" w:rsidR="00F9299B" w:rsidRDefault="00F9299B" w:rsidP="00C129E9">
      <w:pPr>
        <w:pStyle w:val="CopyrightInfo"/>
      </w:pPr>
    </w:p>
    <w:p w14:paraId="66A888AB" w14:textId="77777777" w:rsidR="00F9299B" w:rsidRDefault="00F9299B" w:rsidP="00C129E9">
      <w:pPr>
        <w:pStyle w:val="CopyrightInfo"/>
      </w:pPr>
    </w:p>
    <w:p w14:paraId="6A900387" w14:textId="77777777" w:rsidR="00F9299B" w:rsidRDefault="00F9299B" w:rsidP="00C129E9">
      <w:pPr>
        <w:pStyle w:val="CopyrightInfo"/>
      </w:pPr>
    </w:p>
    <w:p w14:paraId="31E4321A" w14:textId="77777777" w:rsidR="00F9299B" w:rsidRDefault="00F9299B" w:rsidP="00C129E9">
      <w:pPr>
        <w:pStyle w:val="CopyrightInfo"/>
      </w:pPr>
    </w:p>
    <w:p w14:paraId="1A62E40B" w14:textId="77777777" w:rsidR="00F9299B" w:rsidRDefault="00F9299B" w:rsidP="00C129E9">
      <w:pPr>
        <w:pStyle w:val="CopyrightInfo"/>
      </w:pPr>
    </w:p>
    <w:p w14:paraId="5ED3303E" w14:textId="77777777" w:rsidR="00F9299B" w:rsidRDefault="00F9299B" w:rsidP="00C129E9">
      <w:pPr>
        <w:pStyle w:val="CopyrightInfo"/>
      </w:pPr>
    </w:p>
    <w:p w14:paraId="66EEA7D7" w14:textId="77777777" w:rsidR="00F9299B" w:rsidRDefault="00F9299B" w:rsidP="00C129E9">
      <w:pPr>
        <w:pStyle w:val="CopyrightInfo"/>
      </w:pPr>
    </w:p>
    <w:p w14:paraId="6CA9E3D4" w14:textId="77777777" w:rsidR="00F9299B" w:rsidRDefault="00F9299B" w:rsidP="00C129E9">
      <w:pPr>
        <w:pStyle w:val="CopyrightInfo"/>
      </w:pPr>
    </w:p>
    <w:p w14:paraId="4C963E77" w14:textId="77777777" w:rsidR="00F9299B" w:rsidRDefault="00F9299B" w:rsidP="00C129E9">
      <w:pPr>
        <w:pStyle w:val="CopyrightInfo"/>
      </w:pPr>
    </w:p>
    <w:p w14:paraId="3AE73E36" w14:textId="77777777" w:rsidR="00F9299B" w:rsidRDefault="00F9299B" w:rsidP="00C129E9">
      <w:pPr>
        <w:pStyle w:val="CopyrightInfo"/>
      </w:pPr>
    </w:p>
    <w:p w14:paraId="544A756F" w14:textId="77777777" w:rsidR="00F9299B" w:rsidRDefault="00F9299B" w:rsidP="00C129E9">
      <w:pPr>
        <w:pStyle w:val="CopyrightInfo"/>
      </w:pPr>
    </w:p>
    <w:p w14:paraId="4787F8AB" w14:textId="77777777" w:rsidR="00F9299B" w:rsidRDefault="00F9299B" w:rsidP="00C129E9">
      <w:pPr>
        <w:pStyle w:val="CopyrightInfo"/>
      </w:pPr>
    </w:p>
    <w:p w14:paraId="465B8DB0" w14:textId="77777777" w:rsidR="00F9299B" w:rsidRDefault="00F9299B" w:rsidP="00C129E9">
      <w:pPr>
        <w:pStyle w:val="CopyrightInfo"/>
      </w:pPr>
    </w:p>
    <w:p w14:paraId="41578369" w14:textId="77777777" w:rsidR="00F9299B" w:rsidRDefault="00F9299B" w:rsidP="00C129E9">
      <w:pPr>
        <w:pStyle w:val="CopyrightInfo"/>
      </w:pPr>
    </w:p>
    <w:p w14:paraId="55593141" w14:textId="77777777" w:rsidR="00F9299B" w:rsidRDefault="00F9299B" w:rsidP="00C129E9">
      <w:pPr>
        <w:pStyle w:val="CopyrightInfo"/>
      </w:pPr>
    </w:p>
    <w:p w14:paraId="668B6077" w14:textId="77777777" w:rsidR="00F9299B" w:rsidRDefault="00F9299B" w:rsidP="00C129E9">
      <w:pPr>
        <w:pStyle w:val="CopyrightInfo"/>
      </w:pPr>
    </w:p>
    <w:p w14:paraId="45025F5E" w14:textId="77777777" w:rsidR="00620351" w:rsidRDefault="00620351" w:rsidP="00C129E9">
      <w:pPr>
        <w:pStyle w:val="CopyrightInfo"/>
      </w:pPr>
      <w:r>
        <w:t>This work is licensed under the Creative Commons Attribution 3.0 Australia Licence. To view a copy of this license, visit the creative commons website.</w:t>
      </w:r>
    </w:p>
    <w:p w14:paraId="07117E88" w14:textId="77777777" w:rsidR="00620351" w:rsidRDefault="00620351" w:rsidP="00C129E9">
      <w:pPr>
        <w:pStyle w:val="CopyrightInfo"/>
      </w:pPr>
      <w:r>
        <w:t xml:space="preserve">The </w:t>
      </w:r>
      <w:r w:rsidR="00A45585">
        <w:t xml:space="preserve">Department of </w:t>
      </w:r>
      <w:r w:rsidR="005F3F14">
        <w:t xml:space="preserve">Industry, Science, Energy and Resources </w:t>
      </w:r>
      <w:r>
        <w:t>on behalf of the Equipment Energy Efficiency Program asserts the right to be recognised as author of the original material in the following manner:</w:t>
      </w:r>
    </w:p>
    <w:p w14:paraId="452FD1AA" w14:textId="77777777" w:rsidR="00620351" w:rsidRDefault="00620351" w:rsidP="00C129E9">
      <w:pPr>
        <w:pStyle w:val="CopyrightInfo"/>
      </w:pPr>
      <w:r>
        <w:rPr>
          <w:noProof/>
          <w:lang w:eastAsia="en-AU"/>
        </w:rPr>
        <w:drawing>
          <wp:inline distT="0" distB="0" distL="0" distR="0" wp14:anchorId="28C4ABAF" wp14:editId="1BFB1F89">
            <wp:extent cx="1227455" cy="431800"/>
            <wp:effectExtent l="0" t="0" r="0" b="6350"/>
            <wp:docPr id="4" name="Picture 4" descr="D:\DP Plus\Docs\Giraffe\Environment\NatHERS, E3\sourcedocs\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P Plus\Docs\Giraffe\Environment\NatHERS, E3\sourcedocs\b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7455" cy="431800"/>
                    </a:xfrm>
                    <a:prstGeom prst="rect">
                      <a:avLst/>
                    </a:prstGeom>
                    <a:noFill/>
                    <a:ln>
                      <a:noFill/>
                    </a:ln>
                  </pic:spPr>
                </pic:pic>
              </a:graphicData>
            </a:graphic>
          </wp:inline>
        </w:drawing>
      </w:r>
    </w:p>
    <w:p w14:paraId="568B51AE" w14:textId="3CC67977" w:rsidR="00620351" w:rsidRDefault="00620351" w:rsidP="00C129E9">
      <w:pPr>
        <w:pStyle w:val="CopyrightInfo"/>
      </w:pPr>
      <w:r>
        <w:t xml:space="preserve">© Commonwealth of Australia (Department of </w:t>
      </w:r>
      <w:r w:rsidR="005F3F14">
        <w:t xml:space="preserve">Industry, Science, Energy </w:t>
      </w:r>
      <w:r w:rsidR="00A45585">
        <w:t xml:space="preserve">and </w:t>
      </w:r>
      <w:r w:rsidR="005F3F14">
        <w:t>Resources</w:t>
      </w:r>
      <w:r>
        <w:t xml:space="preserve">) </w:t>
      </w:r>
      <w:r w:rsidR="00AB69D2">
        <w:t>2021</w:t>
      </w:r>
      <w:r>
        <w:t>.</w:t>
      </w:r>
    </w:p>
    <w:p w14:paraId="252E8D71" w14:textId="16091AEF" w:rsidR="00AB69D2" w:rsidRDefault="00EC4B69" w:rsidP="00C129E9">
      <w:pPr>
        <w:pStyle w:val="CopyrightInfo"/>
      </w:pPr>
      <w:r>
        <w:t xml:space="preserve">This report was prepared by Strategic Lighting </w:t>
      </w:r>
      <w:r w:rsidRPr="00994F77">
        <w:t xml:space="preserve">Partners </w:t>
      </w:r>
      <w:r w:rsidRPr="00994F77">
        <w:rPr>
          <w:rFonts w:asciiTheme="minorHAnsi" w:hAnsiTheme="minorHAnsi" w:cstheme="minorHAnsi"/>
          <w:szCs w:val="16"/>
        </w:rPr>
        <w:t xml:space="preserve">for </w:t>
      </w:r>
      <w:r w:rsidR="00994F77" w:rsidRPr="00994F77">
        <w:rPr>
          <w:rFonts w:asciiTheme="minorHAnsi" w:hAnsiTheme="minorHAnsi" w:cstheme="minorHAnsi"/>
          <w:szCs w:val="16"/>
        </w:rPr>
        <w:t>t</w:t>
      </w:r>
      <w:r w:rsidR="00994F77" w:rsidRPr="00994F77">
        <w:rPr>
          <w:rFonts w:asciiTheme="minorHAnsi" w:hAnsiTheme="minorHAnsi" w:cstheme="minorHAnsi"/>
          <w:szCs w:val="16"/>
          <w:shd w:val="clear" w:color="auto" w:fill="FFFFFF"/>
        </w:rPr>
        <w:t>he Equipment </w:t>
      </w:r>
      <w:r w:rsidR="00994F77" w:rsidRPr="00994F77">
        <w:rPr>
          <w:rStyle w:val="Emphasis"/>
          <w:rFonts w:asciiTheme="minorHAnsi" w:hAnsiTheme="minorHAnsi" w:cstheme="minorHAnsi"/>
          <w:bCs/>
          <w:i w:val="0"/>
          <w:iCs w:val="0"/>
          <w:szCs w:val="16"/>
          <w:shd w:val="clear" w:color="auto" w:fill="FFFFFF"/>
        </w:rPr>
        <w:t>Energy</w:t>
      </w:r>
      <w:r w:rsidR="00994F77" w:rsidRPr="00994F77">
        <w:rPr>
          <w:rFonts w:asciiTheme="minorHAnsi" w:hAnsiTheme="minorHAnsi" w:cstheme="minorHAnsi"/>
          <w:szCs w:val="16"/>
          <w:shd w:val="clear" w:color="auto" w:fill="FFFFFF"/>
        </w:rPr>
        <w:t> Efficiency (</w:t>
      </w:r>
      <w:r w:rsidR="00994F77" w:rsidRPr="00994F77">
        <w:rPr>
          <w:rStyle w:val="Emphasis"/>
          <w:rFonts w:asciiTheme="minorHAnsi" w:hAnsiTheme="minorHAnsi" w:cstheme="minorHAnsi"/>
          <w:bCs/>
          <w:i w:val="0"/>
          <w:iCs w:val="0"/>
          <w:szCs w:val="16"/>
          <w:shd w:val="clear" w:color="auto" w:fill="FFFFFF"/>
        </w:rPr>
        <w:t>E3</w:t>
      </w:r>
      <w:r w:rsidR="00994F77" w:rsidRPr="00994F77">
        <w:rPr>
          <w:rFonts w:asciiTheme="minorHAnsi" w:hAnsiTheme="minorHAnsi" w:cstheme="minorHAnsi"/>
          <w:szCs w:val="16"/>
          <w:shd w:val="clear" w:color="auto" w:fill="FFFFFF"/>
        </w:rPr>
        <w:t>) program.</w:t>
      </w:r>
      <w:r w:rsidR="00AB69D2">
        <w:rPr>
          <w:rFonts w:asciiTheme="minorHAnsi" w:hAnsiTheme="minorHAnsi" w:cstheme="minorHAnsi"/>
          <w:szCs w:val="16"/>
          <w:shd w:val="clear" w:color="auto" w:fill="FFFFFF"/>
        </w:rPr>
        <w:t xml:space="preserve"> This version has been updated to</w:t>
      </w:r>
      <w:r w:rsidR="000B772F">
        <w:rPr>
          <w:rFonts w:asciiTheme="minorHAnsi" w:hAnsiTheme="minorHAnsi" w:cstheme="minorHAnsi"/>
          <w:szCs w:val="16"/>
          <w:shd w:val="clear" w:color="auto" w:fill="FFFFFF"/>
        </w:rPr>
        <w:t xml:space="preserve"> amend wording throughout the document.</w:t>
      </w:r>
    </w:p>
    <w:p w14:paraId="39C961C5" w14:textId="77777777" w:rsidR="00620351" w:rsidRDefault="00620351" w:rsidP="00C129E9">
      <w:pPr>
        <w:pStyle w:val="CopyrightInfo"/>
      </w:pPr>
      <w:r>
        <w:t>The material in this publication is provided for general information only, and on the understanding that the Australian Government is</w:t>
      </w:r>
      <w:r w:rsidR="00A828AE">
        <w:t xml:space="preserve"> not</w:t>
      </w:r>
      <w:r>
        <w:t xml:space="preserve"> providing professional advice. Before any action or decision is taken on the basis of this material the reader should obtain appropriate independent professional advice.</w:t>
      </w:r>
    </w:p>
    <w:p w14:paraId="7DB88912" w14:textId="77777777" w:rsidR="00620351" w:rsidRDefault="00620351" w:rsidP="00C129E9">
      <w:pPr>
        <w:pStyle w:val="CopyrightInfo"/>
      </w:pPr>
      <w:r>
        <w:t>This document is available at the Energy Rating website.</w:t>
      </w:r>
    </w:p>
    <w:p w14:paraId="2B6F74D2" w14:textId="77777777" w:rsidR="00620351" w:rsidRDefault="00620351" w:rsidP="00C129E9">
      <w:pPr>
        <w:pStyle w:val="CopyrightInfo"/>
      </w:pPr>
      <w:r>
        <w:t>While reasonable efforts have been made to ensure that the contents of this publication are factually correct, E3 does not accept responsibility for the accuracy or completeness of the content, and shall not be liable for any loss or damage that may be occasioned directly or indirectly through the use of, or reliance on, the contents of this publication.</w:t>
      </w:r>
    </w:p>
    <w:p w14:paraId="6DE16ABD" w14:textId="77777777" w:rsidR="00620351" w:rsidRDefault="00620351" w:rsidP="00FD791E">
      <w:pPr>
        <w:sectPr w:rsidR="00620351" w:rsidSect="009E5B62">
          <w:footerReference w:type="default" r:id="rId13"/>
          <w:headerReference w:type="first" r:id="rId14"/>
          <w:footerReference w:type="first" r:id="rId15"/>
          <w:pgSz w:w="11906" w:h="16838" w:code="9"/>
          <w:pgMar w:top="2795" w:right="1138" w:bottom="1699" w:left="1138" w:header="576" w:footer="720" w:gutter="0"/>
          <w:pgNumType w:fmt="lowerRoman"/>
          <w:cols w:space="708"/>
          <w:titlePg/>
          <w:docGrid w:linePitch="360"/>
        </w:sectPr>
      </w:pPr>
    </w:p>
    <w:p w14:paraId="7BC8B550" w14:textId="77777777" w:rsidR="005F3F14" w:rsidRDefault="005F3F14" w:rsidP="005F3F14">
      <w:pPr>
        <w:pStyle w:val="Title"/>
        <w:rPr>
          <w:rFonts w:asciiTheme="minorHAnsi" w:hAnsiTheme="minorHAnsi" w:cstheme="minorHAnsi"/>
          <w:sz w:val="52"/>
          <w:szCs w:val="52"/>
        </w:rPr>
      </w:pPr>
      <w:r>
        <w:rPr>
          <w:rFonts w:asciiTheme="minorHAnsi" w:hAnsiTheme="minorHAnsi" w:cstheme="minorHAnsi"/>
          <w:sz w:val="52"/>
          <w:szCs w:val="52"/>
        </w:rPr>
        <w:lastRenderedPageBreak/>
        <w:t xml:space="preserve">User Guide on </w:t>
      </w:r>
      <w:r w:rsidRPr="00CA3F4C">
        <w:rPr>
          <w:rFonts w:asciiTheme="minorHAnsi" w:hAnsiTheme="minorHAnsi" w:cstheme="minorHAnsi"/>
          <w:sz w:val="52"/>
          <w:szCs w:val="52"/>
        </w:rPr>
        <w:t xml:space="preserve">2020 </w:t>
      </w:r>
      <w:r w:rsidRPr="009B3E31">
        <w:rPr>
          <w:rFonts w:asciiTheme="minorHAnsi" w:hAnsiTheme="minorHAnsi" w:cstheme="minorHAnsi"/>
          <w:sz w:val="52"/>
          <w:szCs w:val="52"/>
        </w:rPr>
        <w:t xml:space="preserve">energy metrics in </w:t>
      </w:r>
      <w:r w:rsidRPr="0026680E">
        <w:rPr>
          <w:rFonts w:asciiTheme="minorHAnsi" w:hAnsiTheme="minorHAnsi" w:cstheme="minorHAnsi"/>
          <w:sz w:val="52"/>
          <w:szCs w:val="52"/>
        </w:rPr>
        <w:t xml:space="preserve">AS/NZS 1158 </w:t>
      </w:r>
      <w:r w:rsidRPr="00700FA4">
        <w:rPr>
          <w:rFonts w:asciiTheme="minorHAnsi" w:hAnsiTheme="minorHAnsi" w:cstheme="minorHAnsi"/>
          <w:sz w:val="52"/>
          <w:szCs w:val="52"/>
        </w:rPr>
        <w:t>Lighting for roads and public spaces</w:t>
      </w:r>
    </w:p>
    <w:p w14:paraId="5DE0CA8D" w14:textId="77777777" w:rsidR="005F3F14" w:rsidRPr="009B3E31" w:rsidRDefault="005F3F14" w:rsidP="005F3F14"/>
    <w:p w14:paraId="13C7733E" w14:textId="77777777" w:rsidR="005F3F14" w:rsidRPr="00BC12F2" w:rsidRDefault="005F3F14" w:rsidP="005F3F14">
      <w:pPr>
        <w:pStyle w:val="Title"/>
        <w:rPr>
          <w:rFonts w:asciiTheme="minorHAnsi" w:hAnsiTheme="minorHAnsi" w:cstheme="minorHAnsi"/>
          <w:sz w:val="36"/>
          <w:szCs w:val="36"/>
        </w:rPr>
      </w:pPr>
      <w:r w:rsidRPr="00BC12F2">
        <w:rPr>
          <w:rFonts w:asciiTheme="minorHAnsi" w:hAnsiTheme="minorHAnsi" w:cstheme="minorHAnsi"/>
          <w:sz w:val="36"/>
          <w:szCs w:val="36"/>
        </w:rPr>
        <w:t>Department of Industry, Science, Energy and Resources</w:t>
      </w:r>
      <w:r>
        <w:rPr>
          <w:rFonts w:asciiTheme="minorHAnsi" w:hAnsiTheme="minorHAnsi" w:cstheme="minorHAnsi"/>
          <w:sz w:val="36"/>
          <w:szCs w:val="36"/>
        </w:rPr>
        <w:t xml:space="preserve"> (DISER)</w:t>
      </w:r>
    </w:p>
    <w:p w14:paraId="0C008FF9" w14:textId="77777777" w:rsidR="00F9299B" w:rsidRDefault="00F9299B" w:rsidP="00F9299B"/>
    <w:p w14:paraId="3E3348EF" w14:textId="77777777" w:rsidR="005F3F14" w:rsidRPr="00280F28" w:rsidRDefault="005F3F14" w:rsidP="005F3F14">
      <w:pPr>
        <w:pStyle w:val="Heading1"/>
        <w:keepNext w:val="0"/>
        <w:keepLines w:val="0"/>
        <w:numPr>
          <w:ilvl w:val="0"/>
          <w:numId w:val="8"/>
        </w:numPr>
        <w:spacing w:before="240" w:after="80"/>
      </w:pPr>
      <w:r w:rsidRPr="00280F28">
        <w:t>Introduction</w:t>
      </w:r>
    </w:p>
    <w:p w14:paraId="5081BDFB" w14:textId="77777777" w:rsidR="005F3F14" w:rsidRPr="003177E0" w:rsidRDefault="005F3F14" w:rsidP="005F3F14">
      <w:r>
        <w:t>Over the last decade public lighting technology worldwide has advanced rapidly and can now achieve 50% to 90% energy reductions.  This has provided an opportunity to significantly reduce energy consumption, costs, and associated greenhouse gas emissions.</w:t>
      </w:r>
    </w:p>
    <w:p w14:paraId="1C623920" w14:textId="77777777" w:rsidR="005F3F14" w:rsidRDefault="005F3F14" w:rsidP="005F3F14">
      <w:r>
        <w:t xml:space="preserve">High performing LED luminaires can be combined with smart controls and their “Central Management System” (CMS).  This combination facilitates adaptive lighting and provides practical energy and economic benefits as well as community living improvements. </w:t>
      </w:r>
    </w:p>
    <w:p w14:paraId="7F364C86" w14:textId="77777777" w:rsidR="005F3F14" w:rsidRDefault="005F3F14" w:rsidP="005F3F14">
      <w:pPr>
        <w:pStyle w:val="Figure"/>
      </w:pPr>
      <w:r w:rsidRPr="00B43EE2">
        <w:drawing>
          <wp:inline distT="0" distB="0" distL="0" distR="0" wp14:anchorId="0BF57EC6" wp14:editId="640D27A7">
            <wp:extent cx="5694218" cy="553065"/>
            <wp:effectExtent l="0" t="0" r="0" b="6350"/>
            <wp:docPr id="2" name="Picture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461AE34-D41B-314C-8CC9-402758560675}"/>
                </a:ext>
              </a:extLst>
            </wp:docPr>
            <wp:cNvGraphicFramePr/>
            <a:graphic xmlns:a="http://schemas.openxmlformats.org/drawingml/2006/main">
              <a:graphicData uri="http://schemas.openxmlformats.org/drawingml/2006/picture">
                <pic:pic xmlns:pic="http://schemas.openxmlformats.org/drawingml/2006/picture">
                  <pic:nvPicPr>
                    <pic:cNvPr id="2" name="Picture 5">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6461AE34-D41B-314C-8CC9-402758560675}"/>
                        </a:ext>
                      </a:extLst>
                    </pic:cNvPr>
                    <pic:cNvPicPr/>
                  </pic:nvPicPr>
                  <pic:blipFill>
                    <a:blip r:embed="rId16" cstate="email">
                      <a:extLst>
                        <a:ext uri="{28A0092B-C50C-407E-A947-70E740481C1C}">
                          <a14:useLocalDpi xmlns:a14="http://schemas.microsoft.com/office/drawing/2010/main"/>
                        </a:ext>
                      </a:extLst>
                    </a:blip>
                    <a:stretch>
                      <a:fillRect/>
                    </a:stretch>
                  </pic:blipFill>
                  <pic:spPr bwMode="auto">
                    <a:xfrm>
                      <a:off x="0" y="0"/>
                      <a:ext cx="6289449" cy="610878"/>
                    </a:xfrm>
                    <a:prstGeom prst="rect">
                      <a:avLst/>
                    </a:prstGeom>
                    <a:ln>
                      <a:noFill/>
                    </a:ln>
                    <a:extLst>
                      <a:ext uri="{53640926-AAD7-44D8-BBD7-CCE9431645EC}">
                        <a14:shadowObscured xmlns:a14="http://schemas.microsoft.com/office/drawing/2010/main"/>
                      </a:ext>
                    </a:extLst>
                  </pic:spPr>
                </pic:pic>
              </a:graphicData>
            </a:graphic>
          </wp:inline>
        </w:drawing>
      </w:r>
    </w:p>
    <w:p w14:paraId="6122B0F5" w14:textId="77777777" w:rsidR="005F3F14" w:rsidRDefault="005F3F14" w:rsidP="005F3F14">
      <w:pPr>
        <w:pStyle w:val="Caption"/>
      </w:pPr>
      <w:r>
        <w:t xml:space="preserve">Figure </w:t>
      </w:r>
      <w:r w:rsidR="00D0375E">
        <w:rPr>
          <w:noProof/>
        </w:rPr>
        <w:fldChar w:fldCharType="begin"/>
      </w:r>
      <w:r w:rsidR="00D0375E">
        <w:rPr>
          <w:noProof/>
        </w:rPr>
        <w:instrText xml:space="preserve"> SEQ Figure \* ARABIC </w:instrText>
      </w:r>
      <w:r w:rsidR="00D0375E">
        <w:rPr>
          <w:noProof/>
        </w:rPr>
        <w:fldChar w:fldCharType="separate"/>
      </w:r>
      <w:r w:rsidR="00294748">
        <w:rPr>
          <w:noProof/>
        </w:rPr>
        <w:t>1</w:t>
      </w:r>
      <w:r w:rsidR="00D0375E">
        <w:rPr>
          <w:noProof/>
        </w:rPr>
        <w:fldChar w:fldCharType="end"/>
      </w:r>
      <w:r>
        <w:t xml:space="preserve">  </w:t>
      </w:r>
      <w:r w:rsidRPr="002F6728">
        <w:t>Historical development of Australian public lighting technologies</w:t>
      </w:r>
    </w:p>
    <w:p w14:paraId="0AEB7FA6" w14:textId="77777777" w:rsidR="005F3F14" w:rsidRDefault="005F3F14" w:rsidP="005F3F14">
      <w:r>
        <w:t>Unlike pre-2015 legacy technologies shown above in Figure 1, modern public lighting can be variable.  This delivers precisely adjustable lighting levels (and differing energy consumption) at selected time periods for greater efficiency and to improve public safety and amenity.</w:t>
      </w:r>
    </w:p>
    <w:p w14:paraId="078CB237" w14:textId="77777777" w:rsidR="005F3F14" w:rsidRPr="003C7A4E" w:rsidRDefault="005F3F14" w:rsidP="005F3F14">
      <w:r>
        <w:t xml:space="preserve">In 2020 </w:t>
      </w:r>
      <w:r w:rsidRPr="005B55B7">
        <w:rPr>
          <w:i/>
          <w:iCs/>
        </w:rPr>
        <w:t>AS/NZS 1158.3.1</w:t>
      </w:r>
      <w:r>
        <w:t xml:space="preserve"> </w:t>
      </w:r>
      <w:r w:rsidRPr="00BA26CD">
        <w:rPr>
          <w:i/>
          <w:iCs/>
        </w:rPr>
        <w:t xml:space="preserve">Lighting for roads and public spaces - Pedestrian area (Category P) lighting—Performance and design </w:t>
      </w:r>
      <w:r>
        <w:t xml:space="preserve">was updated.  The update included new performance quantification techniques for lighting design energy efficiency </w:t>
      </w:r>
      <w:r w:rsidRPr="003C7A4E">
        <w:t xml:space="preserve">based on international best practice.  </w:t>
      </w:r>
    </w:p>
    <w:p w14:paraId="3B9D9038" w14:textId="77777777" w:rsidR="005F3F14" w:rsidRDefault="005F3F14" w:rsidP="005F3F14">
      <w:r>
        <w:t xml:space="preserve">This User Guide </w:t>
      </w:r>
      <w:r w:rsidR="00FE54F8">
        <w:t xml:space="preserve">is intended to </w:t>
      </w:r>
      <w:r>
        <w:t>inform public lighting managers, advisors, and suppliers of the practical use of the new AS/NZS 1158 energy performance methods.  This will assist with design, procurement, management, and audit of public lighting schemes.</w:t>
      </w:r>
    </w:p>
    <w:p w14:paraId="26B27C94" w14:textId="77777777" w:rsidR="005F3F14" w:rsidRDefault="005F3F14" w:rsidP="005F3F14">
      <w:r>
        <w:t>The calculation methods used in the new AS/NZS 1158.3.1:2020 supplement lighting design requirements specified by the standard.  The methods are for use on paths, roads, streets, and area lighting for spaces such as outdoor car parks.  The methods accommodate both non-adaptive lighting as well as modern technologies that deliver adaptive lighting advantages.</w:t>
      </w:r>
    </w:p>
    <w:p w14:paraId="2861F124" w14:textId="77777777" w:rsidR="005F3F14" w:rsidRDefault="005F3F14" w:rsidP="005F3F14">
      <w:r>
        <w:t>The new AS</w:t>
      </w:r>
      <w:r w:rsidRPr="003C7A4E">
        <w:t xml:space="preserve">/NZS 1158.3.1:2020 standard includes the metrics of Power Density Indicator (PDI) and Annual Energy Consumption Indicator (AECI), methods to calculate them, and performance reporting requirements.  These are practical and informative tools to assess </w:t>
      </w:r>
      <w:r>
        <w:t>s</w:t>
      </w:r>
      <w:r w:rsidRPr="003C7A4E">
        <w:t xml:space="preserve">ystemic energy use to optimise the energy performance of new and existing public lighting schemes and for continuous improvement. </w:t>
      </w:r>
    </w:p>
    <w:p w14:paraId="506CAE78" w14:textId="77777777" w:rsidR="005F3F14" w:rsidRPr="000869BE" w:rsidRDefault="005F3F14" w:rsidP="00F9299B"/>
    <w:p w14:paraId="746E1ADD" w14:textId="77777777" w:rsidR="005F3F14" w:rsidRPr="00190F68" w:rsidRDefault="005F3F14" w:rsidP="005F3F14">
      <w:pPr>
        <w:pStyle w:val="Heading1"/>
        <w:keepNext w:val="0"/>
        <w:keepLines w:val="0"/>
        <w:numPr>
          <w:ilvl w:val="0"/>
          <w:numId w:val="8"/>
        </w:numPr>
        <w:spacing w:before="240" w:after="80"/>
      </w:pPr>
      <w:r w:rsidRPr="00190F68">
        <w:lastRenderedPageBreak/>
        <w:t>Adaptive Lighting for Public Lighting Energy Savings</w:t>
      </w:r>
    </w:p>
    <w:p w14:paraId="3F09985B" w14:textId="77777777" w:rsidR="005F3F14" w:rsidRPr="00220CB2" w:rsidRDefault="005F3F14" w:rsidP="005F3F14">
      <w:r>
        <w:t xml:space="preserve">With new equipment now available, public lighting can be variable rather than static as in the past.  Internationally, the use of public lighting is increasingly being used only where, when, and to what level, it is needed.   </w:t>
      </w:r>
    </w:p>
    <w:p w14:paraId="6E26AF80" w14:textId="77777777" w:rsidR="005F3F14" w:rsidRPr="000365A0" w:rsidRDefault="005F3F14" w:rsidP="005F3F14">
      <w:pPr>
        <w:rPr>
          <w:szCs w:val="22"/>
        </w:rPr>
      </w:pPr>
      <w:r>
        <w:t xml:space="preserve">For </w:t>
      </w:r>
      <w:r w:rsidRPr="000365A0">
        <w:rPr>
          <w:szCs w:val="22"/>
        </w:rPr>
        <w:t xml:space="preserve">example, lighting can be: </w:t>
      </w:r>
    </w:p>
    <w:p w14:paraId="5D27B689" w14:textId="157FD02D" w:rsidR="005F3F14" w:rsidRDefault="005A2B44" w:rsidP="005F3F14">
      <w:pPr>
        <w:pStyle w:val="ListParagraph"/>
        <w:numPr>
          <w:ilvl w:val="0"/>
          <w:numId w:val="16"/>
        </w:numPr>
        <w:rPr>
          <w:sz w:val="22"/>
          <w:szCs w:val="22"/>
        </w:rPr>
      </w:pPr>
      <w:r>
        <w:rPr>
          <w:sz w:val="22"/>
          <w:szCs w:val="22"/>
        </w:rPr>
        <w:t xml:space="preserve">Switched off or </w:t>
      </w:r>
      <w:r w:rsidR="005F3F14" w:rsidRPr="000365A0">
        <w:rPr>
          <w:sz w:val="22"/>
          <w:szCs w:val="22"/>
        </w:rPr>
        <w:t>dimmed at periods</w:t>
      </w:r>
      <w:r w:rsidR="00E36846">
        <w:rPr>
          <w:sz w:val="22"/>
          <w:szCs w:val="22"/>
        </w:rPr>
        <w:t xml:space="preserve"> </w:t>
      </w:r>
      <w:r w:rsidR="005F3F14" w:rsidRPr="000365A0">
        <w:rPr>
          <w:sz w:val="22"/>
          <w:szCs w:val="22"/>
        </w:rPr>
        <w:t xml:space="preserve"> </w:t>
      </w:r>
      <w:r w:rsidR="001927CC">
        <w:rPr>
          <w:sz w:val="22"/>
          <w:szCs w:val="22"/>
        </w:rPr>
        <w:t xml:space="preserve"> to a lower lighting </w:t>
      </w:r>
      <w:r w:rsidR="00B91070">
        <w:rPr>
          <w:sz w:val="22"/>
          <w:szCs w:val="22"/>
        </w:rPr>
        <w:t>sub</w:t>
      </w:r>
      <w:r w:rsidR="001927CC">
        <w:rPr>
          <w:sz w:val="22"/>
          <w:szCs w:val="22"/>
        </w:rPr>
        <w:t xml:space="preserve">category , </w:t>
      </w:r>
      <w:r w:rsidR="005F3F14" w:rsidRPr="000365A0">
        <w:rPr>
          <w:sz w:val="22"/>
          <w:szCs w:val="22"/>
        </w:rPr>
        <w:t xml:space="preserve">when vehicle or pedestrian activity is low; </w:t>
      </w:r>
    </w:p>
    <w:p w14:paraId="57929B7B" w14:textId="4093DCD8" w:rsidR="001927CC" w:rsidRPr="000365A0" w:rsidRDefault="001927CC" w:rsidP="005F3F14">
      <w:pPr>
        <w:pStyle w:val="ListParagraph"/>
        <w:numPr>
          <w:ilvl w:val="0"/>
          <w:numId w:val="16"/>
        </w:numPr>
        <w:rPr>
          <w:sz w:val="22"/>
          <w:szCs w:val="22"/>
        </w:rPr>
      </w:pPr>
      <w:r>
        <w:rPr>
          <w:sz w:val="22"/>
          <w:szCs w:val="22"/>
        </w:rPr>
        <w:t>brightened at periods to improve public safety or amenity; or</w:t>
      </w:r>
    </w:p>
    <w:p w14:paraId="2E63A53C" w14:textId="77777777" w:rsidR="005F3F14" w:rsidRPr="000365A0" w:rsidRDefault="005F3F14" w:rsidP="005F3F14">
      <w:pPr>
        <w:pStyle w:val="ListParagraph"/>
        <w:numPr>
          <w:ilvl w:val="0"/>
          <w:numId w:val="16"/>
        </w:numPr>
        <w:rPr>
          <w:sz w:val="22"/>
          <w:szCs w:val="22"/>
        </w:rPr>
      </w:pPr>
      <w:r w:rsidRPr="000365A0">
        <w:rPr>
          <w:sz w:val="22"/>
          <w:szCs w:val="22"/>
        </w:rPr>
        <w:t>brightened short-term if incident safety needs dictate; or</w:t>
      </w:r>
    </w:p>
    <w:p w14:paraId="3FC6C9AF" w14:textId="77777777" w:rsidR="005F3F14" w:rsidRDefault="005F3F14" w:rsidP="005F3F14">
      <w:pPr>
        <w:pStyle w:val="ListParagraph"/>
        <w:numPr>
          <w:ilvl w:val="0"/>
          <w:numId w:val="16"/>
        </w:numPr>
      </w:pPr>
      <w:proofErr w:type="gramStart"/>
      <w:r w:rsidRPr="000365A0">
        <w:rPr>
          <w:sz w:val="22"/>
          <w:szCs w:val="22"/>
        </w:rPr>
        <w:t>variable</w:t>
      </w:r>
      <w:proofErr w:type="gramEnd"/>
      <w:r w:rsidRPr="000365A0">
        <w:rPr>
          <w:sz w:val="22"/>
          <w:szCs w:val="22"/>
        </w:rPr>
        <w:t xml:space="preserve"> according to sensor detection of actual activity in real-time</w:t>
      </w:r>
      <w:r>
        <w:t xml:space="preserve">. </w:t>
      </w:r>
    </w:p>
    <w:p w14:paraId="48342513" w14:textId="77777777" w:rsidR="005F3F14" w:rsidRPr="00220CB2" w:rsidRDefault="005F3F14" w:rsidP="005F3F14">
      <w:r>
        <w:t>Regardless of use case, adaptive lighting must be used with appropriate risk management and in a way that recognises safety requirements.</w:t>
      </w:r>
    </w:p>
    <w:p w14:paraId="137F3654" w14:textId="77777777" w:rsidR="005F3F14" w:rsidRPr="00E30A46" w:rsidRDefault="005F3F14" w:rsidP="005F3F14">
      <w:pPr>
        <w:rPr>
          <w:color w:val="FF0000"/>
        </w:rPr>
      </w:pPr>
      <w:r>
        <w:t xml:space="preserve">Adaptive lighting techniques in the AS/NZS 1158 series include light adjustment techniques such as switching, dimming, brightening, trimming and </w:t>
      </w:r>
      <w:r w:rsidRPr="00E30A46">
        <w:t>constant light output (CLO). The control settings of a lighting scheme may change throughout the night and adapt to changes in vehicular, cyclist or pedestrian activity. Effectively, the settings need to meet the requirements of several lighting subcategories, each for different times.</w:t>
      </w:r>
      <w:r w:rsidR="00390564">
        <w:t xml:space="preserve"> A</w:t>
      </w:r>
      <w:r>
        <w:t>daptive lighting can be used in two ways:</w:t>
      </w:r>
    </w:p>
    <w:p w14:paraId="1253E1A0" w14:textId="350C7A37" w:rsidR="001927CC" w:rsidRPr="00AD5911" w:rsidRDefault="005F3F14" w:rsidP="008B67B8">
      <w:pPr>
        <w:pStyle w:val="ListParagraph"/>
        <w:numPr>
          <w:ilvl w:val="0"/>
          <w:numId w:val="15"/>
        </w:numPr>
        <w:rPr>
          <w:sz w:val="22"/>
          <w:szCs w:val="22"/>
        </w:rPr>
      </w:pPr>
      <w:r w:rsidRPr="000365A0">
        <w:rPr>
          <w:sz w:val="22"/>
          <w:szCs w:val="22"/>
        </w:rPr>
        <w:t xml:space="preserve">scheduled, to use planned </w:t>
      </w:r>
      <w:r w:rsidR="00F14E49">
        <w:rPr>
          <w:sz w:val="22"/>
          <w:szCs w:val="22"/>
        </w:rPr>
        <w:t>light levels</w:t>
      </w:r>
      <w:r w:rsidRPr="000365A0">
        <w:rPr>
          <w:sz w:val="22"/>
          <w:szCs w:val="22"/>
        </w:rPr>
        <w:t xml:space="preserve"> at specific times which are based on </w:t>
      </w:r>
      <w:r w:rsidR="001927CC">
        <w:rPr>
          <w:sz w:val="22"/>
          <w:szCs w:val="22"/>
        </w:rPr>
        <w:t>expected</w:t>
      </w:r>
      <w:r w:rsidR="008B67B8">
        <w:rPr>
          <w:sz w:val="22"/>
          <w:szCs w:val="22"/>
        </w:rPr>
        <w:t xml:space="preserve"> or</w:t>
      </w:r>
      <w:r w:rsidR="001927CC" w:rsidRPr="000365A0">
        <w:rPr>
          <w:sz w:val="22"/>
          <w:szCs w:val="22"/>
        </w:rPr>
        <w:t xml:space="preserve"> </w:t>
      </w:r>
      <w:r w:rsidRPr="000365A0">
        <w:rPr>
          <w:sz w:val="22"/>
          <w:szCs w:val="22"/>
        </w:rPr>
        <w:t>historic traffic activity patterns;  or</w:t>
      </w:r>
    </w:p>
    <w:p w14:paraId="370377F0" w14:textId="77777777" w:rsidR="005F3F14" w:rsidRPr="000365A0" w:rsidRDefault="005F3F14" w:rsidP="005F3F14">
      <w:pPr>
        <w:pStyle w:val="ListParagraph"/>
        <w:numPr>
          <w:ilvl w:val="0"/>
          <w:numId w:val="15"/>
        </w:numPr>
        <w:rPr>
          <w:sz w:val="22"/>
          <w:szCs w:val="22"/>
        </w:rPr>
      </w:pPr>
      <w:proofErr w:type="gramStart"/>
      <w:r w:rsidRPr="000365A0">
        <w:rPr>
          <w:sz w:val="22"/>
          <w:szCs w:val="22"/>
        </w:rPr>
        <w:t>light</w:t>
      </w:r>
      <w:proofErr w:type="gramEnd"/>
      <w:r w:rsidRPr="000365A0">
        <w:rPr>
          <w:sz w:val="22"/>
          <w:szCs w:val="22"/>
        </w:rPr>
        <w:t xml:space="preserve"> levels can be set using real-time presence sensors to detect the activity of prevailing pedestrian, cyclist or vehicular traffic.</w:t>
      </w:r>
    </w:p>
    <w:p w14:paraId="1B1D109A" w14:textId="7326911A" w:rsidR="005F3F14" w:rsidRDefault="005F3F14" w:rsidP="005F3F14">
      <w:r>
        <w:fldChar w:fldCharType="begin"/>
      </w:r>
      <w:r>
        <w:instrText xml:space="preserve"> REF _Ref51058151 \h </w:instrText>
      </w:r>
      <w:r>
        <w:fldChar w:fldCharType="separate"/>
      </w:r>
      <w:r w:rsidR="00294748" w:rsidRPr="00AD5911">
        <w:rPr>
          <w:b/>
        </w:rPr>
        <w:t xml:space="preserve">Figure </w:t>
      </w:r>
      <w:r w:rsidR="00294748">
        <w:rPr>
          <w:b/>
          <w:noProof/>
        </w:rPr>
        <w:t>2</w:t>
      </w:r>
      <w:r>
        <w:fldChar w:fldCharType="end"/>
      </w:r>
      <w:r>
        <w:t xml:space="preserve"> below shows three </w:t>
      </w:r>
      <w:r w:rsidR="00D2303E">
        <w:t xml:space="preserve">indicative </w:t>
      </w:r>
      <w:r>
        <w:t>examples of scheduled controls.  These are “operational profiles”.  The area-gaps (relative to the full-power business-as-usual operational profile) represent the energy savings of that profile.</w:t>
      </w:r>
      <w:bookmarkStart w:id="1" w:name="_Ref50736695"/>
    </w:p>
    <w:p w14:paraId="748464B3" w14:textId="74E286B6" w:rsidR="005F3F14" w:rsidRPr="00A41284" w:rsidRDefault="009D19F5" w:rsidP="00AD5911">
      <w:r>
        <w:rPr>
          <w:noProof/>
          <w:lang w:eastAsia="en-AU"/>
        </w:rPr>
        <w:drawing>
          <wp:inline distT="0" distB="0" distL="0" distR="0" wp14:anchorId="54E400A3" wp14:editId="684C8936">
            <wp:extent cx="6115050" cy="17087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images crop final.png"/>
                    <pic:cNvPicPr/>
                  </pic:nvPicPr>
                  <pic:blipFill>
                    <a:blip r:embed="rId17">
                      <a:extLst>
                        <a:ext uri="{28A0092B-C50C-407E-A947-70E740481C1C}">
                          <a14:useLocalDpi xmlns:a14="http://schemas.microsoft.com/office/drawing/2010/main" val="0"/>
                        </a:ext>
                      </a:extLst>
                    </a:blip>
                    <a:stretch>
                      <a:fillRect/>
                    </a:stretch>
                  </pic:blipFill>
                  <pic:spPr>
                    <a:xfrm>
                      <a:off x="0" y="0"/>
                      <a:ext cx="6115050" cy="1708785"/>
                    </a:xfrm>
                    <a:prstGeom prst="rect">
                      <a:avLst/>
                    </a:prstGeom>
                  </pic:spPr>
                </pic:pic>
              </a:graphicData>
            </a:graphic>
          </wp:inline>
        </w:drawing>
      </w:r>
      <w:bookmarkStart w:id="2" w:name="_Ref51058151"/>
      <w:r w:rsidR="005F3F14" w:rsidRPr="00AD5911">
        <w:rPr>
          <w:b/>
        </w:rPr>
        <w:t xml:space="preserve">Figure </w:t>
      </w:r>
      <w:r w:rsidR="00D0375E" w:rsidRPr="00AD5911">
        <w:rPr>
          <w:b/>
          <w:noProof/>
        </w:rPr>
        <w:fldChar w:fldCharType="begin"/>
      </w:r>
      <w:r w:rsidR="00D0375E" w:rsidRPr="00AD5911">
        <w:rPr>
          <w:b/>
          <w:noProof/>
        </w:rPr>
        <w:instrText xml:space="preserve"> SEQ Figure \* ARABIC </w:instrText>
      </w:r>
      <w:r w:rsidR="00D0375E" w:rsidRPr="00AD5911">
        <w:rPr>
          <w:b/>
          <w:noProof/>
        </w:rPr>
        <w:fldChar w:fldCharType="separate"/>
      </w:r>
      <w:r w:rsidR="00294748">
        <w:rPr>
          <w:b/>
          <w:noProof/>
        </w:rPr>
        <w:t>2</w:t>
      </w:r>
      <w:r w:rsidR="00D0375E" w:rsidRPr="00AD5911">
        <w:rPr>
          <w:b/>
          <w:noProof/>
        </w:rPr>
        <w:fldChar w:fldCharType="end"/>
      </w:r>
      <w:bookmarkEnd w:id="2"/>
      <w:r w:rsidR="005F3F14" w:rsidRPr="00AD5911">
        <w:rPr>
          <w:b/>
        </w:rPr>
        <w:t xml:space="preserve">  Operational profile examples</w:t>
      </w:r>
    </w:p>
    <w:bookmarkEnd w:id="1"/>
    <w:p w14:paraId="16180C1C" w14:textId="77777777" w:rsidR="005F3F14" w:rsidRPr="000365A0" w:rsidRDefault="005F3F14" w:rsidP="005F3F14">
      <w:pPr>
        <w:rPr>
          <w:szCs w:val="22"/>
        </w:rPr>
      </w:pPr>
      <w:r>
        <w:t xml:space="preserve">Adaptive lighting is not new.  Application guidance has been included in a range of regional and </w:t>
      </w:r>
      <w:r w:rsidRPr="000365A0">
        <w:rPr>
          <w:szCs w:val="22"/>
        </w:rPr>
        <w:t>international technical standards over the last decade including:</w:t>
      </w:r>
    </w:p>
    <w:p w14:paraId="339542FF" w14:textId="77777777" w:rsidR="005F3F14" w:rsidRPr="000365A0" w:rsidRDefault="005F3F14" w:rsidP="005F3F14">
      <w:pPr>
        <w:pStyle w:val="ListParagraph"/>
        <w:numPr>
          <w:ilvl w:val="0"/>
          <w:numId w:val="6"/>
        </w:numPr>
        <w:rPr>
          <w:i/>
          <w:iCs/>
          <w:sz w:val="22"/>
          <w:szCs w:val="22"/>
        </w:rPr>
      </w:pPr>
      <w:r w:rsidRPr="000365A0">
        <w:rPr>
          <w:sz w:val="22"/>
          <w:szCs w:val="22"/>
        </w:rPr>
        <w:t xml:space="preserve">International Commission on Illumination. </w:t>
      </w:r>
      <w:r w:rsidRPr="000365A0">
        <w:rPr>
          <w:i/>
          <w:iCs/>
          <w:sz w:val="22"/>
          <w:szCs w:val="22"/>
        </w:rPr>
        <w:t>CIE 115:2010 Lighting of roads for motor and pedestrian traffic;</w:t>
      </w:r>
    </w:p>
    <w:p w14:paraId="00380CA7" w14:textId="77777777" w:rsidR="005F3F14" w:rsidRPr="000365A0" w:rsidRDefault="005F3F14" w:rsidP="005F3F14">
      <w:pPr>
        <w:pStyle w:val="ListParagraph"/>
        <w:numPr>
          <w:ilvl w:val="0"/>
          <w:numId w:val="6"/>
        </w:numPr>
        <w:rPr>
          <w:i/>
          <w:iCs/>
          <w:sz w:val="22"/>
          <w:szCs w:val="22"/>
        </w:rPr>
      </w:pPr>
      <w:r w:rsidRPr="000365A0">
        <w:rPr>
          <w:sz w:val="22"/>
          <w:szCs w:val="22"/>
        </w:rPr>
        <w:t xml:space="preserve">European Committee for Standardization. </w:t>
      </w:r>
      <w:r w:rsidRPr="000365A0">
        <w:rPr>
          <w:i/>
          <w:iCs/>
          <w:sz w:val="22"/>
          <w:szCs w:val="22"/>
        </w:rPr>
        <w:t>EN 13201-5:2015 Energy Performance Indicators;</w:t>
      </w:r>
    </w:p>
    <w:p w14:paraId="014A183F" w14:textId="77777777" w:rsidR="005F3F14" w:rsidRDefault="005F3F14" w:rsidP="005F3F14">
      <w:pPr>
        <w:pStyle w:val="ListParagraph"/>
        <w:numPr>
          <w:ilvl w:val="0"/>
          <w:numId w:val="6"/>
        </w:numPr>
        <w:rPr>
          <w:sz w:val="22"/>
          <w:szCs w:val="22"/>
        </w:rPr>
      </w:pPr>
      <w:r w:rsidRPr="000365A0">
        <w:rPr>
          <w:sz w:val="22"/>
          <w:szCs w:val="22"/>
        </w:rPr>
        <w:t xml:space="preserve">British Standards Institute. </w:t>
      </w:r>
      <w:r w:rsidRPr="000365A0">
        <w:rPr>
          <w:i/>
          <w:iCs/>
          <w:sz w:val="22"/>
          <w:szCs w:val="22"/>
        </w:rPr>
        <w:t>BS 5489-1:2013 Design of road lighting-Part 1: Lighting of roads and public amenity areas-Code of practice</w:t>
      </w:r>
      <w:r w:rsidRPr="000365A0">
        <w:rPr>
          <w:sz w:val="22"/>
          <w:szCs w:val="22"/>
        </w:rPr>
        <w:t xml:space="preserve"> (updated 2020).</w:t>
      </w:r>
    </w:p>
    <w:p w14:paraId="18EBC0B2" w14:textId="77777777" w:rsidR="005F3F14" w:rsidRPr="00266B38" w:rsidRDefault="005F3F14" w:rsidP="005F3F14">
      <w:pPr>
        <w:pStyle w:val="Heading1"/>
        <w:keepNext w:val="0"/>
        <w:keepLines w:val="0"/>
        <w:numPr>
          <w:ilvl w:val="0"/>
          <w:numId w:val="8"/>
        </w:numPr>
        <w:spacing w:before="240" w:after="80"/>
      </w:pPr>
      <w:r w:rsidRPr="00266B38">
        <w:lastRenderedPageBreak/>
        <w:t xml:space="preserve">Overview of </w:t>
      </w:r>
      <w:r>
        <w:t xml:space="preserve">the 2020 </w:t>
      </w:r>
      <w:r w:rsidRPr="00266B38">
        <w:t xml:space="preserve">AS/NZS 1158 Energy Performance Indicators </w:t>
      </w:r>
    </w:p>
    <w:p w14:paraId="274C198C" w14:textId="77777777" w:rsidR="005F3F14" w:rsidRPr="00ED25BA" w:rsidRDefault="005F3F14" w:rsidP="005F3F14">
      <w:pPr>
        <w:pStyle w:val="Heading2"/>
        <w:keepNext w:val="0"/>
        <w:keepLines w:val="0"/>
        <w:numPr>
          <w:ilvl w:val="1"/>
          <w:numId w:val="8"/>
        </w:numPr>
        <w:spacing w:before="280" w:after="80"/>
        <w:contextualSpacing/>
      </w:pPr>
      <w:r w:rsidRPr="00ED25BA">
        <w:t>Lighting Design Standard AS/NZS 1158.3.1:2020</w:t>
      </w:r>
    </w:p>
    <w:p w14:paraId="2D7CE222" w14:textId="77777777" w:rsidR="005F3F14" w:rsidRPr="000D147C" w:rsidRDefault="005F3F14" w:rsidP="005F3F14">
      <w:r w:rsidRPr="000D147C">
        <w:t xml:space="preserve">Lighting design standard </w:t>
      </w:r>
      <w:r w:rsidRPr="00BA26CD">
        <w:rPr>
          <w:i/>
          <w:iCs/>
        </w:rPr>
        <w:t xml:space="preserve">AS/NZS 1158.3.1:2020 </w:t>
      </w:r>
      <w:proofErr w:type="gramStart"/>
      <w:r w:rsidRPr="00BA26CD">
        <w:rPr>
          <w:i/>
          <w:iCs/>
        </w:rPr>
        <w:t>Lighting</w:t>
      </w:r>
      <w:proofErr w:type="gramEnd"/>
      <w:r w:rsidRPr="00BA26CD">
        <w:rPr>
          <w:i/>
          <w:iCs/>
        </w:rPr>
        <w:t xml:space="preserve"> for roads and public spaces - Pedestrian area (Category</w:t>
      </w:r>
      <w:r>
        <w:rPr>
          <w:i/>
          <w:iCs/>
        </w:rPr>
        <w:t xml:space="preserve"> </w:t>
      </w:r>
      <w:r w:rsidRPr="00BA26CD">
        <w:rPr>
          <w:i/>
          <w:iCs/>
        </w:rPr>
        <w:t>P) lighting—Performance and design requirements</w:t>
      </w:r>
      <w:r w:rsidRPr="00BA26CD">
        <w:t xml:space="preserve"> </w:t>
      </w:r>
      <w:r w:rsidRPr="000D147C">
        <w:t xml:space="preserve">was published in March 2020.  This includes updated Section 3.4: Energy Performance Assessment and Reporting, and </w:t>
      </w:r>
      <w:r>
        <w:t xml:space="preserve">a </w:t>
      </w:r>
      <w:r w:rsidRPr="000D147C">
        <w:t>new Appendix F: Energy Performance Indicators.</w:t>
      </w:r>
    </w:p>
    <w:p w14:paraId="2AFBF6C3" w14:textId="77777777" w:rsidR="005F3F14" w:rsidRDefault="005F3F14" w:rsidP="005F3F14">
      <w:r>
        <w:t>These updates are b</w:t>
      </w:r>
      <w:r w:rsidRPr="00D949B1">
        <w:t xml:space="preserve">ased on </w:t>
      </w:r>
      <w:r>
        <w:t>a partial adoption of</w:t>
      </w:r>
      <w:r w:rsidRPr="00D949B1">
        <w:t xml:space="preserve"> </w:t>
      </w:r>
      <w:r>
        <w:t xml:space="preserve">the metrics and calculation methods of </w:t>
      </w:r>
      <w:r w:rsidRPr="00D949B1">
        <w:t xml:space="preserve">European standard </w:t>
      </w:r>
      <w:r w:rsidRPr="00BA26CD">
        <w:rPr>
          <w:i/>
          <w:iCs/>
        </w:rPr>
        <w:t>EN 13201-5:2015 Energy Performance Indicators</w:t>
      </w:r>
      <w:r>
        <w:t xml:space="preserve">, </w:t>
      </w:r>
      <w:r w:rsidRPr="00D949B1">
        <w:t>published in 2015</w:t>
      </w:r>
      <w:r>
        <w:t>.</w:t>
      </w:r>
    </w:p>
    <w:p w14:paraId="1F366A76" w14:textId="77777777" w:rsidR="005F3F14" w:rsidRDefault="005F3F14" w:rsidP="005F3F14">
      <w:r>
        <w:t xml:space="preserve">The </w:t>
      </w:r>
      <w:r w:rsidRPr="00E30A46">
        <w:t xml:space="preserve">companion design standard for Category V main roads </w:t>
      </w:r>
      <w:r w:rsidRPr="00E30A46">
        <w:rPr>
          <w:i/>
          <w:iCs/>
        </w:rPr>
        <w:t>AS/NZS 1158.1.1</w:t>
      </w:r>
      <w:r w:rsidRPr="00E30A46">
        <w:t xml:space="preserve"> is likely to be published late in </w:t>
      </w:r>
      <w:r>
        <w:t>2021.</w:t>
      </w:r>
    </w:p>
    <w:p w14:paraId="059EFF9F" w14:textId="77777777" w:rsidR="005F3F14" w:rsidRPr="00EB21C4" w:rsidRDefault="005F3F14" w:rsidP="005F3F14">
      <w:pPr>
        <w:pStyle w:val="Heading2"/>
        <w:keepNext w:val="0"/>
        <w:keepLines w:val="0"/>
        <w:numPr>
          <w:ilvl w:val="1"/>
          <w:numId w:val="8"/>
        </w:numPr>
        <w:spacing w:before="280" w:after="80"/>
        <w:contextualSpacing/>
      </w:pPr>
      <w:r w:rsidRPr="00EB21C4">
        <w:t xml:space="preserve">Energy </w:t>
      </w:r>
      <w:r>
        <w:t>Terminology</w:t>
      </w:r>
    </w:p>
    <w:p w14:paraId="3FC12691" w14:textId="77777777" w:rsidR="005F3F14" w:rsidRPr="000365A0" w:rsidRDefault="005F3F14" w:rsidP="005F3F14">
      <w:pPr>
        <w:rPr>
          <w:szCs w:val="22"/>
        </w:rPr>
      </w:pPr>
      <w:r w:rsidRPr="00E30A46">
        <w:t xml:space="preserve">The concepts of energy efficiency and energy performance and are frequently misapplied.  The International </w:t>
      </w:r>
      <w:proofErr w:type="spellStart"/>
      <w:r w:rsidRPr="00E30A46">
        <w:t>Electrotechnical</w:t>
      </w:r>
      <w:proofErr w:type="spellEnd"/>
      <w:r w:rsidRPr="00E30A46">
        <w:t xml:space="preserve"> Commission</w:t>
      </w:r>
      <w:r w:rsidRPr="00E30A46">
        <w:rPr>
          <w:i/>
          <w:iCs/>
        </w:rPr>
        <w:t xml:space="preserve"> IEC Guide 118:2017</w:t>
      </w:r>
      <w:r w:rsidRPr="00E30A46">
        <w:t xml:space="preserve"> </w:t>
      </w:r>
      <w:r w:rsidRPr="00E30A46">
        <w:rPr>
          <w:i/>
          <w:iCs/>
        </w:rPr>
        <w:t xml:space="preserve">Inclusion of energy efficiency aspects in </w:t>
      </w:r>
      <w:proofErr w:type="spellStart"/>
      <w:r w:rsidRPr="00E30A46">
        <w:rPr>
          <w:i/>
          <w:iCs/>
        </w:rPr>
        <w:t>electrotechnical</w:t>
      </w:r>
      <w:proofErr w:type="spellEnd"/>
      <w:r w:rsidRPr="00E30A46">
        <w:rPr>
          <w:i/>
          <w:iCs/>
        </w:rPr>
        <w:t xml:space="preserve"> </w:t>
      </w:r>
      <w:r w:rsidRPr="000365A0">
        <w:rPr>
          <w:i/>
          <w:iCs/>
          <w:szCs w:val="22"/>
        </w:rPr>
        <w:t>publications</w:t>
      </w:r>
      <w:r w:rsidRPr="000365A0">
        <w:rPr>
          <w:szCs w:val="22"/>
        </w:rPr>
        <w:t xml:space="preserve"> clarifies the differences.</w:t>
      </w:r>
    </w:p>
    <w:p w14:paraId="6FF15E2B" w14:textId="77777777" w:rsidR="005F3F14" w:rsidRPr="000365A0" w:rsidRDefault="005F3F14" w:rsidP="005F3F14">
      <w:pPr>
        <w:pStyle w:val="ListParagraph"/>
        <w:numPr>
          <w:ilvl w:val="0"/>
          <w:numId w:val="20"/>
        </w:numPr>
        <w:rPr>
          <w:sz w:val="22"/>
          <w:szCs w:val="22"/>
        </w:rPr>
      </w:pPr>
      <w:r w:rsidRPr="000365A0">
        <w:rPr>
          <w:sz w:val="22"/>
          <w:szCs w:val="22"/>
        </w:rPr>
        <w:t xml:space="preserve">Energy Efficiency is the ratio between an output of performance and an input of energy </w:t>
      </w:r>
    </w:p>
    <w:p w14:paraId="19B67B21" w14:textId="77777777" w:rsidR="005F3F14" w:rsidRPr="000365A0" w:rsidRDefault="005F3F14" w:rsidP="005F3F14">
      <w:pPr>
        <w:pStyle w:val="ListParagraph"/>
        <w:numPr>
          <w:ilvl w:val="0"/>
          <w:numId w:val="20"/>
        </w:numPr>
        <w:rPr>
          <w:sz w:val="22"/>
          <w:szCs w:val="22"/>
        </w:rPr>
      </w:pPr>
      <w:r w:rsidRPr="000365A0">
        <w:rPr>
          <w:sz w:val="22"/>
          <w:szCs w:val="22"/>
        </w:rPr>
        <w:t>Energy Performance is the measurable result of energy use and energy consumption</w:t>
      </w:r>
    </w:p>
    <w:p w14:paraId="089E5CDC" w14:textId="77777777" w:rsidR="005F3F14" w:rsidRPr="00E30A46" w:rsidRDefault="005F3F14" w:rsidP="005F3F14">
      <w:r w:rsidRPr="00E30A46">
        <w:t>Energy performance is the appropriate term when calculating absolute measures of energy activity of a lighting scheme and is determined by the combination of the following factors:</w:t>
      </w:r>
    </w:p>
    <w:p w14:paraId="3E5D1C6B" w14:textId="77777777" w:rsidR="005F3F14" w:rsidRPr="00E30A46" w:rsidRDefault="005F3F14" w:rsidP="005F3F14">
      <w:r w:rsidRPr="00E30A46">
        <w:t xml:space="preserve">(a) </w:t>
      </w:r>
      <w:proofErr w:type="gramStart"/>
      <w:r w:rsidRPr="00E30A46">
        <w:t>luminaire</w:t>
      </w:r>
      <w:proofErr w:type="gramEnd"/>
      <w:r w:rsidRPr="00E30A46">
        <w:t xml:space="preserve"> efficacy and photometric distribution</w:t>
      </w:r>
    </w:p>
    <w:p w14:paraId="15180D11" w14:textId="77777777" w:rsidR="005F3F14" w:rsidRPr="00E30A46" w:rsidRDefault="005F3F14" w:rsidP="005F3F14">
      <w:r w:rsidRPr="00E30A46">
        <w:t xml:space="preserve">(b) </w:t>
      </w:r>
      <w:proofErr w:type="gramStart"/>
      <w:r w:rsidRPr="00E30A46">
        <w:t>lighting</w:t>
      </w:r>
      <w:proofErr w:type="gramEnd"/>
      <w:r w:rsidRPr="00E30A46">
        <w:t xml:space="preserve"> design suitability</w:t>
      </w:r>
    </w:p>
    <w:p w14:paraId="56B9F0A2" w14:textId="77777777" w:rsidR="005F3F14" w:rsidRPr="00E30A46" w:rsidRDefault="005F3F14" w:rsidP="005F3F14">
      <w:r w:rsidRPr="00E30A46">
        <w:t xml:space="preserve">(c) </w:t>
      </w:r>
      <w:proofErr w:type="gramStart"/>
      <w:r w:rsidRPr="00E30A46">
        <w:t>lighting</w:t>
      </w:r>
      <w:proofErr w:type="gramEnd"/>
      <w:r w:rsidRPr="00E30A46">
        <w:t xml:space="preserve"> system operation </w:t>
      </w:r>
    </w:p>
    <w:p w14:paraId="36515E2E" w14:textId="77777777" w:rsidR="005F3F14" w:rsidRPr="006E079B" w:rsidRDefault="005F3F14" w:rsidP="005F3F14">
      <w:pPr>
        <w:pStyle w:val="Heading2"/>
        <w:keepNext w:val="0"/>
        <w:keepLines w:val="0"/>
        <w:numPr>
          <w:ilvl w:val="1"/>
          <w:numId w:val="8"/>
        </w:numPr>
        <w:spacing w:before="280" w:after="80"/>
        <w:contextualSpacing/>
      </w:pPr>
      <w:r w:rsidRPr="006E079B">
        <w:t>The Systems Approach</w:t>
      </w:r>
    </w:p>
    <w:p w14:paraId="6A96D0B1" w14:textId="77777777" w:rsidR="005F3F14" w:rsidRDefault="005F3F14" w:rsidP="005F3F14">
      <w:r>
        <w:t>Public lighting schemes need to be analysed using a systems approach.  This considers the energy performance of individual components, and also how efficiently these components work together in the system.</w:t>
      </w:r>
    </w:p>
    <w:p w14:paraId="36D1092B" w14:textId="77777777" w:rsidR="005F3F14" w:rsidRPr="000365A0" w:rsidRDefault="005F3F14" w:rsidP="005F3F14">
      <w:pPr>
        <w:rPr>
          <w:szCs w:val="22"/>
        </w:rPr>
      </w:pPr>
      <w:r w:rsidRPr="000365A0">
        <w:rPr>
          <w:szCs w:val="22"/>
        </w:rPr>
        <w:t>A systems approach to energy efficiency is likely to optimise performance as:</w:t>
      </w:r>
    </w:p>
    <w:p w14:paraId="0C597B8F" w14:textId="77777777" w:rsidR="005F3F14" w:rsidRPr="000365A0" w:rsidRDefault="005F3F14" w:rsidP="005F3F14">
      <w:pPr>
        <w:pStyle w:val="ListParagraph"/>
        <w:numPr>
          <w:ilvl w:val="0"/>
          <w:numId w:val="4"/>
        </w:numPr>
        <w:rPr>
          <w:sz w:val="22"/>
          <w:szCs w:val="22"/>
        </w:rPr>
      </w:pPr>
      <w:r w:rsidRPr="000365A0">
        <w:rPr>
          <w:sz w:val="22"/>
          <w:szCs w:val="22"/>
        </w:rPr>
        <w:t>there is consideration of components and application together;</w:t>
      </w:r>
    </w:p>
    <w:p w14:paraId="5FE5D49F" w14:textId="77777777" w:rsidR="005F3F14" w:rsidRPr="000365A0" w:rsidRDefault="005F3F14" w:rsidP="005F3F14">
      <w:pPr>
        <w:pStyle w:val="ListParagraph"/>
        <w:numPr>
          <w:ilvl w:val="0"/>
          <w:numId w:val="4"/>
        </w:numPr>
        <w:rPr>
          <w:sz w:val="22"/>
          <w:szCs w:val="22"/>
        </w:rPr>
      </w:pPr>
      <w:r w:rsidRPr="000365A0">
        <w:rPr>
          <w:sz w:val="22"/>
          <w:szCs w:val="22"/>
        </w:rPr>
        <w:t>improvement of the system may be higher than that of an individual component;</w:t>
      </w:r>
    </w:p>
    <w:p w14:paraId="0F1AB008" w14:textId="77777777" w:rsidR="005F3F14" w:rsidRPr="000365A0" w:rsidRDefault="005F3F14" w:rsidP="005F3F14">
      <w:pPr>
        <w:pStyle w:val="ListParagraph"/>
        <w:numPr>
          <w:ilvl w:val="0"/>
          <w:numId w:val="4"/>
        </w:numPr>
        <w:rPr>
          <w:sz w:val="22"/>
          <w:szCs w:val="22"/>
        </w:rPr>
      </w:pPr>
      <w:proofErr w:type="gramStart"/>
      <w:r w:rsidRPr="000365A0">
        <w:rPr>
          <w:sz w:val="22"/>
          <w:szCs w:val="22"/>
        </w:rPr>
        <w:t>improvement</w:t>
      </w:r>
      <w:proofErr w:type="gramEnd"/>
      <w:r w:rsidRPr="000365A0">
        <w:rPr>
          <w:sz w:val="22"/>
          <w:szCs w:val="22"/>
        </w:rPr>
        <w:t xml:space="preserve"> at component level can be lost with inappropriate operation of that </w:t>
      </w:r>
      <w:r w:rsidR="00390564" w:rsidRPr="000365A0">
        <w:rPr>
          <w:sz w:val="22"/>
          <w:szCs w:val="22"/>
        </w:rPr>
        <w:t>component</w:t>
      </w:r>
      <w:r w:rsidRPr="000365A0">
        <w:rPr>
          <w:sz w:val="22"/>
          <w:szCs w:val="22"/>
        </w:rPr>
        <w:t>.</w:t>
      </w:r>
    </w:p>
    <w:p w14:paraId="0DDFD556" w14:textId="77777777" w:rsidR="005F3F14" w:rsidRPr="00EB21C4" w:rsidRDefault="005F3F14" w:rsidP="005F3F14">
      <w:pPr>
        <w:pStyle w:val="Heading2"/>
        <w:keepNext w:val="0"/>
        <w:keepLines w:val="0"/>
        <w:numPr>
          <w:ilvl w:val="1"/>
          <w:numId w:val="8"/>
        </w:numPr>
        <w:spacing w:before="280" w:after="80"/>
        <w:contextualSpacing/>
      </w:pPr>
      <w:r>
        <w:t>Energy Performance</w:t>
      </w:r>
    </w:p>
    <w:p w14:paraId="5F080115" w14:textId="77777777" w:rsidR="005F3F14" w:rsidRDefault="005F3F14" w:rsidP="005F3F14">
      <w:r>
        <w:t>Energy performance evaluation therefore requires calculating the combined effects of:</w:t>
      </w:r>
    </w:p>
    <w:p w14:paraId="511E6F59" w14:textId="77777777" w:rsidR="005F3F14" w:rsidRPr="004661BD" w:rsidRDefault="005F3F14" w:rsidP="005F3F14">
      <w:pPr>
        <w:pStyle w:val="Italics"/>
        <w:ind w:left="0"/>
        <w:jc w:val="center"/>
        <w:rPr>
          <w:b/>
          <w:bCs/>
          <w:color w:val="0070C0"/>
        </w:rPr>
      </w:pPr>
      <w:r w:rsidRPr="405FA7DC">
        <w:rPr>
          <w:b/>
          <w:bCs/>
          <w:color w:val="0070C0"/>
        </w:rPr>
        <w:t>Lighting Design + Luminaires + Controls + Operations</w:t>
      </w:r>
    </w:p>
    <w:p w14:paraId="17A298AE" w14:textId="77777777" w:rsidR="005F3F14" w:rsidRDefault="005F3F14" w:rsidP="005F3F14">
      <w:r w:rsidRPr="405FA7DC">
        <w:rPr>
          <w:rFonts w:eastAsia="Calibri" w:cs="Calibri"/>
          <w:color w:val="333333"/>
        </w:rPr>
        <w:t xml:space="preserve">The </w:t>
      </w:r>
      <w:r w:rsidRPr="000573C2">
        <w:rPr>
          <w:rFonts w:eastAsia="Calibri" w:cs="Calibri"/>
          <w:b/>
          <w:bCs/>
          <w:color w:val="333333"/>
        </w:rPr>
        <w:t xml:space="preserve">design </w:t>
      </w:r>
      <w:r w:rsidRPr="405FA7DC">
        <w:rPr>
          <w:rFonts w:eastAsia="Calibri" w:cs="Calibri"/>
          <w:color w:val="333333"/>
        </w:rPr>
        <w:t xml:space="preserve">of the lighting scheme dictates how, where and when light will be applied for safety and amenity.  </w:t>
      </w:r>
      <w:r>
        <w:rPr>
          <w:rFonts w:eastAsia="Calibri" w:cs="Calibri"/>
          <w:color w:val="333333"/>
        </w:rPr>
        <w:t xml:space="preserve">Selecting a </w:t>
      </w:r>
      <w:r w:rsidRPr="000573C2">
        <w:rPr>
          <w:rFonts w:eastAsia="Calibri" w:cs="Calibri"/>
          <w:b/>
          <w:bCs/>
          <w:color w:val="333333"/>
        </w:rPr>
        <w:t xml:space="preserve">luminaire </w:t>
      </w:r>
      <w:r w:rsidRPr="405FA7DC">
        <w:rPr>
          <w:rFonts w:eastAsia="Calibri" w:cs="Calibri"/>
          <w:color w:val="333333"/>
        </w:rPr>
        <w:t xml:space="preserve">is an integral part of the design process. </w:t>
      </w:r>
      <w:r>
        <w:rPr>
          <w:rFonts w:eastAsia="Calibri" w:cs="Calibri"/>
          <w:color w:val="333333"/>
        </w:rPr>
        <w:t xml:space="preserve"> </w:t>
      </w:r>
      <w:r w:rsidRPr="405FA7DC">
        <w:rPr>
          <w:rFonts w:eastAsia="Calibri" w:cs="Calibri"/>
          <w:color w:val="333333"/>
        </w:rPr>
        <w:t xml:space="preserve">How the </w:t>
      </w:r>
      <w:r w:rsidRPr="000573C2">
        <w:rPr>
          <w:rFonts w:eastAsia="Calibri" w:cs="Calibri"/>
          <w:b/>
          <w:bCs/>
          <w:color w:val="333333"/>
        </w:rPr>
        <w:t xml:space="preserve">controls </w:t>
      </w:r>
      <w:r w:rsidRPr="405FA7DC">
        <w:rPr>
          <w:rFonts w:eastAsia="Calibri" w:cs="Calibri"/>
          <w:color w:val="333333"/>
        </w:rPr>
        <w:t xml:space="preserve">are utilised has </w:t>
      </w:r>
      <w:r w:rsidRPr="405FA7DC">
        <w:rPr>
          <w:rFonts w:eastAsia="Calibri" w:cs="Calibri"/>
          <w:color w:val="333333"/>
        </w:rPr>
        <w:lastRenderedPageBreak/>
        <w:t xml:space="preserve">the role of delivering variable light levels and at </w:t>
      </w:r>
      <w:r>
        <w:rPr>
          <w:rFonts w:eastAsia="Calibri" w:cs="Calibri"/>
          <w:color w:val="333333"/>
        </w:rPr>
        <w:t xml:space="preserve">different times. </w:t>
      </w:r>
      <w:r w:rsidRPr="405FA7DC">
        <w:rPr>
          <w:rFonts w:eastAsia="Calibri" w:cs="Calibri"/>
          <w:color w:val="333333"/>
        </w:rPr>
        <w:t>Finally,</w:t>
      </w:r>
      <w:r w:rsidRPr="00954032">
        <w:rPr>
          <w:rFonts w:eastAsia="Calibri" w:cs="Calibri"/>
          <w:color w:val="333333"/>
        </w:rPr>
        <w:t xml:space="preserve"> </w:t>
      </w:r>
      <w:r w:rsidRPr="405FA7DC">
        <w:rPr>
          <w:rFonts w:eastAsia="Calibri" w:cs="Calibri"/>
          <w:color w:val="333333"/>
        </w:rPr>
        <w:t>the road controlling authority</w:t>
      </w:r>
      <w:r>
        <w:rPr>
          <w:rFonts w:eastAsia="Calibri" w:cs="Calibri"/>
          <w:color w:val="333333"/>
        </w:rPr>
        <w:t xml:space="preserve"> operates </w:t>
      </w:r>
      <w:r w:rsidRPr="405FA7DC">
        <w:rPr>
          <w:rFonts w:eastAsia="Calibri" w:cs="Calibri"/>
          <w:color w:val="333333"/>
        </w:rPr>
        <w:t>the lighting scheme</w:t>
      </w:r>
      <w:r>
        <w:rPr>
          <w:rFonts w:eastAsia="Calibri" w:cs="Calibri"/>
          <w:color w:val="333333"/>
        </w:rPr>
        <w:t xml:space="preserve">.  The </w:t>
      </w:r>
      <w:r w:rsidRPr="405FA7DC">
        <w:rPr>
          <w:rFonts w:eastAsia="Calibri" w:cs="Calibri"/>
          <w:color w:val="333333"/>
        </w:rPr>
        <w:t xml:space="preserve">authority is </w:t>
      </w:r>
      <w:r>
        <w:rPr>
          <w:rFonts w:eastAsia="Calibri" w:cs="Calibri"/>
          <w:color w:val="333333"/>
        </w:rPr>
        <w:t xml:space="preserve">the </w:t>
      </w:r>
      <w:r>
        <w:t>body</w:t>
      </w:r>
      <w:r w:rsidRPr="00617EC6">
        <w:t xml:space="preserve"> </w:t>
      </w:r>
      <w:r w:rsidRPr="405FA7DC">
        <w:rPr>
          <w:rFonts w:eastAsia="Calibri" w:cs="Calibri"/>
          <w:color w:val="333333"/>
        </w:rPr>
        <w:t>responsible for community activities, risks, threats and amenity across all times of the night</w:t>
      </w:r>
      <w:r>
        <w:t xml:space="preserve">. </w:t>
      </w:r>
    </w:p>
    <w:p w14:paraId="53C7FB8A" w14:textId="77777777" w:rsidR="005F3F14" w:rsidRDefault="005F3F14" w:rsidP="005F3F14">
      <w:r>
        <w:t>The relevant design standard Light Technical Parameter (LTP) that influences adaptive lighting selection and energy performance, is “average horizontal illuminance”.  Each adaptive up or down adjustment to achieve the horizontal illuminance levels needs to meet a defined lighting subcategory.  The subcategory (labelled in the 2020 update as “</w:t>
      </w:r>
      <w:proofErr w:type="spellStart"/>
      <w:r>
        <w:t>PRx</w:t>
      </w:r>
      <w:proofErr w:type="spellEnd"/>
      <w:r>
        <w:t xml:space="preserve">” for local roads) is applicable to the area concerned, during the time period concerned.  </w:t>
      </w:r>
    </w:p>
    <w:p w14:paraId="3A09BD0B" w14:textId="77777777" w:rsidR="005F3F14" w:rsidRPr="00E30A46" w:rsidRDefault="005F3F14" w:rsidP="005F3F14">
      <w:r w:rsidRPr="00E30A46">
        <w:t xml:space="preserve">Table 3.3 in </w:t>
      </w:r>
      <w:r w:rsidRPr="00E30A46">
        <w:rPr>
          <w:i/>
          <w:iCs/>
        </w:rPr>
        <w:t>AS/NZS 1158.3.1:2020</w:t>
      </w:r>
      <w:r w:rsidRPr="00E30A46">
        <w:t xml:space="preserve"> provides the average </w:t>
      </w:r>
      <w:r>
        <w:t>horizontal illuminance values for roads in local areas. These illuminance levels must be maintained until the end of the luminaire life.  This is achieved by over-illumination at the time of installation, allowing for lumen depreciation inherent in all luminaire types.</w:t>
      </w:r>
    </w:p>
    <w:p w14:paraId="22A615A8" w14:textId="77777777" w:rsidR="005F3F14" w:rsidRPr="00EB21C4" w:rsidRDefault="005F3F14" w:rsidP="005F3F14">
      <w:pPr>
        <w:pStyle w:val="Heading2"/>
        <w:keepNext w:val="0"/>
        <w:keepLines w:val="0"/>
        <w:numPr>
          <w:ilvl w:val="1"/>
          <w:numId w:val="8"/>
        </w:numPr>
        <w:spacing w:before="280" w:after="80"/>
        <w:contextualSpacing/>
      </w:pPr>
      <w:r w:rsidRPr="00EB21C4">
        <w:t xml:space="preserve">Constant Light Output </w:t>
      </w:r>
      <w:r>
        <w:t>(CLO)</w:t>
      </w:r>
    </w:p>
    <w:p w14:paraId="58998C85" w14:textId="77777777" w:rsidR="005F3F14" w:rsidRDefault="005F3F14" w:rsidP="005F3F14">
      <w:r>
        <w:t>The calculation of energy performance in the standard provides for Constant Light Output (CLO) functionality.  This approach uses controls to progressively increase power levels.  This compensates for the light loss caused by the ageing of the light source over lifetime, and avoids the need for wasteful over-lighting during the lighting scheme life.</w:t>
      </w:r>
    </w:p>
    <w:p w14:paraId="15B0B6E4" w14:textId="77777777" w:rsidR="005F3F14" w:rsidRDefault="005F3F14" w:rsidP="005F3F14">
      <w:r>
        <w:t xml:space="preserve">The luminaire system power will </w:t>
      </w:r>
      <w:r w:rsidRPr="00E30A46">
        <w:t xml:space="preserve">gradually increase until the light source end-of-life point, and the light output will be constant, so the average power over the design lifetime is used in the calculation, with the relevant application assumptions clearly noted. </w:t>
      </w:r>
    </w:p>
    <w:p w14:paraId="376503DF" w14:textId="77777777" w:rsidR="005F3F14" w:rsidRPr="00133B95" w:rsidRDefault="005F3F14" w:rsidP="005F3F14">
      <w:r w:rsidRPr="6285CD98">
        <w:rPr>
          <w:i/>
          <w:iCs/>
        </w:rPr>
        <w:t>AS/NZS 1158.3.1:2020</w:t>
      </w:r>
      <w:r>
        <w:t xml:space="preserve"> requires the </w:t>
      </w:r>
      <w:proofErr w:type="spellStart"/>
      <w:r>
        <w:t>Lightsource</w:t>
      </w:r>
      <w:proofErr w:type="spellEnd"/>
      <w:r>
        <w:t xml:space="preserve"> Lumen Depreciation (LLD) value for LED luminaires be obtained from IESNA LM-80-15 tests and TM-21-11 life extrapolations for the light source and luminaire concerned.</w:t>
      </w:r>
    </w:p>
    <w:p w14:paraId="395260F2" w14:textId="77777777" w:rsidR="005F3F14" w:rsidRPr="00EB21C4" w:rsidRDefault="005F3F14" w:rsidP="005F3F14">
      <w:pPr>
        <w:pStyle w:val="Heading2"/>
        <w:keepNext w:val="0"/>
        <w:keepLines w:val="0"/>
        <w:numPr>
          <w:ilvl w:val="1"/>
          <w:numId w:val="8"/>
        </w:numPr>
        <w:spacing w:before="280" w:after="80"/>
        <w:contextualSpacing/>
      </w:pPr>
      <w:r w:rsidRPr="00EB21C4">
        <w:t>Networked Standby Mode Power</w:t>
      </w:r>
    </w:p>
    <w:p w14:paraId="285E0313" w14:textId="260C3F68" w:rsidR="005F3F14" w:rsidRPr="00262CC0" w:rsidRDefault="005F3F14" w:rsidP="005F3F14">
      <w:r>
        <w:t xml:space="preserve">Controls, communication electronics, and sensor devices are part of modern lighting systems.  These systems consume power even when lighting is not operational such as during the day (i.e. when they are in standby mode).  Standby Modes are defined in the new international standard </w:t>
      </w:r>
      <w:r w:rsidR="00C73D11" w:rsidRPr="00C73D11">
        <w:rPr>
          <w:i/>
        </w:rPr>
        <w:t>IEC 63103:2020</w:t>
      </w:r>
      <w:r w:rsidR="00C73D11">
        <w:t xml:space="preserve"> </w:t>
      </w:r>
      <w:r w:rsidRPr="405FA7DC">
        <w:rPr>
          <w:i/>
          <w:iCs/>
        </w:rPr>
        <w:t>Lighting equipment – Non-active mode power measurement</w:t>
      </w:r>
      <w:r>
        <w:rPr>
          <w:i/>
          <w:iCs/>
        </w:rPr>
        <w:t>.</w:t>
      </w:r>
      <w:r w:rsidRPr="405FA7DC">
        <w:rPr>
          <w:i/>
          <w:iCs/>
        </w:rPr>
        <w:t xml:space="preserve"> </w:t>
      </w:r>
      <w:r>
        <w:rPr>
          <w:i/>
          <w:iCs/>
        </w:rPr>
        <w:t xml:space="preserve"> </w:t>
      </w:r>
      <w:r>
        <w:t xml:space="preserve">The standard describes methods of identification and measurement of power consumption in non-active modes for lighting equipment.  The </w:t>
      </w:r>
      <w:r w:rsidRPr="405FA7DC">
        <w:rPr>
          <w:color w:val="000000" w:themeColor="text1"/>
        </w:rPr>
        <w:t>Power Density Indicator</w:t>
      </w:r>
      <w:r>
        <w:t xml:space="preserve"> (PDI) calculation also includes networked standby mode power (see Section 4.2 below). </w:t>
      </w:r>
    </w:p>
    <w:p w14:paraId="39A8BD9B" w14:textId="77777777" w:rsidR="005F3F14" w:rsidRPr="00266B38" w:rsidRDefault="005F3F14" w:rsidP="005F3F14">
      <w:pPr>
        <w:pStyle w:val="Heading1"/>
        <w:keepNext w:val="0"/>
        <w:keepLines w:val="0"/>
        <w:numPr>
          <w:ilvl w:val="0"/>
          <w:numId w:val="8"/>
        </w:numPr>
        <w:spacing w:before="240" w:after="80"/>
      </w:pPr>
      <w:r w:rsidRPr="00266B38">
        <w:t xml:space="preserve">Calculation of AS/NZS 1158 Energy Performance Indicators </w:t>
      </w:r>
    </w:p>
    <w:p w14:paraId="197EA4A6" w14:textId="77777777" w:rsidR="005F3F14" w:rsidRDefault="005F3F14" w:rsidP="005F3F14">
      <w:r>
        <w:t xml:space="preserve">This section provides a guide to calculating </w:t>
      </w:r>
      <w:r w:rsidRPr="01FF6801">
        <w:rPr>
          <w:i/>
          <w:iCs/>
        </w:rPr>
        <w:t>AS/NZS 1158.3.1:2020</w:t>
      </w:r>
      <w:r>
        <w:t xml:space="preserve"> Power Density Indicator (PDI) and Annual Energy Consumption Indicator (AECI).   </w:t>
      </w:r>
    </w:p>
    <w:p w14:paraId="2A7F36C5" w14:textId="77777777" w:rsidR="005F3F14" w:rsidRDefault="005F3F14" w:rsidP="005F3F14">
      <w:r>
        <w:t>The first step requires the calculation of System Power.</w:t>
      </w:r>
    </w:p>
    <w:p w14:paraId="6D64DB76" w14:textId="77777777" w:rsidR="005F3F14" w:rsidRPr="00F13D95" w:rsidRDefault="005F3F14" w:rsidP="005F3F14">
      <w:pPr>
        <w:pStyle w:val="Heading2"/>
        <w:keepNext w:val="0"/>
        <w:keepLines w:val="0"/>
        <w:numPr>
          <w:ilvl w:val="1"/>
          <w:numId w:val="8"/>
        </w:numPr>
        <w:spacing w:before="280" w:after="80"/>
        <w:contextualSpacing/>
      </w:pPr>
      <w:r w:rsidRPr="00F13D95">
        <w:t>System Power</w:t>
      </w:r>
    </w:p>
    <w:p w14:paraId="51442B09" w14:textId="77777777" w:rsidR="005F3F14" w:rsidRPr="00A32E5C" w:rsidRDefault="005F3F14" w:rsidP="005F3F14">
      <w:r w:rsidRPr="00A32E5C">
        <w:t>System Power is the sum of the operational power of all the light points, including control gear and other electrical devices directly associated with the lighting scheme application area.</w:t>
      </w:r>
    </w:p>
    <w:p w14:paraId="3F33EB23" w14:textId="77777777" w:rsidR="005F3F14" w:rsidRPr="004661BD" w:rsidRDefault="005F3F14" w:rsidP="005F3F14">
      <w:pPr>
        <w:pStyle w:val="Italics"/>
        <w:ind w:left="0"/>
        <w:rPr>
          <w:b/>
          <w:bCs/>
          <w:color w:val="0070C0"/>
        </w:rPr>
      </w:pPr>
      <w:r w:rsidRPr="004661BD">
        <w:rPr>
          <w:b/>
          <w:bCs/>
          <w:color w:val="0070C0"/>
        </w:rPr>
        <w:lastRenderedPageBreak/>
        <w:t xml:space="preserve">System Power = (Number of Light Points x Operational Power) + Additional Power </w:t>
      </w:r>
    </w:p>
    <w:p w14:paraId="45D062A6" w14:textId="77777777" w:rsidR="005F3F14" w:rsidRPr="00383C9F" w:rsidRDefault="005F3F14" w:rsidP="005F3F14">
      <w:pPr>
        <w:rPr>
          <w:color w:val="000000" w:themeColor="text1"/>
        </w:rPr>
      </w:pPr>
      <w:r>
        <w:t>Where:</w:t>
      </w:r>
      <w:r w:rsidRPr="00C92E08">
        <w:t xml:space="preserve"> </w:t>
      </w:r>
    </w:p>
    <w:p w14:paraId="66655856" w14:textId="77777777" w:rsidR="005F3F14" w:rsidRPr="000365A0" w:rsidRDefault="005F3F14" w:rsidP="005F3F14">
      <w:pPr>
        <w:pStyle w:val="ListParagraph"/>
        <w:numPr>
          <w:ilvl w:val="0"/>
          <w:numId w:val="7"/>
        </w:numPr>
        <w:rPr>
          <w:sz w:val="22"/>
          <w:szCs w:val="22"/>
        </w:rPr>
      </w:pPr>
      <w:r w:rsidRPr="000365A0">
        <w:rPr>
          <w:b/>
          <w:bCs/>
          <w:sz w:val="22"/>
          <w:szCs w:val="22"/>
        </w:rPr>
        <w:t>Number of Light Points</w:t>
      </w:r>
      <w:r w:rsidRPr="000365A0">
        <w:rPr>
          <w:sz w:val="22"/>
          <w:szCs w:val="22"/>
        </w:rPr>
        <w:t xml:space="preserve"> associated with the lighting scheme, or a representative section;</w:t>
      </w:r>
    </w:p>
    <w:p w14:paraId="58FAD9DF" w14:textId="77777777" w:rsidR="005F3F14" w:rsidRPr="000365A0" w:rsidRDefault="005F3F14" w:rsidP="005F3F14">
      <w:pPr>
        <w:pStyle w:val="ListParagraph"/>
        <w:numPr>
          <w:ilvl w:val="0"/>
          <w:numId w:val="7"/>
        </w:numPr>
        <w:rPr>
          <w:sz w:val="22"/>
          <w:szCs w:val="22"/>
        </w:rPr>
      </w:pPr>
      <w:r w:rsidRPr="000365A0">
        <w:rPr>
          <w:b/>
          <w:bCs/>
          <w:sz w:val="22"/>
          <w:szCs w:val="22"/>
        </w:rPr>
        <w:t xml:space="preserve">Operational Power </w:t>
      </w:r>
      <w:r w:rsidRPr="000365A0">
        <w:rPr>
          <w:sz w:val="22"/>
          <w:szCs w:val="22"/>
        </w:rPr>
        <w:t xml:space="preserve">is the power of the light point, which includes the power of the luminaire and the light point controller. Examples of a light point controller are an ANSI/NEMA C136.10 connected photo-electric cell, ANSI/NEMA C136.41 connected smart controller or a </w:t>
      </w:r>
      <w:proofErr w:type="spellStart"/>
      <w:r w:rsidRPr="000365A0">
        <w:rPr>
          <w:sz w:val="22"/>
          <w:szCs w:val="22"/>
        </w:rPr>
        <w:t>Zhaga</w:t>
      </w:r>
      <w:proofErr w:type="spellEnd"/>
      <w:r w:rsidRPr="000365A0">
        <w:rPr>
          <w:sz w:val="22"/>
          <w:szCs w:val="22"/>
        </w:rPr>
        <w:t xml:space="preserve"> Book 18 controller or sensor where applicable;</w:t>
      </w:r>
    </w:p>
    <w:p w14:paraId="2A8518CE" w14:textId="77777777" w:rsidR="005F3F14" w:rsidRPr="000365A0" w:rsidRDefault="005F3F14" w:rsidP="005F3F14">
      <w:pPr>
        <w:pStyle w:val="ListParagraph"/>
        <w:numPr>
          <w:ilvl w:val="0"/>
          <w:numId w:val="7"/>
        </w:numPr>
        <w:rPr>
          <w:rFonts w:eastAsiaTheme="minorEastAsia"/>
          <w:sz w:val="22"/>
          <w:szCs w:val="22"/>
        </w:rPr>
      </w:pPr>
      <w:r w:rsidRPr="000365A0">
        <w:rPr>
          <w:b/>
          <w:bCs/>
          <w:sz w:val="22"/>
          <w:szCs w:val="22"/>
        </w:rPr>
        <w:t>Additional Power</w:t>
      </w:r>
      <w:r w:rsidRPr="000365A0">
        <w:rPr>
          <w:sz w:val="22"/>
          <w:szCs w:val="22"/>
        </w:rPr>
        <w:t xml:space="preserve"> is the total power of additional system devices (where applicable) such as control communication gateways, base stations etc.</w:t>
      </w:r>
    </w:p>
    <w:p w14:paraId="4F1553AD" w14:textId="77777777" w:rsidR="005F3F14" w:rsidRPr="00F13D95" w:rsidRDefault="005F3F14" w:rsidP="005F3F14">
      <w:pPr>
        <w:pStyle w:val="Heading2"/>
        <w:keepNext w:val="0"/>
        <w:keepLines w:val="0"/>
        <w:numPr>
          <w:ilvl w:val="1"/>
          <w:numId w:val="8"/>
        </w:numPr>
        <w:spacing w:before="280" w:after="80"/>
        <w:contextualSpacing/>
      </w:pPr>
      <w:r w:rsidRPr="00F13D95">
        <w:t>Power Density Indicator (PDI)</w:t>
      </w:r>
    </w:p>
    <w:p w14:paraId="00380093" w14:textId="77777777" w:rsidR="005F3F14" w:rsidRPr="000365A0" w:rsidRDefault="005F3F14" w:rsidP="005F3F14">
      <w:pPr>
        <w:rPr>
          <w:szCs w:val="22"/>
        </w:rPr>
      </w:pPr>
      <w:r w:rsidRPr="000365A0">
        <w:rPr>
          <w:szCs w:val="22"/>
        </w:rPr>
        <w:t>The Power Density Indicator (PDI) is the number of watts per lux per metre squared of the road area concerned.  It is divided into sub-areas for a given state of operation:</w:t>
      </w:r>
    </w:p>
    <w:p w14:paraId="7F7AAA04" w14:textId="77777777" w:rsidR="005F3F14" w:rsidRPr="000365A0" w:rsidRDefault="005F3F14" w:rsidP="005F3F14">
      <w:pPr>
        <w:pStyle w:val="ListParagraph"/>
        <w:numPr>
          <w:ilvl w:val="0"/>
          <w:numId w:val="18"/>
        </w:numPr>
        <w:rPr>
          <w:sz w:val="22"/>
          <w:szCs w:val="22"/>
        </w:rPr>
      </w:pPr>
      <w:r w:rsidRPr="000365A0">
        <w:rPr>
          <w:sz w:val="22"/>
          <w:szCs w:val="22"/>
        </w:rPr>
        <w:t xml:space="preserve">where the lighting subcategory changes nightly or seasonally the power density is calculated for each subcategory, and; </w:t>
      </w:r>
    </w:p>
    <w:p w14:paraId="1FD95883" w14:textId="77777777" w:rsidR="005F3F14" w:rsidRPr="006954F2" w:rsidRDefault="005F3F14" w:rsidP="005F3F14">
      <w:pPr>
        <w:pStyle w:val="ListParagraph"/>
        <w:numPr>
          <w:ilvl w:val="0"/>
          <w:numId w:val="18"/>
        </w:numPr>
        <w:rPr>
          <w:sz w:val="22"/>
          <w:szCs w:val="22"/>
        </w:rPr>
      </w:pPr>
      <w:proofErr w:type="gramStart"/>
      <w:r w:rsidRPr="000365A0">
        <w:rPr>
          <w:sz w:val="22"/>
          <w:szCs w:val="22"/>
        </w:rPr>
        <w:t>where</w:t>
      </w:r>
      <w:proofErr w:type="gramEnd"/>
      <w:r w:rsidRPr="000365A0">
        <w:rPr>
          <w:sz w:val="22"/>
          <w:szCs w:val="22"/>
        </w:rPr>
        <w:t xml:space="preserve"> multiple lighting subcategories are used, nightly or yearly, the power density is calculated as an </w:t>
      </w:r>
      <w:r w:rsidRPr="006954F2">
        <w:rPr>
          <w:sz w:val="22"/>
          <w:szCs w:val="22"/>
        </w:rPr>
        <w:t>average.</w:t>
      </w:r>
    </w:p>
    <w:p w14:paraId="70256198" w14:textId="77777777" w:rsidR="005F3F14" w:rsidRPr="006954F2" w:rsidRDefault="005F3F14" w:rsidP="005F3F14">
      <w:pPr>
        <w:pStyle w:val="PurpleItalic"/>
        <w:ind w:left="0"/>
        <w:rPr>
          <w:i w:val="0"/>
          <w:iCs w:val="0"/>
          <w:color w:val="000000" w:themeColor="text1"/>
          <w:sz w:val="22"/>
          <w:szCs w:val="22"/>
        </w:rPr>
      </w:pPr>
      <w:r w:rsidRPr="006954F2">
        <w:rPr>
          <w:i w:val="0"/>
          <w:iCs w:val="0"/>
          <w:color w:val="000000" w:themeColor="text1"/>
          <w:sz w:val="22"/>
          <w:szCs w:val="22"/>
        </w:rPr>
        <w:t xml:space="preserve">Section 5 provides worked examples of the approach to including more than one state of operation in a PDI. </w:t>
      </w:r>
    </w:p>
    <w:p w14:paraId="651DF369" w14:textId="77777777" w:rsidR="005F3F14" w:rsidRPr="004661BD" w:rsidRDefault="005F3F14" w:rsidP="005F3F14">
      <w:pPr>
        <w:pStyle w:val="Italics"/>
        <w:ind w:left="0"/>
        <w:rPr>
          <w:b/>
          <w:bCs/>
          <w:color w:val="0070C0"/>
        </w:rPr>
      </w:pPr>
      <w:r w:rsidRPr="004661BD">
        <w:rPr>
          <w:b/>
          <w:bCs/>
          <w:color w:val="0070C0"/>
        </w:rPr>
        <w:t xml:space="preserve">PDI = System Power / (Illuminance x Area) </w:t>
      </w:r>
      <w:r>
        <w:rPr>
          <w:b/>
          <w:bCs/>
          <w:color w:val="0070C0"/>
        </w:rPr>
        <w:t xml:space="preserve">x </w:t>
      </w:r>
      <w:r w:rsidRPr="004661BD">
        <w:rPr>
          <w:b/>
          <w:bCs/>
          <w:color w:val="0070C0"/>
        </w:rPr>
        <w:t>N</w:t>
      </w:r>
      <w:r>
        <w:rPr>
          <w:b/>
          <w:bCs/>
          <w:color w:val="0070C0"/>
        </w:rPr>
        <w:t>o.</w:t>
      </w:r>
      <w:r w:rsidRPr="004661BD">
        <w:rPr>
          <w:b/>
          <w:bCs/>
          <w:color w:val="0070C0"/>
        </w:rPr>
        <w:t xml:space="preserve"> of Sub-Areas</w:t>
      </w:r>
    </w:p>
    <w:p w14:paraId="490FF243" w14:textId="77777777" w:rsidR="005F3F14" w:rsidRPr="000365A0" w:rsidRDefault="005F3F14" w:rsidP="005F3F14">
      <w:pPr>
        <w:rPr>
          <w:szCs w:val="22"/>
        </w:rPr>
      </w:pPr>
      <w:r w:rsidRPr="000365A0">
        <w:rPr>
          <w:szCs w:val="22"/>
        </w:rPr>
        <w:t>The following technical parameters apply:</w:t>
      </w:r>
    </w:p>
    <w:p w14:paraId="03CDDC7F" w14:textId="77777777" w:rsidR="005F3F14" w:rsidRPr="000365A0" w:rsidRDefault="005F3F14" w:rsidP="005F3F14">
      <w:pPr>
        <w:pStyle w:val="ListParagraph"/>
        <w:numPr>
          <w:ilvl w:val="0"/>
          <w:numId w:val="2"/>
        </w:numPr>
        <w:rPr>
          <w:sz w:val="22"/>
          <w:szCs w:val="22"/>
        </w:rPr>
      </w:pPr>
      <w:r w:rsidRPr="000365A0">
        <w:rPr>
          <w:b/>
          <w:bCs/>
          <w:sz w:val="22"/>
          <w:szCs w:val="22"/>
        </w:rPr>
        <w:t>System Power</w:t>
      </w:r>
      <w:r w:rsidRPr="000365A0">
        <w:rPr>
          <w:sz w:val="22"/>
          <w:szCs w:val="22"/>
        </w:rPr>
        <w:t xml:space="preserve"> (as above);</w:t>
      </w:r>
    </w:p>
    <w:p w14:paraId="0B9093AF" w14:textId="77777777" w:rsidR="005F3F14" w:rsidRPr="000365A0" w:rsidRDefault="005F3F14" w:rsidP="005F3F14">
      <w:pPr>
        <w:pStyle w:val="ListParagraph"/>
        <w:numPr>
          <w:ilvl w:val="0"/>
          <w:numId w:val="2"/>
        </w:numPr>
        <w:rPr>
          <w:b/>
          <w:bCs/>
          <w:sz w:val="22"/>
          <w:szCs w:val="22"/>
        </w:rPr>
      </w:pPr>
      <w:r w:rsidRPr="000365A0">
        <w:rPr>
          <w:b/>
          <w:bCs/>
          <w:sz w:val="22"/>
          <w:szCs w:val="22"/>
        </w:rPr>
        <w:t xml:space="preserve">Illuminance </w:t>
      </w:r>
      <w:r w:rsidRPr="000365A0">
        <w:rPr>
          <w:sz w:val="22"/>
          <w:szCs w:val="22"/>
        </w:rPr>
        <w:t xml:space="preserve">is the calculated maintained average horizontal illuminance value according to </w:t>
      </w:r>
      <w:r w:rsidRPr="000365A0">
        <w:rPr>
          <w:i/>
          <w:iCs/>
          <w:sz w:val="22"/>
          <w:szCs w:val="22"/>
        </w:rPr>
        <w:t>AS/NZS 1158.3.1:2020</w:t>
      </w:r>
      <w:r w:rsidRPr="000365A0">
        <w:rPr>
          <w:sz w:val="22"/>
          <w:szCs w:val="22"/>
        </w:rPr>
        <w:t>, for the area and subcategory concerned;</w:t>
      </w:r>
    </w:p>
    <w:p w14:paraId="447E661C" w14:textId="77777777" w:rsidR="005F3F14" w:rsidRPr="000365A0" w:rsidRDefault="005F3F14" w:rsidP="005F3F14">
      <w:pPr>
        <w:pStyle w:val="ListParagraph"/>
        <w:numPr>
          <w:ilvl w:val="0"/>
          <w:numId w:val="2"/>
        </w:numPr>
        <w:rPr>
          <w:b/>
          <w:bCs/>
          <w:sz w:val="22"/>
          <w:szCs w:val="22"/>
        </w:rPr>
      </w:pPr>
      <w:r w:rsidRPr="000365A0">
        <w:rPr>
          <w:b/>
          <w:bCs/>
          <w:sz w:val="22"/>
          <w:szCs w:val="22"/>
        </w:rPr>
        <w:t>Area</w:t>
      </w:r>
      <w:r w:rsidRPr="000365A0">
        <w:rPr>
          <w:sz w:val="22"/>
          <w:szCs w:val="22"/>
        </w:rPr>
        <w:t xml:space="preserve"> is identical to the area used for the lighting design calculations for the scheme concerned. The area is the road design width, multiplied by the length of road, both in metres;</w:t>
      </w:r>
    </w:p>
    <w:p w14:paraId="4020093A" w14:textId="77777777" w:rsidR="005F3F14" w:rsidRPr="00D52CF3" w:rsidRDefault="005F3F14" w:rsidP="005F3F14">
      <w:pPr>
        <w:pStyle w:val="ListParagraph"/>
        <w:numPr>
          <w:ilvl w:val="0"/>
          <w:numId w:val="2"/>
        </w:numPr>
        <w:rPr>
          <w:b/>
          <w:bCs/>
        </w:rPr>
      </w:pPr>
      <w:r w:rsidRPr="000365A0">
        <w:rPr>
          <w:b/>
          <w:bCs/>
          <w:sz w:val="22"/>
          <w:szCs w:val="22"/>
        </w:rPr>
        <w:t xml:space="preserve">Number of Sub-Areas </w:t>
      </w:r>
      <w:r w:rsidRPr="000365A0">
        <w:rPr>
          <w:sz w:val="22"/>
          <w:szCs w:val="22"/>
        </w:rPr>
        <w:t>is the number of sub-areas to be lit</w:t>
      </w:r>
      <w:r>
        <w:t>.</w:t>
      </w:r>
    </w:p>
    <w:p w14:paraId="280ED3BC" w14:textId="77777777" w:rsidR="005F3F14" w:rsidRPr="00AE082D" w:rsidRDefault="005F3F14" w:rsidP="005F3F14">
      <w:pPr>
        <w:pStyle w:val="Heading2"/>
        <w:keepNext w:val="0"/>
        <w:keepLines w:val="0"/>
        <w:numPr>
          <w:ilvl w:val="1"/>
          <w:numId w:val="8"/>
        </w:numPr>
        <w:spacing w:before="280" w:after="80"/>
        <w:contextualSpacing/>
      </w:pPr>
      <w:r w:rsidRPr="00AE082D">
        <w:t>Annual Energy Consumption Indicator (AECI)</w:t>
      </w:r>
    </w:p>
    <w:p w14:paraId="5BDD88B8" w14:textId="77777777" w:rsidR="005F3F14" w:rsidRPr="000365A0" w:rsidRDefault="005F3F14" w:rsidP="005F3F14">
      <w:pPr>
        <w:rPr>
          <w:szCs w:val="22"/>
        </w:rPr>
      </w:pPr>
      <w:r>
        <w:t xml:space="preserve">The </w:t>
      </w:r>
      <w:r w:rsidRPr="00A80E67">
        <w:t>Annual Energy Consumption Indicator</w:t>
      </w:r>
      <w:r>
        <w:t xml:space="preserve"> (AECI) is the annual energy used by the lighting scheme.  </w:t>
      </w:r>
      <w:r w:rsidRPr="00A32E5C">
        <w:t xml:space="preserve">For a road </w:t>
      </w:r>
      <w:r w:rsidRPr="000365A0">
        <w:rPr>
          <w:szCs w:val="22"/>
        </w:rPr>
        <w:t xml:space="preserve">lighting scheme this depends on a number of factors: </w:t>
      </w:r>
    </w:p>
    <w:p w14:paraId="5CD2E83D" w14:textId="77777777" w:rsidR="005F3F14" w:rsidRPr="000365A0" w:rsidRDefault="005F3F14" w:rsidP="005F3F14">
      <w:pPr>
        <w:pStyle w:val="ListParagraph"/>
        <w:numPr>
          <w:ilvl w:val="0"/>
          <w:numId w:val="19"/>
        </w:numPr>
        <w:rPr>
          <w:sz w:val="22"/>
          <w:szCs w:val="22"/>
        </w:rPr>
      </w:pPr>
      <w:r w:rsidRPr="000365A0">
        <w:rPr>
          <w:sz w:val="22"/>
          <w:szCs w:val="22"/>
        </w:rPr>
        <w:t>Time: Operating hours</w:t>
      </w:r>
    </w:p>
    <w:p w14:paraId="22244D7F" w14:textId="77777777" w:rsidR="005F3F14" w:rsidRPr="000365A0" w:rsidRDefault="005F3F14" w:rsidP="005F3F14">
      <w:pPr>
        <w:pStyle w:val="ListParagraph"/>
        <w:numPr>
          <w:ilvl w:val="0"/>
          <w:numId w:val="19"/>
        </w:numPr>
        <w:rPr>
          <w:sz w:val="22"/>
          <w:szCs w:val="22"/>
        </w:rPr>
      </w:pPr>
      <w:r w:rsidRPr="000365A0">
        <w:rPr>
          <w:sz w:val="22"/>
          <w:szCs w:val="22"/>
        </w:rPr>
        <w:t>Subcategory: Lighting standards subcategory for each lighting period</w:t>
      </w:r>
    </w:p>
    <w:p w14:paraId="65BDB2BD" w14:textId="77777777" w:rsidR="005F3F14" w:rsidRPr="000365A0" w:rsidRDefault="005F3F14" w:rsidP="005F3F14">
      <w:pPr>
        <w:pStyle w:val="ListParagraph"/>
        <w:numPr>
          <w:ilvl w:val="0"/>
          <w:numId w:val="19"/>
        </w:numPr>
        <w:rPr>
          <w:sz w:val="22"/>
          <w:szCs w:val="22"/>
        </w:rPr>
      </w:pPr>
      <w:r w:rsidRPr="000365A0">
        <w:rPr>
          <w:sz w:val="22"/>
          <w:szCs w:val="22"/>
        </w:rPr>
        <w:t>Efficiency: Efficiency of the lighting scheme</w:t>
      </w:r>
    </w:p>
    <w:p w14:paraId="397EDFF1" w14:textId="77777777" w:rsidR="005F3F14" w:rsidRPr="000365A0" w:rsidRDefault="005F3F14" w:rsidP="005F3F14">
      <w:pPr>
        <w:pStyle w:val="ListParagraph"/>
        <w:numPr>
          <w:ilvl w:val="0"/>
          <w:numId w:val="19"/>
        </w:numPr>
        <w:rPr>
          <w:sz w:val="22"/>
          <w:szCs w:val="22"/>
        </w:rPr>
      </w:pPr>
      <w:r w:rsidRPr="000365A0">
        <w:rPr>
          <w:sz w:val="22"/>
          <w:szCs w:val="22"/>
        </w:rPr>
        <w:t>Adaptive Control: Way the lighting control system adapts to changes in visual needs</w:t>
      </w:r>
    </w:p>
    <w:p w14:paraId="5361EDE0" w14:textId="77777777" w:rsidR="005F3F14" w:rsidRPr="000365A0" w:rsidRDefault="005F3F14" w:rsidP="005F3F14">
      <w:pPr>
        <w:pStyle w:val="ListParagraph"/>
        <w:numPr>
          <w:ilvl w:val="0"/>
          <w:numId w:val="19"/>
        </w:numPr>
        <w:rPr>
          <w:sz w:val="22"/>
          <w:szCs w:val="22"/>
        </w:rPr>
      </w:pPr>
      <w:r w:rsidRPr="000365A0">
        <w:rPr>
          <w:sz w:val="22"/>
          <w:szCs w:val="22"/>
        </w:rPr>
        <w:t>Standby Power: Networked standby mode power when lighting is not operating</w:t>
      </w:r>
    </w:p>
    <w:p w14:paraId="6EEF9598" w14:textId="77777777" w:rsidR="005F3F14" w:rsidRPr="00876B73" w:rsidRDefault="005F3F14" w:rsidP="005F3F14">
      <w:r w:rsidRPr="00A32E5C">
        <w:t xml:space="preserve">AECI is </w:t>
      </w:r>
      <w:r>
        <w:t xml:space="preserve">measured in watt hours per square metre (of the illuminated area) and is </w:t>
      </w:r>
      <w:r w:rsidRPr="00876B73">
        <w:t xml:space="preserve">calculated </w:t>
      </w:r>
      <w:r>
        <w:t xml:space="preserve">according to </w:t>
      </w:r>
      <w:r w:rsidRPr="00876B73">
        <w:t>the following formula:</w:t>
      </w:r>
    </w:p>
    <w:p w14:paraId="784AE5A5" w14:textId="77777777" w:rsidR="005F3F14" w:rsidRPr="004661BD" w:rsidRDefault="005F3F14" w:rsidP="005F3F14">
      <w:pPr>
        <w:pStyle w:val="Italics"/>
        <w:ind w:left="0"/>
        <w:rPr>
          <w:b/>
          <w:bCs/>
          <w:color w:val="0070C0"/>
        </w:rPr>
      </w:pPr>
      <w:r w:rsidRPr="004661BD">
        <w:rPr>
          <w:b/>
          <w:bCs/>
          <w:color w:val="0070C0"/>
        </w:rPr>
        <w:t>AECI = (Operational Power x Annual Operating H</w:t>
      </w:r>
      <w:r>
        <w:rPr>
          <w:b/>
          <w:bCs/>
          <w:color w:val="0070C0"/>
        </w:rPr>
        <w:t>r</w:t>
      </w:r>
      <w:r w:rsidRPr="004661BD">
        <w:rPr>
          <w:b/>
          <w:bCs/>
          <w:color w:val="0070C0"/>
        </w:rPr>
        <w:t xml:space="preserve">) </w:t>
      </w:r>
      <w:r>
        <w:rPr>
          <w:b/>
          <w:bCs/>
          <w:color w:val="0070C0"/>
        </w:rPr>
        <w:t>for Each State</w:t>
      </w:r>
      <w:r w:rsidRPr="004661BD">
        <w:rPr>
          <w:b/>
          <w:bCs/>
          <w:color w:val="0070C0"/>
        </w:rPr>
        <w:t xml:space="preserve"> / Area</w:t>
      </w:r>
    </w:p>
    <w:p w14:paraId="6C58EDD7" w14:textId="77777777" w:rsidR="005F3F14" w:rsidRPr="000365A0" w:rsidRDefault="005F3F14" w:rsidP="005F3F14">
      <w:pPr>
        <w:pStyle w:val="ListParagraph"/>
        <w:numPr>
          <w:ilvl w:val="0"/>
          <w:numId w:val="3"/>
        </w:numPr>
        <w:rPr>
          <w:sz w:val="22"/>
          <w:szCs w:val="22"/>
        </w:rPr>
      </w:pPr>
      <w:r w:rsidRPr="000365A0">
        <w:rPr>
          <w:b/>
          <w:bCs/>
          <w:sz w:val="22"/>
          <w:szCs w:val="22"/>
        </w:rPr>
        <w:t>Operational Power</w:t>
      </w:r>
      <w:r w:rsidRPr="000365A0">
        <w:rPr>
          <w:sz w:val="22"/>
          <w:szCs w:val="22"/>
        </w:rPr>
        <w:t xml:space="preserve"> is the power associated with the state of operation;</w:t>
      </w:r>
    </w:p>
    <w:p w14:paraId="2AA93789" w14:textId="77777777" w:rsidR="005F3F14" w:rsidRPr="000365A0" w:rsidRDefault="005F3F14" w:rsidP="005F3F14">
      <w:pPr>
        <w:pStyle w:val="ListParagraph"/>
        <w:numPr>
          <w:ilvl w:val="0"/>
          <w:numId w:val="3"/>
        </w:numPr>
        <w:rPr>
          <w:sz w:val="22"/>
          <w:szCs w:val="22"/>
        </w:rPr>
      </w:pPr>
      <w:r w:rsidRPr="000365A0">
        <w:rPr>
          <w:b/>
          <w:bCs/>
          <w:sz w:val="22"/>
          <w:szCs w:val="22"/>
        </w:rPr>
        <w:t xml:space="preserve">Annual Operating Hours </w:t>
      </w:r>
      <w:r w:rsidRPr="000365A0">
        <w:rPr>
          <w:sz w:val="22"/>
          <w:szCs w:val="22"/>
        </w:rPr>
        <w:t>is the duration of the operational profile over a year;</w:t>
      </w:r>
    </w:p>
    <w:p w14:paraId="38C441EF" w14:textId="77777777" w:rsidR="005F3F14" w:rsidRPr="000365A0" w:rsidRDefault="005F3F14" w:rsidP="005F3F14">
      <w:pPr>
        <w:pStyle w:val="ListParagraph"/>
        <w:numPr>
          <w:ilvl w:val="0"/>
          <w:numId w:val="3"/>
        </w:numPr>
        <w:rPr>
          <w:sz w:val="22"/>
          <w:szCs w:val="22"/>
        </w:rPr>
      </w:pPr>
      <w:r w:rsidRPr="000365A0">
        <w:rPr>
          <w:b/>
          <w:bCs/>
          <w:sz w:val="22"/>
          <w:szCs w:val="22"/>
        </w:rPr>
        <w:lastRenderedPageBreak/>
        <w:t>Number of periods</w:t>
      </w:r>
      <w:r w:rsidRPr="000365A0">
        <w:rPr>
          <w:sz w:val="22"/>
          <w:szCs w:val="22"/>
        </w:rPr>
        <w:t xml:space="preserve"> for each different operational state.  This includes any non-active power consumed when the lighting is not operational, i.e. daylight hours and any night period that does not require lighting;</w:t>
      </w:r>
    </w:p>
    <w:p w14:paraId="5C224C62" w14:textId="77777777" w:rsidR="005F3F14" w:rsidRPr="00BD1EAB" w:rsidRDefault="005F3F14" w:rsidP="005F3F14">
      <w:r w:rsidRPr="007F0E5E">
        <w:rPr>
          <w:b/>
          <w:bCs/>
        </w:rPr>
        <w:t>Illuminated Area</w:t>
      </w:r>
      <w:r>
        <w:t xml:space="preserve"> is the area </w:t>
      </w:r>
      <w:r w:rsidRPr="007F0E5E">
        <w:t>used for the lighting design calculations.</w:t>
      </w:r>
    </w:p>
    <w:p w14:paraId="2AD92E49" w14:textId="77777777" w:rsidR="005F3F14" w:rsidRDefault="005F3F14" w:rsidP="005F3F14">
      <w:r>
        <w:t>Section 6 shows the results of the calculations and the listing of the parameters and assumptions used.</w:t>
      </w:r>
    </w:p>
    <w:p w14:paraId="68D16276" w14:textId="77777777" w:rsidR="005F3F14" w:rsidRDefault="005F3F14" w:rsidP="005F3F14">
      <w:pPr>
        <w:pStyle w:val="Heading2"/>
        <w:keepNext w:val="0"/>
        <w:keepLines w:val="0"/>
        <w:numPr>
          <w:ilvl w:val="1"/>
          <w:numId w:val="8"/>
        </w:numPr>
        <w:spacing w:before="280" w:after="80"/>
        <w:contextualSpacing/>
      </w:pPr>
      <w:r>
        <w:t>Category V Main Roads - Luminance Calculations</w:t>
      </w:r>
    </w:p>
    <w:p w14:paraId="43BB2EB2" w14:textId="77777777" w:rsidR="005F3F14" w:rsidRDefault="005F3F14" w:rsidP="005F3F14">
      <w:r>
        <w:t>In the AS/NZ 1158 series, lighting design requirements where pedestrians are predominant (Category P) are different to lighting where vehicles are predominant (Category V).  This is similar to practice in other regional lighting design standards.  Category P lighting uses illuminance (i.e. light delivered to the road, or other surface) to determine the visual conditions.  In contrast, Category V lighting is where luminance (i.e. light reflected off the road surface) determines the visual conditions.</w:t>
      </w:r>
    </w:p>
    <w:p w14:paraId="7EFB36BB" w14:textId="77777777" w:rsidR="005F3F14" w:rsidRPr="006954F2" w:rsidRDefault="005F3F14" w:rsidP="005F3F14">
      <w:pPr>
        <w:rPr>
          <w:szCs w:val="22"/>
        </w:rPr>
      </w:pPr>
      <w:r>
        <w:t>Therefore, i</w:t>
      </w:r>
      <w:r w:rsidRPr="00D50236">
        <w:t xml:space="preserve">n contrast to </w:t>
      </w:r>
      <w:r>
        <w:t>Category P application where average horizontal</w:t>
      </w:r>
      <w:r w:rsidRPr="00D50236">
        <w:t xml:space="preserve"> illuminance </w:t>
      </w:r>
      <w:r>
        <w:t>(lx) is the principal light technical parameter</w:t>
      </w:r>
      <w:r w:rsidRPr="00D50236">
        <w:t>,</w:t>
      </w:r>
      <w:r>
        <w:t xml:space="preserve"> Category V applications use average carriageway </w:t>
      </w:r>
      <w:r w:rsidRPr="00D50236">
        <w:t>luminance</w:t>
      </w:r>
      <w:r>
        <w:t xml:space="preserve"> (cd/m</w:t>
      </w:r>
      <w:r w:rsidRPr="003628F3">
        <w:rPr>
          <w:vertAlign w:val="superscript"/>
        </w:rPr>
        <w:t>2</w:t>
      </w:r>
      <w:r>
        <w:t>).</w:t>
      </w:r>
      <w:r w:rsidRPr="00D50236">
        <w:t xml:space="preserve"> </w:t>
      </w:r>
      <w:r>
        <w:t xml:space="preserve"> </w:t>
      </w:r>
      <w:r w:rsidRPr="00D50236">
        <w:t xml:space="preserve">In order </w:t>
      </w:r>
      <w:r>
        <w:t xml:space="preserve">to </w:t>
      </w:r>
      <w:r w:rsidRPr="006954F2">
        <w:rPr>
          <w:szCs w:val="22"/>
        </w:rPr>
        <w:t>calculate the energy performance of Category V lighting schemes, some conversion steps are necessary:</w:t>
      </w:r>
    </w:p>
    <w:p w14:paraId="066F9C7F" w14:textId="77777777" w:rsidR="005F3F14" w:rsidRPr="006954F2" w:rsidRDefault="005F3F14" w:rsidP="005F3F14">
      <w:pPr>
        <w:pStyle w:val="ListNumbered"/>
        <w:rPr>
          <w:sz w:val="22"/>
          <w:szCs w:val="22"/>
        </w:rPr>
      </w:pPr>
      <w:r w:rsidRPr="006954F2">
        <w:rPr>
          <w:sz w:val="22"/>
          <w:szCs w:val="22"/>
        </w:rPr>
        <w:t>Design for normal Category V luminance (cd/m</w:t>
      </w:r>
      <w:r w:rsidRPr="006954F2">
        <w:rPr>
          <w:sz w:val="22"/>
          <w:szCs w:val="22"/>
          <w:vertAlign w:val="superscript"/>
        </w:rPr>
        <w:t>2</w:t>
      </w:r>
      <w:r w:rsidRPr="006954F2">
        <w:rPr>
          <w:sz w:val="22"/>
          <w:szCs w:val="22"/>
        </w:rPr>
        <w:t xml:space="preserve">) requirements, </w:t>
      </w:r>
      <w:r w:rsidRPr="006954F2">
        <w:rPr>
          <w:rFonts w:eastAsia="Times New Roman"/>
          <w:color w:val="000000"/>
          <w:sz w:val="22"/>
          <w:szCs w:val="22"/>
        </w:rPr>
        <w:t>to calculate the luminaire power required;</w:t>
      </w:r>
    </w:p>
    <w:p w14:paraId="02D371A8" w14:textId="77777777" w:rsidR="005F3F14" w:rsidRPr="006954F2" w:rsidRDefault="005F3F14" w:rsidP="005F3F14">
      <w:pPr>
        <w:pStyle w:val="ListNumbered"/>
        <w:rPr>
          <w:rFonts w:eastAsia="Times New Roman"/>
          <w:color w:val="000000"/>
          <w:sz w:val="22"/>
          <w:szCs w:val="22"/>
          <w:lang w:val="en-NZ"/>
        </w:rPr>
      </w:pPr>
      <w:r w:rsidRPr="006954F2">
        <w:rPr>
          <w:sz w:val="22"/>
          <w:szCs w:val="22"/>
        </w:rPr>
        <w:t>Using this luminaire power level</w:t>
      </w:r>
      <w:r w:rsidRPr="006954F2">
        <w:rPr>
          <w:rFonts w:eastAsia="Times New Roman"/>
          <w:color w:val="000000"/>
          <w:sz w:val="22"/>
          <w:szCs w:val="22"/>
        </w:rPr>
        <w:t xml:space="preserve"> (and the other scheme parameters) calculate the scheme illuminance (lx). This is done using the same design grid points as used for the luminance calculations;</w:t>
      </w:r>
    </w:p>
    <w:p w14:paraId="04BBF262" w14:textId="77777777" w:rsidR="005F3F14" w:rsidRPr="006954F2" w:rsidRDefault="005F3F14" w:rsidP="005F3F14">
      <w:pPr>
        <w:pStyle w:val="ListNumbered"/>
        <w:rPr>
          <w:sz w:val="22"/>
          <w:szCs w:val="22"/>
        </w:rPr>
      </w:pPr>
      <w:r w:rsidRPr="006954F2">
        <w:rPr>
          <w:sz w:val="22"/>
          <w:szCs w:val="22"/>
        </w:rPr>
        <w:t>Use this illuminance value for the calculation of PDI, and then AECI.</w:t>
      </w:r>
    </w:p>
    <w:p w14:paraId="394E3D7F" w14:textId="77777777" w:rsidR="005F3F14" w:rsidRPr="006954F2" w:rsidRDefault="005F3F14" w:rsidP="005F3F14">
      <w:pPr>
        <w:pStyle w:val="ListNumbered"/>
        <w:numPr>
          <w:ilvl w:val="0"/>
          <w:numId w:val="0"/>
        </w:numPr>
        <w:ind w:left="720"/>
        <w:rPr>
          <w:sz w:val="22"/>
          <w:szCs w:val="22"/>
        </w:rPr>
      </w:pPr>
    </w:p>
    <w:p w14:paraId="0999FBD6" w14:textId="77777777" w:rsidR="005F3F14" w:rsidRPr="00A32E5C" w:rsidRDefault="005F3F14" w:rsidP="005F3F14">
      <w:r w:rsidRPr="006954F2">
        <w:rPr>
          <w:szCs w:val="22"/>
        </w:rPr>
        <w:t>All subsequent</w:t>
      </w:r>
      <w:r>
        <w:t xml:space="preserve"> calculations for energy performance for Category V applications are the same as those for Category P.</w:t>
      </w:r>
    </w:p>
    <w:p w14:paraId="6D5FD962" w14:textId="77777777" w:rsidR="00F9299B" w:rsidRDefault="00F9299B">
      <w:pPr>
        <w:spacing w:after="0" w:line="240" w:lineRule="auto"/>
        <w:rPr>
          <w:rFonts w:eastAsiaTheme="majorEastAsia" w:cstheme="majorBidi"/>
          <w:b/>
          <w:bCs/>
          <w:color w:val="ED1B24"/>
          <w:sz w:val="32"/>
          <w:szCs w:val="28"/>
        </w:rPr>
      </w:pPr>
      <w:bookmarkStart w:id="3" w:name="_Ref57803873"/>
      <w:r>
        <w:br w:type="page"/>
      </w:r>
    </w:p>
    <w:p w14:paraId="1B0E4E10" w14:textId="6FA022B1" w:rsidR="005F3F14" w:rsidRPr="00625F5B" w:rsidRDefault="005F3F14" w:rsidP="005F3F14">
      <w:pPr>
        <w:pStyle w:val="Heading1"/>
        <w:keepNext w:val="0"/>
        <w:keepLines w:val="0"/>
        <w:numPr>
          <w:ilvl w:val="0"/>
          <w:numId w:val="8"/>
        </w:numPr>
        <w:spacing w:before="240" w:after="80"/>
        <w:ind w:left="431" w:hanging="431"/>
      </w:pPr>
      <w:r w:rsidRPr="00BA6ADC">
        <w:lastRenderedPageBreak/>
        <w:t>Work</w:t>
      </w:r>
      <w:r>
        <w:t>ed</w:t>
      </w:r>
      <w:r w:rsidRPr="00BA6ADC">
        <w:t xml:space="preserve"> Example</w:t>
      </w:r>
      <w:r>
        <w:t>s in AS/NZS 1158.3.1:2020 Appendix F</w:t>
      </w:r>
      <w:bookmarkEnd w:id="3"/>
      <w:r>
        <w:t xml:space="preserve"> </w:t>
      </w:r>
    </w:p>
    <w:p w14:paraId="0ED587DE" w14:textId="77777777" w:rsidR="005F3F14" w:rsidRDefault="005F3F14" w:rsidP="005F3F14">
      <w:pPr>
        <w:pStyle w:val="Heading2"/>
        <w:keepNext w:val="0"/>
        <w:keepLines w:val="0"/>
        <w:numPr>
          <w:ilvl w:val="1"/>
          <w:numId w:val="8"/>
        </w:numPr>
        <w:spacing w:before="280" w:after="80"/>
        <w:contextualSpacing/>
      </w:pPr>
      <w:r w:rsidRPr="00780571">
        <w:t>PR3 State Operation</w:t>
      </w:r>
      <w:r>
        <w:t xml:space="preserve"> (100% power)</w:t>
      </w:r>
    </w:p>
    <w:p w14:paraId="30CA1123" w14:textId="245F9348" w:rsidR="005F3F14" w:rsidRPr="00D75C49" w:rsidRDefault="00AB69D2" w:rsidP="005F3F14">
      <w:pPr>
        <w:pStyle w:val="Figure"/>
      </w:pPr>
      <w:r>
        <w:pict w14:anchorId="54B80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15pt;height:270.5pt">
            <v:imagedata r:id="rId18" o:title="Figure 4 V10[3]"/>
          </v:shape>
        </w:pict>
      </w:r>
    </w:p>
    <w:p w14:paraId="53003C1D" w14:textId="708283B3" w:rsidR="005F3F14" w:rsidRDefault="005F3F14" w:rsidP="005F3F14">
      <w:pPr>
        <w:pStyle w:val="Caption"/>
      </w:pPr>
      <w:r>
        <w:t xml:space="preserve">Figure </w:t>
      </w:r>
      <w:r w:rsidR="00D0375E">
        <w:rPr>
          <w:noProof/>
        </w:rPr>
        <w:fldChar w:fldCharType="begin"/>
      </w:r>
      <w:r w:rsidR="00D0375E">
        <w:rPr>
          <w:noProof/>
        </w:rPr>
        <w:instrText xml:space="preserve"> SEQ Figure \* ARABIC </w:instrText>
      </w:r>
      <w:r w:rsidR="00D0375E">
        <w:rPr>
          <w:noProof/>
        </w:rPr>
        <w:fldChar w:fldCharType="separate"/>
      </w:r>
      <w:r w:rsidR="00294748">
        <w:rPr>
          <w:noProof/>
        </w:rPr>
        <w:t>3</w:t>
      </w:r>
      <w:r w:rsidR="00D0375E">
        <w:rPr>
          <w:noProof/>
        </w:rPr>
        <w:fldChar w:fldCharType="end"/>
      </w:r>
      <w:r>
        <w:t xml:space="preserve">  PR3 State Operation 100% Power</w:t>
      </w:r>
      <w:r w:rsidR="00284E1C">
        <w:t xml:space="preserve"> (note that the actual total hours of operation will vary across the year due to variations in sunrise and sunset, with increased opportunities for savings in the winter months)</w:t>
      </w:r>
      <w:r w:rsidR="00EC4B69">
        <w:t>.</w:t>
      </w:r>
    </w:p>
    <w:p w14:paraId="4B0EFA8D" w14:textId="77777777" w:rsidR="008A19AA" w:rsidRDefault="008A19AA" w:rsidP="00F9299B"/>
    <w:p w14:paraId="243FA3EB" w14:textId="77777777" w:rsidR="008A19AA" w:rsidRDefault="008A19AA" w:rsidP="008A19AA"/>
    <w:p w14:paraId="38803195" w14:textId="77777777" w:rsidR="008A19AA" w:rsidRDefault="008A19AA" w:rsidP="008A19AA"/>
    <w:p w14:paraId="28FAF859" w14:textId="77777777" w:rsidR="008A19AA" w:rsidRPr="008A19AA" w:rsidRDefault="008A19AA" w:rsidP="008A19AA"/>
    <w:p w14:paraId="37A4D513" w14:textId="77777777" w:rsidR="00F9299B" w:rsidRDefault="00F9299B">
      <w:pPr>
        <w:spacing w:after="0" w:line="240" w:lineRule="auto"/>
        <w:rPr>
          <w:rFonts w:eastAsiaTheme="majorEastAsia" w:cstheme="majorBidi"/>
          <w:bCs/>
          <w:color w:val="ED1B24"/>
          <w:sz w:val="28"/>
          <w:szCs w:val="26"/>
        </w:rPr>
      </w:pPr>
      <w:r>
        <w:br w:type="page"/>
      </w:r>
    </w:p>
    <w:p w14:paraId="3F16324B" w14:textId="2100D2D4" w:rsidR="005F3F14" w:rsidRPr="00780571" w:rsidRDefault="005F3F14" w:rsidP="005F3F14">
      <w:pPr>
        <w:pStyle w:val="Heading2"/>
        <w:keepNext w:val="0"/>
        <w:keepLines w:val="0"/>
        <w:numPr>
          <w:ilvl w:val="1"/>
          <w:numId w:val="8"/>
        </w:numPr>
        <w:spacing w:before="280" w:after="80"/>
        <w:contextualSpacing/>
      </w:pPr>
      <w:r w:rsidRPr="00780571">
        <w:lastRenderedPageBreak/>
        <w:t>PR5 State Operation</w:t>
      </w:r>
      <w:r>
        <w:t xml:space="preserve"> (50% power)</w:t>
      </w:r>
    </w:p>
    <w:p w14:paraId="5194376B" w14:textId="08C4C1DE" w:rsidR="005F3F14" w:rsidRDefault="00AB69D2" w:rsidP="005F3F14">
      <w:pPr>
        <w:pStyle w:val="Figure"/>
      </w:pPr>
      <w:r>
        <w:pict w14:anchorId="793B0E51">
          <v:shape id="_x0000_i1026" type="#_x0000_t75" style="width:405.15pt;height:273.75pt">
            <v:imagedata r:id="rId19" o:title="Figure 5 V9[3]"/>
          </v:shape>
        </w:pict>
      </w:r>
    </w:p>
    <w:p w14:paraId="3E1EEB59" w14:textId="77777777" w:rsidR="005F3F14" w:rsidRDefault="005F3F14" w:rsidP="005F3F14">
      <w:pPr>
        <w:pStyle w:val="Caption"/>
      </w:pPr>
      <w:r>
        <w:t xml:space="preserve">Figure </w:t>
      </w:r>
      <w:r w:rsidR="00D0375E">
        <w:rPr>
          <w:noProof/>
        </w:rPr>
        <w:fldChar w:fldCharType="begin"/>
      </w:r>
      <w:r w:rsidR="00D0375E">
        <w:rPr>
          <w:noProof/>
        </w:rPr>
        <w:instrText xml:space="preserve"> SEQ Figure \* ARABIC </w:instrText>
      </w:r>
      <w:r w:rsidR="00D0375E">
        <w:rPr>
          <w:noProof/>
        </w:rPr>
        <w:fldChar w:fldCharType="separate"/>
      </w:r>
      <w:r w:rsidR="00294748">
        <w:rPr>
          <w:noProof/>
        </w:rPr>
        <w:t>4</w:t>
      </w:r>
      <w:r w:rsidR="00D0375E">
        <w:rPr>
          <w:noProof/>
        </w:rPr>
        <w:fldChar w:fldCharType="end"/>
      </w:r>
      <w:r>
        <w:t xml:space="preserve">  PR5 State Operation 50% Power</w:t>
      </w:r>
    </w:p>
    <w:p w14:paraId="449946DF" w14:textId="40248644" w:rsidR="005F3F14" w:rsidRPr="001A2508" w:rsidRDefault="005F3F14" w:rsidP="005F3F14">
      <w:pPr>
        <w:pStyle w:val="Heading2"/>
        <w:keepNext w:val="0"/>
        <w:keepLines w:val="0"/>
        <w:numPr>
          <w:ilvl w:val="1"/>
          <w:numId w:val="8"/>
        </w:numPr>
        <w:spacing w:before="280" w:after="80"/>
        <w:contextualSpacing/>
      </w:pPr>
      <w:r>
        <w:t>Overall PDI for Combined PR3 and PR5</w:t>
      </w:r>
      <w:r w:rsidRPr="00780571">
        <w:t xml:space="preserve"> Operation</w:t>
      </w:r>
    </w:p>
    <w:p w14:paraId="2EB9F2B8" w14:textId="37A8B0D0" w:rsidR="00E616E7" w:rsidRDefault="00AB69D2" w:rsidP="005F3F14">
      <w:pPr>
        <w:pStyle w:val="Caption"/>
      </w:pPr>
      <w:r>
        <w:pict w14:anchorId="65EACA50">
          <v:shape id="_x0000_i1027" type="#_x0000_t75" style="width:445.85pt;height:307.55pt">
            <v:imagedata r:id="rId20" o:title="Figure 6 V10[3]"/>
          </v:shape>
        </w:pict>
      </w:r>
    </w:p>
    <w:p w14:paraId="4740C50F" w14:textId="77777777" w:rsidR="005F3F14" w:rsidRDefault="005F3F14" w:rsidP="005F3F14">
      <w:pPr>
        <w:pStyle w:val="Caption"/>
      </w:pPr>
      <w:r>
        <w:lastRenderedPageBreak/>
        <w:t xml:space="preserve">Figure </w:t>
      </w:r>
      <w:r w:rsidR="00D0375E">
        <w:rPr>
          <w:noProof/>
        </w:rPr>
        <w:fldChar w:fldCharType="begin"/>
      </w:r>
      <w:r w:rsidR="00D0375E">
        <w:rPr>
          <w:noProof/>
        </w:rPr>
        <w:instrText xml:space="preserve"> SEQ Figure \* ARABIC </w:instrText>
      </w:r>
      <w:r w:rsidR="00D0375E">
        <w:rPr>
          <w:noProof/>
        </w:rPr>
        <w:fldChar w:fldCharType="separate"/>
      </w:r>
      <w:r w:rsidR="00294748">
        <w:rPr>
          <w:noProof/>
        </w:rPr>
        <w:t>5</w:t>
      </w:r>
      <w:r w:rsidR="00D0375E">
        <w:rPr>
          <w:noProof/>
        </w:rPr>
        <w:fldChar w:fldCharType="end"/>
      </w:r>
      <w:r>
        <w:t xml:space="preserve">  Overall PDI for Combined PR3 and PR5 Operation</w:t>
      </w:r>
    </w:p>
    <w:p w14:paraId="1AD4A772" w14:textId="77777777" w:rsidR="005F3F14" w:rsidRDefault="005F3F14" w:rsidP="005F3F14">
      <w:pPr>
        <w:pStyle w:val="Heading2"/>
        <w:keepNext w:val="0"/>
        <w:keepLines w:val="0"/>
        <w:numPr>
          <w:ilvl w:val="1"/>
          <w:numId w:val="8"/>
        </w:numPr>
        <w:spacing w:before="280" w:after="80"/>
        <w:contextualSpacing/>
      </w:pPr>
      <w:r w:rsidRPr="00091ED8">
        <w:t>AECI Calculation</w:t>
      </w:r>
    </w:p>
    <w:p w14:paraId="6B286F77" w14:textId="4E6A5AA6" w:rsidR="005F3F14" w:rsidRDefault="00AB69D2" w:rsidP="005F3F14">
      <w:pPr>
        <w:pStyle w:val="Figure"/>
      </w:pPr>
      <w:r>
        <w:pict w14:anchorId="2A6426EF">
          <v:shape id="_x0000_i1028" type="#_x0000_t75" style="width:419pt;height:290.05pt">
            <v:imagedata r:id="rId21" o:title="FIgure 7"/>
          </v:shape>
        </w:pict>
      </w:r>
    </w:p>
    <w:p w14:paraId="09492B22" w14:textId="77777777" w:rsidR="005F3F14" w:rsidRDefault="005F3F14" w:rsidP="005F3F14">
      <w:pPr>
        <w:pStyle w:val="Caption"/>
      </w:pPr>
      <w:r>
        <w:t xml:space="preserve">Figure </w:t>
      </w:r>
      <w:r w:rsidR="00D0375E">
        <w:rPr>
          <w:noProof/>
        </w:rPr>
        <w:fldChar w:fldCharType="begin"/>
      </w:r>
      <w:r w:rsidR="00D0375E">
        <w:rPr>
          <w:noProof/>
        </w:rPr>
        <w:instrText xml:space="preserve"> SEQ Figure \* ARABIC </w:instrText>
      </w:r>
      <w:r w:rsidR="00D0375E">
        <w:rPr>
          <w:noProof/>
        </w:rPr>
        <w:fldChar w:fldCharType="separate"/>
      </w:r>
      <w:r w:rsidR="00294748">
        <w:rPr>
          <w:noProof/>
        </w:rPr>
        <w:t>6</w:t>
      </w:r>
      <w:r w:rsidR="00D0375E">
        <w:rPr>
          <w:noProof/>
        </w:rPr>
        <w:fldChar w:fldCharType="end"/>
      </w:r>
      <w:r>
        <w:t xml:space="preserve">  </w:t>
      </w:r>
      <w:r w:rsidRPr="00141CC8">
        <w:t>AECI calculation for combined PR3, PR5 Operation and Day standby</w:t>
      </w:r>
    </w:p>
    <w:p w14:paraId="5708776A" w14:textId="77777777" w:rsidR="005F3F14" w:rsidRDefault="005F3F14" w:rsidP="005F3F14">
      <w:pPr>
        <w:pStyle w:val="Heading2"/>
        <w:keepNext w:val="0"/>
        <w:keepLines w:val="0"/>
        <w:numPr>
          <w:ilvl w:val="1"/>
          <w:numId w:val="8"/>
        </w:numPr>
        <w:spacing w:before="280" w:after="80"/>
        <w:contextualSpacing/>
      </w:pPr>
      <w:r>
        <w:t>Constant Lighting Output (CLO) Example</w:t>
      </w:r>
    </w:p>
    <w:p w14:paraId="7ADA02F5" w14:textId="77777777" w:rsidR="005F3F14" w:rsidRDefault="005F3F14" w:rsidP="005F3F14">
      <w:r>
        <w:t>All lighting design calculations establish light levels at end of life of the lighting scheme, thus over-lighting to allow for lumen depreciation.  CLO corrects that by starting at a lower power and finishing at full power at end of life.  System Power is</w:t>
      </w:r>
      <w:r w:rsidRPr="00A42D4F">
        <w:t xml:space="preserve"> the only energy parameter </w:t>
      </w:r>
      <w:r>
        <w:t xml:space="preserve">in the calculation method </w:t>
      </w:r>
      <w:r w:rsidRPr="00A42D4F">
        <w:t>that changes with CLO</w:t>
      </w:r>
      <w:r>
        <w:t xml:space="preserve">.  Where CLO is used, System Power uses the </w:t>
      </w:r>
      <w:r w:rsidRPr="00A42D4F">
        <w:t xml:space="preserve">average power </w:t>
      </w:r>
      <w:r>
        <w:t xml:space="preserve">value </w:t>
      </w:r>
      <w:r w:rsidRPr="00A42D4F">
        <w:t>over the lifetime of the luminaire.</w:t>
      </w:r>
    </w:p>
    <w:p w14:paraId="18B06EF6" w14:textId="0308484A" w:rsidR="005F3F14" w:rsidRDefault="005F3F14" w:rsidP="005F3F14">
      <w:r>
        <w:t xml:space="preserve">The example provided in the Appendix F2.5.2 of </w:t>
      </w:r>
      <w:r w:rsidRPr="005B55B7">
        <w:rPr>
          <w:i/>
          <w:iCs/>
        </w:rPr>
        <w:t>AS/NZS 1158.3.1:2020</w:t>
      </w:r>
      <w:r>
        <w:t xml:space="preserve"> shows the calculation of PDI for a CLO lighting </w:t>
      </w:r>
      <w:r w:rsidRPr="002C11FE">
        <w:t>installation</w:t>
      </w:r>
      <w:r w:rsidRPr="005F3C34">
        <w:t>.</w:t>
      </w:r>
      <w:r w:rsidRPr="00B43EE2">
        <w:t xml:space="preserve">  </w:t>
      </w:r>
      <w:r w:rsidR="000111D3">
        <w:t xml:space="preserve">The only difference caused by the use of CLO in these calculations is in the value of the operational power used for System Power and PDI calculations. </w:t>
      </w:r>
      <w:r w:rsidRPr="00B43EE2">
        <w:t xml:space="preserve">It is a </w:t>
      </w:r>
      <w:r>
        <w:t xml:space="preserve">simple </w:t>
      </w:r>
      <w:r w:rsidRPr="00B43EE2">
        <w:t>straight-line average of the power used over the luminaire</w:t>
      </w:r>
      <w:r>
        <w:t xml:space="preserve"> lifetime as shown in </w:t>
      </w:r>
      <w:r>
        <w:fldChar w:fldCharType="begin"/>
      </w:r>
      <w:r>
        <w:instrText xml:space="preserve"> REF _Ref50908765 \h </w:instrText>
      </w:r>
      <w:r>
        <w:fldChar w:fldCharType="separate"/>
      </w:r>
      <w:r w:rsidR="00294748">
        <w:t xml:space="preserve">Figure </w:t>
      </w:r>
      <w:r w:rsidR="00294748">
        <w:rPr>
          <w:noProof/>
        </w:rPr>
        <w:t>7</w:t>
      </w:r>
      <w:r>
        <w:fldChar w:fldCharType="end"/>
      </w:r>
      <w:r>
        <w:t>.</w:t>
      </w:r>
    </w:p>
    <w:p w14:paraId="439D93E1" w14:textId="77777777" w:rsidR="005F3F14" w:rsidRDefault="005F3F14" w:rsidP="005F3F14">
      <w:pPr>
        <w:pStyle w:val="Figure"/>
      </w:pPr>
      <w:r w:rsidRPr="00721D06">
        <w:drawing>
          <wp:inline distT="0" distB="0" distL="0" distR="0" wp14:anchorId="0A9D1AD1" wp14:editId="481A6A84">
            <wp:extent cx="5727700" cy="1369530"/>
            <wp:effectExtent l="0" t="0" r="6350" b="2540"/>
            <wp:docPr id="6" name="Content Placeholder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6389BBF-A24A-0042-A089-56CC1A52671D}"/>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6389BBF-A24A-0042-A089-56CC1A52671D}"/>
                        </a:ext>
                      </a:extLst>
                    </pic:cNvPr>
                    <pic:cNvPicPr>
                      <a:picLocks noGrp="1"/>
                    </pic:cNvPicPr>
                  </pic:nvPicPr>
                  <pic:blipFill rotWithShape="1">
                    <a:blip r:embed="rId22" cstate="email">
                      <a:extLst>
                        <a:ext uri="{28A0092B-C50C-407E-A947-70E740481C1C}">
                          <a14:useLocalDpi xmlns:a14="http://schemas.microsoft.com/office/drawing/2010/main"/>
                        </a:ext>
                      </a:extLst>
                    </a:blip>
                    <a:srcRect/>
                    <a:stretch/>
                  </pic:blipFill>
                  <pic:spPr bwMode="auto">
                    <a:xfrm>
                      <a:off x="0" y="0"/>
                      <a:ext cx="5727700" cy="1369530"/>
                    </a:xfrm>
                    <a:prstGeom prst="rect">
                      <a:avLst/>
                    </a:prstGeom>
                    <a:ln>
                      <a:noFill/>
                    </a:ln>
                    <a:extLst>
                      <a:ext uri="{53640926-AAD7-44D8-BBD7-CCE9431645EC}">
                        <a14:shadowObscured xmlns:a14="http://schemas.microsoft.com/office/drawing/2010/main"/>
                      </a:ext>
                    </a:extLst>
                  </pic:spPr>
                </pic:pic>
              </a:graphicData>
            </a:graphic>
          </wp:inline>
        </w:drawing>
      </w:r>
    </w:p>
    <w:p w14:paraId="0F3F07A4" w14:textId="77777777" w:rsidR="005F3F14" w:rsidRDefault="005F3F14" w:rsidP="005F3F14">
      <w:pPr>
        <w:pStyle w:val="Caption"/>
      </w:pPr>
      <w:bookmarkStart w:id="4" w:name="_Ref50908765"/>
      <w:r>
        <w:t xml:space="preserve">Figure </w:t>
      </w:r>
      <w:r w:rsidR="00D0375E">
        <w:rPr>
          <w:noProof/>
        </w:rPr>
        <w:fldChar w:fldCharType="begin"/>
      </w:r>
      <w:r w:rsidR="00D0375E">
        <w:rPr>
          <w:noProof/>
        </w:rPr>
        <w:instrText xml:space="preserve"> SEQ Figure \* ARABIC </w:instrText>
      </w:r>
      <w:r w:rsidR="00D0375E">
        <w:rPr>
          <w:noProof/>
        </w:rPr>
        <w:fldChar w:fldCharType="separate"/>
      </w:r>
      <w:r w:rsidR="00294748">
        <w:rPr>
          <w:noProof/>
        </w:rPr>
        <w:t>7</w:t>
      </w:r>
      <w:r w:rsidR="00D0375E">
        <w:rPr>
          <w:noProof/>
        </w:rPr>
        <w:fldChar w:fldCharType="end"/>
      </w:r>
      <w:bookmarkEnd w:id="4"/>
      <w:r>
        <w:t xml:space="preserve">  System Power with CLO</w:t>
      </w:r>
    </w:p>
    <w:p w14:paraId="0014DD72" w14:textId="77777777" w:rsidR="005F3F14" w:rsidRPr="00266B38" w:rsidRDefault="005F3F14" w:rsidP="005F3F14">
      <w:pPr>
        <w:pStyle w:val="Heading1"/>
        <w:keepNext w:val="0"/>
        <w:keepLines w:val="0"/>
        <w:numPr>
          <w:ilvl w:val="0"/>
          <w:numId w:val="8"/>
        </w:numPr>
        <w:spacing w:before="240" w:after="80"/>
      </w:pPr>
      <w:bookmarkStart w:id="5" w:name="_Ref57809493"/>
      <w:r>
        <w:lastRenderedPageBreak/>
        <w:t>Reporting</w:t>
      </w:r>
      <w:r w:rsidRPr="00266B38">
        <w:t xml:space="preserve"> of Energy Performance Indicators</w:t>
      </w:r>
      <w:bookmarkEnd w:id="5"/>
    </w:p>
    <w:p w14:paraId="3B80211A" w14:textId="77777777" w:rsidR="005F3F14" w:rsidRDefault="005F3F14" w:rsidP="005F3F14">
      <w:r w:rsidRPr="00641739">
        <w:rPr>
          <w:i/>
          <w:iCs/>
        </w:rPr>
        <w:t>AS/NZS 1158.3.1:2020</w:t>
      </w:r>
      <w:r w:rsidRPr="004A7490">
        <w:t xml:space="preserve"> </w:t>
      </w:r>
      <w:r>
        <w:t xml:space="preserve">provides general information on energy performance reporting. </w:t>
      </w:r>
    </w:p>
    <w:p w14:paraId="3D82AF40" w14:textId="77777777" w:rsidR="005F3F14" w:rsidRPr="00A32E5C" w:rsidRDefault="005F3F14" w:rsidP="005F3F14">
      <w:r w:rsidRPr="00A32E5C">
        <w:t>PDI and AECI are compound parameters and should reported together, along with the calculation input parameter values and lighting scheme application assumptions. Graphical representation of the operational profile is an effective means of presentation.</w:t>
      </w:r>
    </w:p>
    <w:p w14:paraId="5989F254" w14:textId="77777777" w:rsidR="005F3F14" w:rsidRDefault="005F3F14" w:rsidP="005F3F14">
      <w:r>
        <w:t xml:space="preserve">The worked example shown in Figure 9 below provides an example of a possible format for reporting.  This format is adapted from </w:t>
      </w:r>
      <w:r>
        <w:rPr>
          <w:i/>
          <w:iCs/>
        </w:rPr>
        <w:t>EN 13201-5:2015</w:t>
      </w:r>
      <w:r>
        <w:t xml:space="preserve">, with modifications for AS/NZS terminology.  The table can extend to accommodate additional luminaires, sub-areas or time periods if needed.  This example table extends beyond the PDI and AECI energy calculations to include: </w:t>
      </w:r>
    </w:p>
    <w:p w14:paraId="1C2276AE" w14:textId="77777777" w:rsidR="005F3F14" w:rsidRPr="006954F2" w:rsidRDefault="005F3F14" w:rsidP="005F3F14">
      <w:pPr>
        <w:pStyle w:val="ListParagraph"/>
        <w:numPr>
          <w:ilvl w:val="0"/>
          <w:numId w:val="17"/>
        </w:numPr>
        <w:rPr>
          <w:sz w:val="22"/>
          <w:szCs w:val="22"/>
        </w:rPr>
      </w:pPr>
      <w:r w:rsidRPr="006954F2">
        <w:rPr>
          <w:sz w:val="22"/>
          <w:szCs w:val="22"/>
        </w:rPr>
        <w:t>the purchased electricity generation emission factor (Scope 2) applicable to the illuminated area (NSW, ACT, QLD emission factor example shown);</w:t>
      </w:r>
    </w:p>
    <w:p w14:paraId="712FB5D8" w14:textId="77777777" w:rsidR="005F3F14" w:rsidRPr="006954F2" w:rsidRDefault="005F3F14" w:rsidP="005F3F14">
      <w:pPr>
        <w:pStyle w:val="ListParagraph"/>
        <w:numPr>
          <w:ilvl w:val="0"/>
          <w:numId w:val="17"/>
        </w:numPr>
        <w:rPr>
          <w:sz w:val="22"/>
          <w:szCs w:val="22"/>
        </w:rPr>
      </w:pPr>
      <w:r w:rsidRPr="006954F2">
        <w:rPr>
          <w:sz w:val="22"/>
          <w:szCs w:val="22"/>
        </w:rPr>
        <w:t>the calculated annual operational emissions per square metre (kg CO</w:t>
      </w:r>
      <w:r w:rsidRPr="006954F2">
        <w:rPr>
          <w:sz w:val="22"/>
          <w:szCs w:val="22"/>
          <w:vertAlign w:val="subscript"/>
        </w:rPr>
        <w:t>2-</w:t>
      </w:r>
      <w:r w:rsidRPr="006954F2">
        <w:rPr>
          <w:sz w:val="22"/>
          <w:szCs w:val="22"/>
        </w:rPr>
        <w:t>e.m</w:t>
      </w:r>
      <w:r w:rsidRPr="006954F2">
        <w:rPr>
          <w:sz w:val="22"/>
          <w:szCs w:val="22"/>
          <w:vertAlign w:val="superscript"/>
        </w:rPr>
        <w:t>-2</w:t>
      </w:r>
      <w:r w:rsidRPr="006954F2">
        <w:rPr>
          <w:sz w:val="22"/>
          <w:szCs w:val="22"/>
        </w:rPr>
        <w:t>) and;</w:t>
      </w:r>
    </w:p>
    <w:p w14:paraId="4E6007FE" w14:textId="77777777" w:rsidR="005F3F14" w:rsidRPr="006954F2" w:rsidRDefault="005F3F14" w:rsidP="005F3F14">
      <w:pPr>
        <w:pStyle w:val="ListParagraph"/>
        <w:numPr>
          <w:ilvl w:val="0"/>
          <w:numId w:val="17"/>
        </w:numPr>
        <w:rPr>
          <w:sz w:val="22"/>
          <w:szCs w:val="22"/>
        </w:rPr>
      </w:pPr>
      <w:proofErr w:type="gramStart"/>
      <w:r w:rsidRPr="006954F2">
        <w:rPr>
          <w:sz w:val="22"/>
          <w:szCs w:val="22"/>
        </w:rPr>
        <w:t>the</w:t>
      </w:r>
      <w:proofErr w:type="gramEnd"/>
      <w:r w:rsidRPr="006954F2">
        <w:rPr>
          <w:sz w:val="22"/>
          <w:szCs w:val="22"/>
        </w:rPr>
        <w:t xml:space="preserve"> absolute emissions (kg CO</w:t>
      </w:r>
      <w:r w:rsidRPr="006954F2">
        <w:rPr>
          <w:sz w:val="22"/>
          <w:szCs w:val="22"/>
          <w:vertAlign w:val="subscript"/>
        </w:rPr>
        <w:t>2-</w:t>
      </w:r>
      <w:r w:rsidRPr="006954F2">
        <w:rPr>
          <w:sz w:val="22"/>
          <w:szCs w:val="22"/>
        </w:rPr>
        <w:t xml:space="preserve">e), for the illuminated area concerned. </w:t>
      </w:r>
    </w:p>
    <w:p w14:paraId="551F8419" w14:textId="77777777" w:rsidR="005F3F14" w:rsidRDefault="005F3F14" w:rsidP="005F3F14">
      <w:bookmarkStart w:id="6" w:name="_Ref50744195"/>
      <w:r>
        <w:rPr>
          <w:noProof/>
          <w:lang w:eastAsia="en-AU"/>
        </w:rPr>
        <w:lastRenderedPageBreak/>
        <w:drawing>
          <wp:inline distT="0" distB="0" distL="0" distR="0" wp14:anchorId="38751256" wp14:editId="7E4D328C">
            <wp:extent cx="5717894" cy="5698041"/>
            <wp:effectExtent l="0" t="0" r="0" b="444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rotWithShape="1">
                    <a:blip r:embed="rId23" cstate="email">
                      <a:extLst>
                        <a:ext uri="{28A0092B-C50C-407E-A947-70E740481C1C}">
                          <a14:useLocalDpi xmlns:a14="http://schemas.microsoft.com/office/drawing/2010/main"/>
                        </a:ext>
                      </a:extLst>
                    </a:blip>
                    <a:srcRect l="6014" t="4892" r="7396" b="34052"/>
                    <a:stretch/>
                  </pic:blipFill>
                  <pic:spPr bwMode="auto">
                    <a:xfrm>
                      <a:off x="0" y="0"/>
                      <a:ext cx="5739025" cy="5719099"/>
                    </a:xfrm>
                    <a:prstGeom prst="rect">
                      <a:avLst/>
                    </a:prstGeom>
                    <a:ln>
                      <a:noFill/>
                    </a:ln>
                    <a:extLst>
                      <a:ext uri="{53640926-AAD7-44D8-BBD7-CCE9431645EC}">
                        <a14:shadowObscured xmlns:a14="http://schemas.microsoft.com/office/drawing/2010/main"/>
                      </a:ext>
                    </a:extLst>
                  </pic:spPr>
                </pic:pic>
              </a:graphicData>
            </a:graphic>
          </wp:inline>
        </w:drawing>
      </w:r>
    </w:p>
    <w:p w14:paraId="351B9158" w14:textId="77777777" w:rsidR="005F3F14" w:rsidRDefault="005F3F14" w:rsidP="005F3F14">
      <w:pPr>
        <w:pStyle w:val="Caption"/>
        <w:ind w:right="231"/>
      </w:pPr>
      <w:r w:rsidRPr="000B7EF4">
        <w:t xml:space="preserve">Figure </w:t>
      </w:r>
      <w:r w:rsidR="00D0375E">
        <w:rPr>
          <w:noProof/>
        </w:rPr>
        <w:fldChar w:fldCharType="begin"/>
      </w:r>
      <w:r w:rsidR="00D0375E">
        <w:rPr>
          <w:noProof/>
        </w:rPr>
        <w:instrText xml:space="preserve"> SEQ Figure \* ARABIC </w:instrText>
      </w:r>
      <w:r w:rsidR="00D0375E">
        <w:rPr>
          <w:noProof/>
        </w:rPr>
        <w:fldChar w:fldCharType="separate"/>
      </w:r>
      <w:r w:rsidR="00294748">
        <w:rPr>
          <w:noProof/>
        </w:rPr>
        <w:t>8</w:t>
      </w:r>
      <w:r w:rsidR="00D0375E">
        <w:rPr>
          <w:noProof/>
        </w:rPr>
        <w:fldChar w:fldCharType="end"/>
      </w:r>
      <w:bookmarkEnd w:id="6"/>
      <w:r w:rsidRPr="000B7EF4">
        <w:t xml:space="preserve">  </w:t>
      </w:r>
      <w:r>
        <w:t>P</w:t>
      </w:r>
      <w:r w:rsidRPr="000B7EF4">
        <w:t>ossible format for reporting of energy performance indicators</w:t>
      </w:r>
    </w:p>
    <w:p w14:paraId="7DA3A3C6" w14:textId="77777777" w:rsidR="005F3F14" w:rsidRPr="003B0F71" w:rsidRDefault="005F3F14" w:rsidP="005F3F14">
      <w:pPr>
        <w:rPr>
          <w:lang w:val="en-NZ"/>
        </w:rPr>
      </w:pPr>
      <w:r w:rsidRPr="003B0F71">
        <w:rPr>
          <w:lang w:val="en-NZ"/>
        </w:rPr>
        <w:t>The report in Figure 9 is for a worked example without CLO.</w:t>
      </w:r>
      <w:r>
        <w:rPr>
          <w:lang w:val="en-NZ"/>
        </w:rPr>
        <w:t xml:space="preserve"> </w:t>
      </w:r>
      <w:r w:rsidRPr="003B0F71">
        <w:rPr>
          <w:lang w:val="en-NZ"/>
        </w:rPr>
        <w:t xml:space="preserve"> </w:t>
      </w:r>
      <w:r>
        <w:rPr>
          <w:lang w:val="en-NZ"/>
        </w:rPr>
        <w:fldChar w:fldCharType="begin"/>
      </w:r>
      <w:r>
        <w:rPr>
          <w:lang w:val="en-NZ"/>
        </w:rPr>
        <w:instrText xml:space="preserve"> REF _Ref51067119 \h </w:instrText>
      </w:r>
      <w:r>
        <w:rPr>
          <w:lang w:val="en-NZ"/>
        </w:rPr>
      </w:r>
      <w:r>
        <w:rPr>
          <w:lang w:val="en-NZ"/>
        </w:rPr>
        <w:fldChar w:fldCharType="separate"/>
      </w:r>
      <w:r w:rsidR="00294748">
        <w:t xml:space="preserve">Figure </w:t>
      </w:r>
      <w:r w:rsidR="00294748">
        <w:rPr>
          <w:noProof/>
        </w:rPr>
        <w:t>9</w:t>
      </w:r>
      <w:r>
        <w:rPr>
          <w:lang w:val="en-NZ"/>
        </w:rPr>
        <w:fldChar w:fldCharType="end"/>
      </w:r>
      <w:r>
        <w:rPr>
          <w:lang w:val="en-NZ"/>
        </w:rPr>
        <w:t xml:space="preserve"> </w:t>
      </w:r>
      <w:r w:rsidRPr="003B0F71">
        <w:rPr>
          <w:lang w:val="en-NZ"/>
        </w:rPr>
        <w:t xml:space="preserve">below shows a report excerpt for the same example, but with CLO. </w:t>
      </w:r>
      <w:r>
        <w:rPr>
          <w:lang w:val="en-NZ"/>
        </w:rPr>
        <w:t xml:space="preserve"> </w:t>
      </w:r>
      <w:r w:rsidRPr="003B0F71">
        <w:rPr>
          <w:lang w:val="en-NZ"/>
        </w:rPr>
        <w:t>This is an example of information regarding assumptions about the luminaire power values used in CLO calculations.</w:t>
      </w:r>
    </w:p>
    <w:p w14:paraId="09CED5B9" w14:textId="77777777" w:rsidR="005F3F14" w:rsidRDefault="005F3F14" w:rsidP="005F3F14">
      <w:pPr>
        <w:keepNext/>
      </w:pPr>
      <w:r w:rsidRPr="00E7778C">
        <w:rPr>
          <w:noProof/>
          <w:lang w:eastAsia="en-AU"/>
        </w:rPr>
        <w:lastRenderedPageBreak/>
        <w:drawing>
          <wp:inline distT="0" distB="0" distL="0" distR="0" wp14:anchorId="729925BC" wp14:editId="78498751">
            <wp:extent cx="5692231" cy="1654054"/>
            <wp:effectExtent l="12700" t="12700" r="1016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24" cstate="email">
                      <a:extLst>
                        <a:ext uri="{28A0092B-C50C-407E-A947-70E740481C1C}">
                          <a14:useLocalDpi xmlns:a14="http://schemas.microsoft.com/office/drawing/2010/main"/>
                        </a:ext>
                      </a:extLst>
                    </a:blip>
                    <a:srcRect l="2312" t="3753" r="1417" b="74630"/>
                    <a:stretch/>
                  </pic:blipFill>
                  <pic:spPr bwMode="auto">
                    <a:xfrm>
                      <a:off x="0" y="0"/>
                      <a:ext cx="5787766" cy="1681815"/>
                    </a:xfrm>
                    <a:prstGeom prst="rect">
                      <a:avLst/>
                    </a:prstGeom>
                    <a:ln w="12700" cap="flat" cmpd="sng" algn="ctr">
                      <a:solidFill>
                        <a:sysClr val="windowText" lastClr="000000"/>
                      </a:solidFill>
                      <a:prstDash val="solid"/>
                      <a:round/>
                      <a:headEnd type="none" w="med" len="med"/>
                      <a:tailEnd type="none" w="med" len="med"/>
                      <a:extLst>
                        <a:ext uri="{C807C97D-BFC1-408E-A445-0C87EB9F89A2}">
                          <ask:lineSketchStyleProps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EE9D82C" w14:textId="77777777" w:rsidR="005F3F14" w:rsidRPr="003B0F71" w:rsidRDefault="005F3F14" w:rsidP="005F3F14">
      <w:pPr>
        <w:pStyle w:val="Caption"/>
        <w:rPr>
          <w:lang w:val="en-NZ"/>
        </w:rPr>
      </w:pPr>
      <w:bookmarkStart w:id="7" w:name="_Ref51067119"/>
      <w:r>
        <w:t xml:space="preserve">Figure </w:t>
      </w:r>
      <w:r w:rsidR="00D0375E">
        <w:rPr>
          <w:noProof/>
        </w:rPr>
        <w:fldChar w:fldCharType="begin"/>
      </w:r>
      <w:r w:rsidR="00D0375E">
        <w:rPr>
          <w:noProof/>
        </w:rPr>
        <w:instrText xml:space="preserve"> SEQ Figure \* ARABIC </w:instrText>
      </w:r>
      <w:r w:rsidR="00D0375E">
        <w:rPr>
          <w:noProof/>
        </w:rPr>
        <w:fldChar w:fldCharType="separate"/>
      </w:r>
      <w:r w:rsidR="00294748">
        <w:rPr>
          <w:noProof/>
        </w:rPr>
        <w:t>9</w:t>
      </w:r>
      <w:r w:rsidR="00D0375E">
        <w:rPr>
          <w:noProof/>
        </w:rPr>
        <w:fldChar w:fldCharType="end"/>
      </w:r>
      <w:bookmarkEnd w:id="7"/>
      <w:r>
        <w:t xml:space="preserve">  Reporting example with assumptions for CLO</w:t>
      </w:r>
    </w:p>
    <w:p w14:paraId="4C16F224" w14:textId="77777777" w:rsidR="005F3F14" w:rsidRPr="00266B38" w:rsidRDefault="005F3F14" w:rsidP="005F3F14">
      <w:pPr>
        <w:pStyle w:val="Heading1"/>
        <w:keepNext w:val="0"/>
        <w:keepLines w:val="0"/>
        <w:numPr>
          <w:ilvl w:val="0"/>
          <w:numId w:val="8"/>
        </w:numPr>
        <w:spacing w:before="240" w:after="80"/>
      </w:pPr>
      <w:r w:rsidRPr="00266B38">
        <w:t xml:space="preserve">Software for Energy Performance Calculation and </w:t>
      </w:r>
      <w:r>
        <w:t>Reporting</w:t>
      </w:r>
      <w:r w:rsidRPr="00266B38">
        <w:t xml:space="preserve"> </w:t>
      </w:r>
    </w:p>
    <w:p w14:paraId="275426F9" w14:textId="77777777" w:rsidR="005F3F14" w:rsidRPr="00995391" w:rsidRDefault="005F3F14" w:rsidP="005F3F14">
      <w:r>
        <w:t>Self-developed Excel spreadsheet calculation methods for PDI and AECI are satisfactory for energy performance analysis using data inputs from lighting design calculations.  However, there is a lack of a seamless link between the lighting design software and the energy performance calculation spreadsheet.  This means that the iterative optimisation processes can be cumbersome</w:t>
      </w:r>
      <w:r w:rsidRPr="005913E9">
        <w:t xml:space="preserve"> owing to the need for manual data transfer from the lighting design calculations to the energy performance calculations</w:t>
      </w:r>
      <w:r>
        <w:t>.</w:t>
      </w:r>
    </w:p>
    <w:p w14:paraId="6267D467" w14:textId="77777777" w:rsidR="005F3F14" w:rsidRDefault="005F3F14" w:rsidP="005F3F14">
      <w:r>
        <w:t>Local suppliers of commercial lighting design calculation software have all signalled the intention of incorporating AS/NZS 1158 e</w:t>
      </w:r>
      <w:r w:rsidRPr="00C87621">
        <w:t xml:space="preserve">nergy </w:t>
      </w:r>
      <w:r>
        <w:t>p</w:t>
      </w:r>
      <w:r w:rsidRPr="00C87621">
        <w:t xml:space="preserve">erformance </w:t>
      </w:r>
      <w:r>
        <w:t>i</w:t>
      </w:r>
      <w:r w:rsidRPr="00C87621">
        <w:t xml:space="preserve">ndicator </w:t>
      </w:r>
      <w:r>
        <w:t>c</w:t>
      </w:r>
      <w:r w:rsidRPr="00C87621">
        <w:t>alculation</w:t>
      </w:r>
      <w:r>
        <w:t xml:space="preserve"> and reporting into their product functionality.  The actual availability is very limited at present. </w:t>
      </w:r>
    </w:p>
    <w:p w14:paraId="444C6B3A" w14:textId="77777777" w:rsidR="005F3F14" w:rsidRDefault="005F3F14" w:rsidP="005F3F14">
      <w:r>
        <w:t>The major European lighting design software packages all include integrated e</w:t>
      </w:r>
      <w:r w:rsidRPr="00C87621">
        <w:t xml:space="preserve">nergy </w:t>
      </w:r>
      <w:r>
        <w:t>p</w:t>
      </w:r>
      <w:r w:rsidRPr="00C87621">
        <w:t xml:space="preserve">erformance </w:t>
      </w:r>
      <w:r>
        <w:t>i</w:t>
      </w:r>
      <w:r w:rsidRPr="00C87621">
        <w:t xml:space="preserve">ndicator </w:t>
      </w:r>
      <w:r>
        <w:t>c</w:t>
      </w:r>
      <w:r w:rsidRPr="00C87621">
        <w:t>alculation</w:t>
      </w:r>
      <w:r>
        <w:t xml:space="preserve"> and reporting.  This is in accord with European standard </w:t>
      </w:r>
      <w:r w:rsidRPr="005B55B7">
        <w:rPr>
          <w:i/>
          <w:iCs/>
        </w:rPr>
        <w:t>EN 13201-5:2015</w:t>
      </w:r>
      <w:r w:rsidRPr="00641739">
        <w:t xml:space="preserve"> </w:t>
      </w:r>
      <w:r w:rsidRPr="00641739">
        <w:rPr>
          <w:i/>
          <w:iCs/>
        </w:rPr>
        <w:t>Road lighting - Part 5: Energy performance indicators</w:t>
      </w:r>
      <w:r>
        <w:rPr>
          <w:i/>
          <w:iCs/>
        </w:rPr>
        <w:t xml:space="preserve">.  </w:t>
      </w:r>
      <w:r>
        <w:t>Local software suppliers are likely to follow in due course with integrated e</w:t>
      </w:r>
      <w:r w:rsidRPr="00C87621">
        <w:t xml:space="preserve">nergy </w:t>
      </w:r>
      <w:r>
        <w:t>p</w:t>
      </w:r>
      <w:r w:rsidRPr="00C87621">
        <w:t xml:space="preserve">erformance </w:t>
      </w:r>
      <w:r>
        <w:t>i</w:t>
      </w:r>
      <w:r w:rsidRPr="00C87621">
        <w:t xml:space="preserve">ndicator </w:t>
      </w:r>
      <w:r>
        <w:t>c</w:t>
      </w:r>
      <w:r w:rsidRPr="00C87621">
        <w:t>alculation</w:t>
      </w:r>
      <w:r>
        <w:t xml:space="preserve"> and reporting for AS/NZS 1158 Parts 3.1 and 1.1. </w:t>
      </w:r>
    </w:p>
    <w:p w14:paraId="42BA7AEB" w14:textId="77777777" w:rsidR="005F3F14" w:rsidRDefault="005F3F14" w:rsidP="005F3F14">
      <w:pPr>
        <w:pStyle w:val="Heading1"/>
        <w:keepNext w:val="0"/>
        <w:keepLines w:val="0"/>
        <w:numPr>
          <w:ilvl w:val="0"/>
          <w:numId w:val="8"/>
        </w:numPr>
        <w:spacing w:before="240" w:after="80"/>
      </w:pPr>
      <w:r>
        <w:t>Summary</w:t>
      </w:r>
    </w:p>
    <w:p w14:paraId="070A63F7" w14:textId="77777777" w:rsidR="005F3F14" w:rsidRPr="004E07FB" w:rsidRDefault="005F3F14" w:rsidP="005F3F14">
      <w:r w:rsidRPr="004E07FB">
        <w:t xml:space="preserve">Standardised Energy Performance Indicator </w:t>
      </w:r>
      <w:r>
        <w:t xml:space="preserve">metrics </w:t>
      </w:r>
      <w:r w:rsidRPr="004E07FB">
        <w:t>enable designers, suppliers, operators and owners to</w:t>
      </w:r>
      <w:r>
        <w:t xml:space="preserve"> u</w:t>
      </w:r>
      <w:r w:rsidRPr="004E07FB">
        <w:t xml:space="preserve">se calculated energy and carbon </w:t>
      </w:r>
      <w:r>
        <w:t>key performance indicators (</w:t>
      </w:r>
      <w:r w:rsidRPr="004E07FB">
        <w:t>KPI’s</w:t>
      </w:r>
      <w:r>
        <w:t>)</w:t>
      </w:r>
      <w:r w:rsidRPr="004E07FB">
        <w:t xml:space="preserve"> for:</w:t>
      </w:r>
    </w:p>
    <w:p w14:paraId="34A99EFF" w14:textId="77777777" w:rsidR="005F3F14" w:rsidRPr="006954F2" w:rsidRDefault="005F3F14" w:rsidP="005F3F14">
      <w:pPr>
        <w:pStyle w:val="ListParagraph"/>
        <w:numPr>
          <w:ilvl w:val="0"/>
          <w:numId w:val="12"/>
        </w:numPr>
        <w:rPr>
          <w:sz w:val="22"/>
          <w:szCs w:val="22"/>
        </w:rPr>
      </w:pPr>
      <w:r w:rsidRPr="006954F2">
        <w:rPr>
          <w:sz w:val="22"/>
          <w:szCs w:val="22"/>
        </w:rPr>
        <w:t>Lighting design tuning to iterate lighting equipment choices and design parameters to maximise the savings of energy, carbon and money;</w:t>
      </w:r>
    </w:p>
    <w:p w14:paraId="6A45732D" w14:textId="77777777" w:rsidR="005F3F14" w:rsidRPr="006954F2" w:rsidRDefault="005F3F14" w:rsidP="005F3F14">
      <w:pPr>
        <w:pStyle w:val="ListParagraph"/>
        <w:numPr>
          <w:ilvl w:val="0"/>
          <w:numId w:val="12"/>
        </w:numPr>
        <w:rPr>
          <w:sz w:val="22"/>
          <w:szCs w:val="22"/>
        </w:rPr>
      </w:pPr>
      <w:r w:rsidRPr="006954F2">
        <w:rPr>
          <w:sz w:val="22"/>
          <w:szCs w:val="22"/>
        </w:rPr>
        <w:t>evidence-based evaluation and ranking of energy and carbon emission performance in public lighting procurement tenders;</w:t>
      </w:r>
    </w:p>
    <w:p w14:paraId="05607DB0" w14:textId="77777777" w:rsidR="005F3F14" w:rsidRPr="006954F2" w:rsidRDefault="005F3F14" w:rsidP="005F3F14">
      <w:pPr>
        <w:pStyle w:val="ListParagraph"/>
        <w:numPr>
          <w:ilvl w:val="0"/>
          <w:numId w:val="12"/>
        </w:numPr>
        <w:rPr>
          <w:sz w:val="22"/>
          <w:szCs w:val="22"/>
        </w:rPr>
      </w:pPr>
      <w:proofErr w:type="gramStart"/>
      <w:r w:rsidRPr="006954F2">
        <w:rPr>
          <w:sz w:val="22"/>
          <w:szCs w:val="22"/>
        </w:rPr>
        <w:t>auditing</w:t>
      </w:r>
      <w:proofErr w:type="gramEnd"/>
      <w:r w:rsidRPr="006954F2">
        <w:rPr>
          <w:sz w:val="22"/>
          <w:szCs w:val="22"/>
        </w:rPr>
        <w:t>, benchmarking and continuously improving existing public lighting schemes.</w:t>
      </w:r>
    </w:p>
    <w:p w14:paraId="61C27179" w14:textId="77777777" w:rsidR="005F3F14" w:rsidRPr="004E07FB" w:rsidRDefault="005F3F14" w:rsidP="005F3F14">
      <w:r>
        <w:t>Standardised carbon accounting conventions and reporting methods facilitate e</w:t>
      </w:r>
      <w:r w:rsidRPr="004E07FB">
        <w:t>vidence-based</w:t>
      </w:r>
      <w:r>
        <w:t xml:space="preserve"> comparable</w:t>
      </w:r>
      <w:r w:rsidRPr="004E07FB">
        <w:t xml:space="preserve"> reporting to:</w:t>
      </w:r>
    </w:p>
    <w:p w14:paraId="7B88130F" w14:textId="77777777" w:rsidR="005F3F14" w:rsidRPr="006954F2" w:rsidRDefault="005F3F14" w:rsidP="005F3F14">
      <w:pPr>
        <w:pStyle w:val="ListParagraph"/>
        <w:numPr>
          <w:ilvl w:val="0"/>
          <w:numId w:val="13"/>
        </w:numPr>
        <w:rPr>
          <w:sz w:val="22"/>
          <w:szCs w:val="22"/>
        </w:rPr>
      </w:pPr>
      <w:r w:rsidRPr="006954F2">
        <w:rPr>
          <w:sz w:val="22"/>
          <w:szCs w:val="22"/>
        </w:rPr>
        <w:t>Meet any obligatory user-organisation carbon emissions targets;</w:t>
      </w:r>
    </w:p>
    <w:p w14:paraId="2E501A11" w14:textId="77777777" w:rsidR="005F3F14" w:rsidRPr="006954F2" w:rsidRDefault="005F3F14" w:rsidP="005F3F14">
      <w:pPr>
        <w:pStyle w:val="ListParagraph"/>
        <w:numPr>
          <w:ilvl w:val="0"/>
          <w:numId w:val="13"/>
        </w:numPr>
        <w:rPr>
          <w:sz w:val="22"/>
          <w:szCs w:val="22"/>
        </w:rPr>
      </w:pPr>
      <w:r w:rsidRPr="006954F2">
        <w:rPr>
          <w:sz w:val="22"/>
          <w:szCs w:val="22"/>
        </w:rPr>
        <w:t>meet any voluntary user-organisation carbon emissions targets;</w:t>
      </w:r>
    </w:p>
    <w:p w14:paraId="5204BC24" w14:textId="77777777" w:rsidR="005F3F14" w:rsidRPr="006954F2" w:rsidRDefault="005F3F14" w:rsidP="005F3F14">
      <w:pPr>
        <w:pStyle w:val="ListParagraph"/>
        <w:numPr>
          <w:ilvl w:val="0"/>
          <w:numId w:val="13"/>
        </w:numPr>
        <w:rPr>
          <w:sz w:val="22"/>
          <w:szCs w:val="22"/>
        </w:rPr>
      </w:pPr>
      <w:proofErr w:type="gramStart"/>
      <w:r w:rsidRPr="006954F2">
        <w:rPr>
          <w:sz w:val="22"/>
          <w:szCs w:val="22"/>
        </w:rPr>
        <w:t>support</w:t>
      </w:r>
      <w:proofErr w:type="gramEnd"/>
      <w:r w:rsidRPr="006954F2">
        <w:rPr>
          <w:sz w:val="22"/>
          <w:szCs w:val="22"/>
        </w:rPr>
        <w:t xml:space="preserve"> supplier performance claims in commercial marketing and promotion.</w:t>
      </w:r>
    </w:p>
    <w:p w14:paraId="6367D26F" w14:textId="77777777" w:rsidR="00F9299B" w:rsidRDefault="00F9299B">
      <w:pPr>
        <w:spacing w:after="0" w:line="240" w:lineRule="auto"/>
        <w:rPr>
          <w:rFonts w:eastAsiaTheme="majorEastAsia" w:cstheme="majorBidi"/>
          <w:b/>
          <w:bCs/>
          <w:color w:val="ED1B24"/>
          <w:sz w:val="32"/>
          <w:szCs w:val="28"/>
        </w:rPr>
      </w:pPr>
      <w:r>
        <w:br w:type="page"/>
      </w:r>
    </w:p>
    <w:p w14:paraId="4FC73CB0" w14:textId="3CCEC4FC" w:rsidR="005F3F14" w:rsidRDefault="005F3F14" w:rsidP="005F3F14">
      <w:pPr>
        <w:pStyle w:val="Heading1"/>
        <w:keepNext w:val="0"/>
        <w:keepLines w:val="0"/>
        <w:numPr>
          <w:ilvl w:val="0"/>
          <w:numId w:val="8"/>
        </w:numPr>
        <w:spacing w:before="240" w:after="80"/>
      </w:pPr>
      <w:r>
        <w:lastRenderedPageBreak/>
        <w:t>Further Information</w:t>
      </w:r>
    </w:p>
    <w:p w14:paraId="29700840" w14:textId="77777777" w:rsidR="005F3F14" w:rsidRPr="006954F2" w:rsidRDefault="005F3F14" w:rsidP="005F3F14">
      <w:pPr>
        <w:rPr>
          <w:szCs w:val="22"/>
        </w:rPr>
      </w:pPr>
      <w:r>
        <w:t>For f</w:t>
      </w:r>
      <w:r w:rsidRPr="00A702DB">
        <w:t xml:space="preserve">urther information on efficient street lighting </w:t>
      </w:r>
      <w:r>
        <w:t>see</w:t>
      </w:r>
      <w:r w:rsidRPr="00A702DB">
        <w:t xml:space="preserve"> the Institute of Public Works Engineering Australasia (IPWE</w:t>
      </w:r>
      <w:r w:rsidRPr="006954F2">
        <w:rPr>
          <w:szCs w:val="22"/>
        </w:rPr>
        <w:t xml:space="preserve">A) Street Lighting and Smart Controls (SLSC) website – </w:t>
      </w:r>
      <w:r w:rsidRPr="006954F2">
        <w:rPr>
          <w:rFonts w:cs="Calibri"/>
          <w:color w:val="000000"/>
          <w:szCs w:val="22"/>
        </w:rPr>
        <w:t xml:space="preserve">Access </w:t>
      </w:r>
      <w:hyperlink r:id="rId25" w:tooltip="https://www.slsc.org.au/home" w:history="1">
        <w:r w:rsidRPr="006954F2">
          <w:rPr>
            <w:rStyle w:val="Hyperlink"/>
            <w:rFonts w:cs="Calibri"/>
            <w:color w:val="0563C1"/>
            <w:szCs w:val="22"/>
          </w:rPr>
          <w:t>here</w:t>
        </w:r>
      </w:hyperlink>
    </w:p>
    <w:p w14:paraId="49F950B2" w14:textId="77777777" w:rsidR="005F3F14" w:rsidRPr="006954F2" w:rsidRDefault="005F3F14" w:rsidP="005F3F14">
      <w:pPr>
        <w:rPr>
          <w:szCs w:val="22"/>
        </w:rPr>
      </w:pPr>
      <w:r w:rsidRPr="006954F2">
        <w:rPr>
          <w:szCs w:val="22"/>
        </w:rPr>
        <w:t>To purchase the AS/NZS 1158.3.1:2020 standard, see the following websites:</w:t>
      </w:r>
    </w:p>
    <w:p w14:paraId="7C99A782" w14:textId="77777777" w:rsidR="005F3F14" w:rsidRPr="006954F2" w:rsidRDefault="005F3F14" w:rsidP="005F3F14">
      <w:pPr>
        <w:pStyle w:val="ListParagraph"/>
        <w:numPr>
          <w:ilvl w:val="0"/>
          <w:numId w:val="11"/>
        </w:numPr>
        <w:rPr>
          <w:sz w:val="22"/>
          <w:szCs w:val="22"/>
        </w:rPr>
      </w:pPr>
      <w:r w:rsidRPr="006954F2">
        <w:rPr>
          <w:b/>
          <w:bCs/>
          <w:sz w:val="22"/>
          <w:szCs w:val="22"/>
        </w:rPr>
        <w:t xml:space="preserve">Standards Australia </w:t>
      </w:r>
      <w:r w:rsidRPr="006954F2">
        <w:rPr>
          <w:sz w:val="22"/>
          <w:szCs w:val="22"/>
        </w:rPr>
        <w:t>- Access</w:t>
      </w:r>
      <w:r w:rsidRPr="006954F2">
        <w:rPr>
          <w:sz w:val="22"/>
          <w:szCs w:val="22"/>
          <w:lang w:val="en-US"/>
        </w:rPr>
        <w:t xml:space="preserve"> </w:t>
      </w:r>
      <w:hyperlink r:id="rId26" w:history="1">
        <w:r w:rsidRPr="006954F2">
          <w:rPr>
            <w:rStyle w:val="Hyperlink"/>
            <w:sz w:val="22"/>
            <w:szCs w:val="22"/>
            <w:lang w:val="en-US"/>
          </w:rPr>
          <w:t>here</w:t>
        </w:r>
      </w:hyperlink>
    </w:p>
    <w:p w14:paraId="2DBC272E" w14:textId="77777777" w:rsidR="005F3F14" w:rsidRPr="006954F2" w:rsidRDefault="005F3F14" w:rsidP="005F3F14">
      <w:pPr>
        <w:pStyle w:val="ListParagraph"/>
        <w:numPr>
          <w:ilvl w:val="0"/>
          <w:numId w:val="11"/>
        </w:numPr>
        <w:rPr>
          <w:sz w:val="22"/>
          <w:szCs w:val="22"/>
        </w:rPr>
      </w:pPr>
      <w:r w:rsidRPr="006954F2">
        <w:rPr>
          <w:b/>
          <w:bCs/>
          <w:sz w:val="22"/>
          <w:szCs w:val="22"/>
        </w:rPr>
        <w:t>SAI Global</w:t>
      </w:r>
      <w:r w:rsidRPr="006954F2">
        <w:rPr>
          <w:sz w:val="22"/>
          <w:szCs w:val="22"/>
        </w:rPr>
        <w:t xml:space="preserve"> - Access</w:t>
      </w:r>
      <w:r w:rsidRPr="006954F2">
        <w:rPr>
          <w:sz w:val="22"/>
          <w:szCs w:val="22"/>
          <w:lang w:val="en-US"/>
        </w:rPr>
        <w:t xml:space="preserve"> </w:t>
      </w:r>
      <w:hyperlink r:id="rId27" w:history="1">
        <w:r w:rsidRPr="006954F2">
          <w:rPr>
            <w:rStyle w:val="Hyperlink"/>
            <w:sz w:val="22"/>
            <w:szCs w:val="22"/>
            <w:lang w:val="en-US"/>
          </w:rPr>
          <w:t>here</w:t>
        </w:r>
      </w:hyperlink>
    </w:p>
    <w:p w14:paraId="2637DA6B" w14:textId="77777777" w:rsidR="005F3F14" w:rsidRPr="006954F2" w:rsidRDefault="005F3F14" w:rsidP="005F3F14">
      <w:pPr>
        <w:pStyle w:val="ListParagraph"/>
        <w:numPr>
          <w:ilvl w:val="0"/>
          <w:numId w:val="11"/>
        </w:numPr>
        <w:rPr>
          <w:sz w:val="22"/>
          <w:szCs w:val="22"/>
        </w:rPr>
      </w:pPr>
      <w:r w:rsidRPr="006954F2">
        <w:rPr>
          <w:b/>
          <w:bCs/>
          <w:sz w:val="22"/>
          <w:szCs w:val="22"/>
        </w:rPr>
        <w:t>Standards New Zealand</w:t>
      </w:r>
      <w:r w:rsidRPr="006954F2">
        <w:rPr>
          <w:sz w:val="22"/>
          <w:szCs w:val="22"/>
        </w:rPr>
        <w:t xml:space="preserve"> - Access</w:t>
      </w:r>
      <w:r w:rsidRPr="006954F2">
        <w:rPr>
          <w:sz w:val="22"/>
          <w:szCs w:val="22"/>
          <w:lang w:val="en-US"/>
        </w:rPr>
        <w:t xml:space="preserve"> </w:t>
      </w:r>
      <w:hyperlink r:id="rId28" w:history="1">
        <w:r w:rsidRPr="006954F2">
          <w:rPr>
            <w:rStyle w:val="Hyperlink"/>
            <w:sz w:val="22"/>
            <w:szCs w:val="22"/>
            <w:lang w:val="en-US"/>
          </w:rPr>
          <w:t>here</w:t>
        </w:r>
      </w:hyperlink>
      <w:r w:rsidRPr="006954F2">
        <w:rPr>
          <w:sz w:val="22"/>
          <w:szCs w:val="22"/>
          <w:lang w:val="en-US"/>
        </w:rPr>
        <w:t xml:space="preserve"> </w:t>
      </w:r>
    </w:p>
    <w:p w14:paraId="47C2F205" w14:textId="77777777" w:rsidR="005F3F14" w:rsidRPr="006954F2" w:rsidRDefault="005F3F14" w:rsidP="005F3F14">
      <w:pPr>
        <w:rPr>
          <w:szCs w:val="22"/>
        </w:rPr>
      </w:pPr>
      <w:r w:rsidRPr="006954F2">
        <w:rPr>
          <w:szCs w:val="22"/>
        </w:rPr>
        <w:t>The updated AS/NZS 1158.1.1:2020 Category V lighting standard should be available from the same sources in early 2021.</w:t>
      </w:r>
    </w:p>
    <w:p w14:paraId="1CCB77AB" w14:textId="77777777" w:rsidR="005F3F14" w:rsidRPr="006954F2" w:rsidRDefault="005F3F14" w:rsidP="005F3F14">
      <w:pPr>
        <w:rPr>
          <w:szCs w:val="22"/>
        </w:rPr>
      </w:pPr>
      <w:r w:rsidRPr="006954F2">
        <w:rPr>
          <w:szCs w:val="22"/>
        </w:rPr>
        <w:t xml:space="preserve">For reference, the European Standard </w:t>
      </w:r>
      <w:r w:rsidRPr="006954F2">
        <w:rPr>
          <w:i/>
          <w:iCs/>
          <w:szCs w:val="22"/>
        </w:rPr>
        <w:t xml:space="preserve">BS EN 13201-5:2015 Road lighting. Energy performance indicators </w:t>
      </w:r>
      <w:r w:rsidRPr="006954F2">
        <w:rPr>
          <w:szCs w:val="22"/>
        </w:rPr>
        <w:t>is the model for the AS/NZS energy performance methods.</w:t>
      </w:r>
    </w:p>
    <w:p w14:paraId="44BAAA65" w14:textId="77777777" w:rsidR="005F3F14" w:rsidRPr="006954F2" w:rsidRDefault="005F3F14" w:rsidP="005F3F14">
      <w:pPr>
        <w:rPr>
          <w:szCs w:val="22"/>
        </w:rPr>
      </w:pPr>
      <w:r w:rsidRPr="006954F2">
        <w:rPr>
          <w:szCs w:val="22"/>
        </w:rPr>
        <w:t>To purchase the BS EN 13201-5:2015 standard, see the following websites:</w:t>
      </w:r>
    </w:p>
    <w:p w14:paraId="4827C546" w14:textId="77777777" w:rsidR="005F3F14" w:rsidRPr="006954F2" w:rsidRDefault="005F3F14" w:rsidP="005F3F14">
      <w:pPr>
        <w:pStyle w:val="ListParagraph"/>
        <w:numPr>
          <w:ilvl w:val="0"/>
          <w:numId w:val="14"/>
        </w:numPr>
        <w:rPr>
          <w:sz w:val="22"/>
          <w:szCs w:val="22"/>
        </w:rPr>
      </w:pPr>
      <w:r w:rsidRPr="006954F2">
        <w:rPr>
          <w:b/>
          <w:bCs/>
          <w:sz w:val="22"/>
          <w:szCs w:val="22"/>
        </w:rPr>
        <w:t>SAI Global</w:t>
      </w:r>
      <w:r w:rsidRPr="006954F2">
        <w:rPr>
          <w:sz w:val="22"/>
          <w:szCs w:val="22"/>
        </w:rPr>
        <w:t xml:space="preserve"> – Access </w:t>
      </w:r>
      <w:hyperlink r:id="rId29" w:history="1">
        <w:r w:rsidRPr="006954F2">
          <w:rPr>
            <w:rStyle w:val="Hyperlink"/>
            <w:sz w:val="22"/>
            <w:szCs w:val="22"/>
          </w:rPr>
          <w:t>here</w:t>
        </w:r>
      </w:hyperlink>
      <w:r w:rsidRPr="006954F2">
        <w:rPr>
          <w:sz w:val="22"/>
          <w:szCs w:val="22"/>
        </w:rPr>
        <w:t xml:space="preserve"> </w:t>
      </w:r>
    </w:p>
    <w:p w14:paraId="38C7ED71" w14:textId="77777777" w:rsidR="005F3F14" w:rsidRPr="006954F2" w:rsidRDefault="005F3F14" w:rsidP="005F3F14">
      <w:pPr>
        <w:pStyle w:val="ListParagraph"/>
        <w:numPr>
          <w:ilvl w:val="0"/>
          <w:numId w:val="14"/>
        </w:numPr>
        <w:rPr>
          <w:sz w:val="22"/>
          <w:szCs w:val="22"/>
        </w:rPr>
      </w:pPr>
      <w:r w:rsidRPr="006954F2">
        <w:rPr>
          <w:b/>
          <w:bCs/>
          <w:sz w:val="22"/>
          <w:szCs w:val="22"/>
        </w:rPr>
        <w:t>Standards New Zealand</w:t>
      </w:r>
      <w:r w:rsidRPr="006954F2">
        <w:rPr>
          <w:sz w:val="22"/>
          <w:szCs w:val="22"/>
        </w:rPr>
        <w:t xml:space="preserve"> - Access </w:t>
      </w:r>
      <w:hyperlink r:id="rId30" w:history="1">
        <w:r w:rsidRPr="006954F2">
          <w:rPr>
            <w:rStyle w:val="Hyperlink"/>
            <w:sz w:val="22"/>
            <w:szCs w:val="22"/>
          </w:rPr>
          <w:t>here</w:t>
        </w:r>
      </w:hyperlink>
    </w:p>
    <w:p w14:paraId="17F8C3A0" w14:textId="77777777" w:rsidR="00F9299B" w:rsidRDefault="00F9299B">
      <w:pPr>
        <w:spacing w:after="0" w:line="240" w:lineRule="auto"/>
        <w:rPr>
          <w:rFonts w:eastAsiaTheme="majorEastAsia" w:cstheme="majorBidi"/>
          <w:b/>
          <w:bCs/>
          <w:color w:val="ED1B24"/>
          <w:sz w:val="32"/>
          <w:szCs w:val="28"/>
        </w:rPr>
      </w:pPr>
      <w:r>
        <w:br w:type="page"/>
      </w:r>
    </w:p>
    <w:p w14:paraId="5EBA6681" w14:textId="112372D3" w:rsidR="005F3F14" w:rsidRDefault="005F3F14" w:rsidP="005F3F14">
      <w:pPr>
        <w:pStyle w:val="Heading1"/>
        <w:keepNext w:val="0"/>
        <w:keepLines w:val="0"/>
        <w:numPr>
          <w:ilvl w:val="0"/>
          <w:numId w:val="8"/>
        </w:numPr>
        <w:spacing w:before="240" w:after="80"/>
      </w:pPr>
      <w:r>
        <w:lastRenderedPageBreak/>
        <w:t>List of Acronyms</w:t>
      </w:r>
    </w:p>
    <w:p w14:paraId="2FFB4AF1" w14:textId="77777777" w:rsidR="005F3F14" w:rsidRDefault="005F3F14" w:rsidP="005F3F14">
      <w:r>
        <w:t>AECI – Annual Energy Consumption Indicator</w:t>
      </w:r>
    </w:p>
    <w:p w14:paraId="5676BE7D" w14:textId="77777777" w:rsidR="005F3F14" w:rsidRDefault="005F3F14" w:rsidP="005F3F14">
      <w:r>
        <w:t>ANSI – American National Standards Institute</w:t>
      </w:r>
    </w:p>
    <w:p w14:paraId="2476B16E" w14:textId="77777777" w:rsidR="005F3F14" w:rsidRDefault="005F3F14" w:rsidP="005F3F14">
      <w:pPr>
        <w:tabs>
          <w:tab w:val="center" w:pos="4510"/>
        </w:tabs>
      </w:pPr>
      <w:r>
        <w:t>BS – British Standard</w:t>
      </w:r>
      <w:r>
        <w:tab/>
      </w:r>
    </w:p>
    <w:p w14:paraId="788191A3" w14:textId="77777777" w:rsidR="005F3F14" w:rsidRDefault="005F3F14" w:rsidP="005F3F14">
      <w:r>
        <w:t>BSI – British Standards Institution</w:t>
      </w:r>
    </w:p>
    <w:p w14:paraId="1DBD21C3" w14:textId="77777777" w:rsidR="005F3F14" w:rsidRDefault="005F3F14" w:rsidP="005F3F14">
      <w:r>
        <w:t xml:space="preserve">CEN - European Committee for Standardization </w:t>
      </w:r>
    </w:p>
    <w:p w14:paraId="7BC4FFF1" w14:textId="77777777" w:rsidR="005F3F14" w:rsidRDefault="005F3F14" w:rsidP="005F3F14">
      <w:r>
        <w:t>CIE – International Commission on Illumination</w:t>
      </w:r>
    </w:p>
    <w:p w14:paraId="4F9BB30A" w14:textId="77777777" w:rsidR="005F3F14" w:rsidRDefault="005F3F14" w:rsidP="005F3F14">
      <w:r>
        <w:t>CLO – Constant Light Output</w:t>
      </w:r>
    </w:p>
    <w:p w14:paraId="23307574" w14:textId="77777777" w:rsidR="005F3F14" w:rsidRDefault="005F3F14" w:rsidP="005F3F14">
      <w:r>
        <w:t>CMS - Central Management System</w:t>
      </w:r>
    </w:p>
    <w:p w14:paraId="1516AF6C" w14:textId="77777777" w:rsidR="005F3F14" w:rsidRDefault="005F3F14" w:rsidP="005F3F14">
      <w:r>
        <w:t xml:space="preserve">DISER - </w:t>
      </w:r>
      <w:r w:rsidRPr="00CC3298">
        <w:t>Department of Industry</w:t>
      </w:r>
      <w:r>
        <w:t xml:space="preserve">, </w:t>
      </w:r>
      <w:r w:rsidRPr="00CC3298">
        <w:t>Science</w:t>
      </w:r>
      <w:r>
        <w:t>,</w:t>
      </w:r>
      <w:r w:rsidRPr="00CC3298">
        <w:t xml:space="preserve"> Energy and Resources </w:t>
      </w:r>
    </w:p>
    <w:p w14:paraId="22547244" w14:textId="77777777" w:rsidR="005F3F14" w:rsidRDefault="005F3F14" w:rsidP="005F3F14">
      <w:r>
        <w:t>EN – European Standard</w:t>
      </w:r>
    </w:p>
    <w:p w14:paraId="1CB05EBE" w14:textId="77777777" w:rsidR="005F3F14" w:rsidRDefault="005F3F14" w:rsidP="005F3F14">
      <w:r>
        <w:t xml:space="preserve">IEC – International </w:t>
      </w:r>
      <w:proofErr w:type="spellStart"/>
      <w:r>
        <w:t>Electrotechnical</w:t>
      </w:r>
      <w:proofErr w:type="spellEnd"/>
      <w:r>
        <w:t xml:space="preserve"> Commission</w:t>
      </w:r>
    </w:p>
    <w:p w14:paraId="352F4FCE" w14:textId="77777777" w:rsidR="005F3F14" w:rsidRDefault="005F3F14" w:rsidP="005F3F14">
      <w:r>
        <w:t>IESANZ - Illuminating Engineering Society of Australia and New Zealand</w:t>
      </w:r>
    </w:p>
    <w:p w14:paraId="73154ED3" w14:textId="77777777" w:rsidR="005F3F14" w:rsidRDefault="005F3F14" w:rsidP="005F3F14">
      <w:r>
        <w:t>IESNA – Illuminating Engineering Society of North America</w:t>
      </w:r>
    </w:p>
    <w:p w14:paraId="137DEF50" w14:textId="77777777" w:rsidR="005F3F14" w:rsidRDefault="005F3F14" w:rsidP="005F3F14">
      <w:r>
        <w:t xml:space="preserve">IPWEA - </w:t>
      </w:r>
      <w:r w:rsidRPr="009B0912">
        <w:t xml:space="preserve">Institute of Public Works Engineering Australasia  </w:t>
      </w:r>
    </w:p>
    <w:p w14:paraId="615290E0" w14:textId="77777777" w:rsidR="005F3F14" w:rsidRPr="00287E60" w:rsidRDefault="005F3F14" w:rsidP="005F3F14">
      <w:pPr>
        <w:rPr>
          <w:color w:val="FF0000"/>
        </w:rPr>
      </w:pPr>
      <w:r>
        <w:t xml:space="preserve">ISO – </w:t>
      </w:r>
      <w:r w:rsidRPr="00952EF8">
        <w:rPr>
          <w:color w:val="000000" w:themeColor="text1"/>
        </w:rPr>
        <w:t>International Organization for Standardization</w:t>
      </w:r>
    </w:p>
    <w:p w14:paraId="378CBFC9" w14:textId="77777777" w:rsidR="005F3F14" w:rsidRDefault="005F3F14" w:rsidP="005F3F14">
      <w:r>
        <w:t xml:space="preserve">LLD – </w:t>
      </w:r>
      <w:proofErr w:type="spellStart"/>
      <w:r>
        <w:t>Lightsource</w:t>
      </w:r>
      <w:proofErr w:type="spellEnd"/>
      <w:r>
        <w:t xml:space="preserve"> Lumen Depreciation</w:t>
      </w:r>
    </w:p>
    <w:p w14:paraId="2DA656C4" w14:textId="77777777" w:rsidR="005F3F14" w:rsidRDefault="005F3F14" w:rsidP="005F3F14">
      <w:r>
        <w:t>LTP – Light Technical Parameter</w:t>
      </w:r>
    </w:p>
    <w:p w14:paraId="615B6163" w14:textId="77777777" w:rsidR="005F3F14" w:rsidRDefault="005F3F14" w:rsidP="005F3F14">
      <w:r>
        <w:t xml:space="preserve">NEMA – National Electrical Manufacturers Association </w:t>
      </w:r>
    </w:p>
    <w:p w14:paraId="09B3F80C" w14:textId="77777777" w:rsidR="005F3F14" w:rsidRDefault="005F3F14" w:rsidP="005F3F14">
      <w:r>
        <w:t>PDI – Power Density Indicator</w:t>
      </w:r>
    </w:p>
    <w:p w14:paraId="583F991C" w14:textId="77777777" w:rsidR="005F3F14" w:rsidRDefault="005F3F14" w:rsidP="005F3F14">
      <w:r>
        <w:t>SA – Standards Australia</w:t>
      </w:r>
    </w:p>
    <w:p w14:paraId="1AE19C38" w14:textId="77777777" w:rsidR="005F3F14" w:rsidRDefault="005F3F14" w:rsidP="005F3F14">
      <w:r w:rsidRPr="009B0912">
        <w:t xml:space="preserve">SLSC </w:t>
      </w:r>
      <w:r>
        <w:t xml:space="preserve">- </w:t>
      </w:r>
      <w:r w:rsidRPr="009B0912">
        <w:t>Street Lighting and Smart Co</w:t>
      </w:r>
      <w:r>
        <w:t xml:space="preserve">ntrols </w:t>
      </w:r>
    </w:p>
    <w:p w14:paraId="5C32CA0A" w14:textId="77777777" w:rsidR="005F3F14" w:rsidRPr="00C26A07" w:rsidRDefault="005F3F14" w:rsidP="005F3F14">
      <w:r>
        <w:t>SNZ – Standards New Zealand</w:t>
      </w:r>
    </w:p>
    <w:p w14:paraId="237DB63B" w14:textId="77777777" w:rsidR="005F3F14" w:rsidRDefault="005F3F14" w:rsidP="00022E5E"/>
    <w:sectPr w:rsidR="005F3F14" w:rsidSect="00044AF7">
      <w:footerReference w:type="default" r:id="rId31"/>
      <w:headerReference w:type="first" r:id="rId32"/>
      <w:footerReference w:type="first" r:id="rId33"/>
      <w:pgSz w:w="11906" w:h="16838" w:code="9"/>
      <w:pgMar w:top="1729" w:right="1140" w:bottom="1701" w:left="1140" w:header="578" w:footer="720"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1CC7" w16cex:dateUtc="2021-08-20T00:21:00Z"/>
  <w16cex:commentExtensible w16cex:durableId="24CA381D" w16cex:dateUtc="2021-08-20T02:18:00Z"/>
  <w16cex:commentExtensible w16cex:durableId="24CA2623" w16cex:dateUtc="2021-08-20T01:01:00Z"/>
  <w16cex:commentExtensible w16cex:durableId="24CA2938" w16cex:dateUtc="2021-08-20T01:14:00Z"/>
  <w16cex:commentExtensible w16cex:durableId="24CA2C8E" w16cex:dateUtc="2021-08-20T01:28:00Z"/>
  <w16cex:commentExtensible w16cex:durableId="24BF7642" w16cex:dateUtc="2021-08-12T00:28:00Z"/>
  <w16cex:commentExtensible w16cex:durableId="24BF7516" w16cex:dateUtc="2021-08-12T00:23:00Z"/>
  <w16cex:commentExtensible w16cex:durableId="24BF744B" w16cex:dateUtc="2021-08-12T00:19:00Z"/>
  <w16cex:commentExtensible w16cex:durableId="24CA33C9" w16cex:dateUtc="2021-08-20T01:59:00Z"/>
  <w16cex:commentExtensible w16cex:durableId="24BF7DFB" w16cex:dateUtc="2021-08-12T01:01:00Z"/>
  <w16cex:commentExtensible w16cex:durableId="24BF7D2E" w16cex:dateUtc="2021-08-12T0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E8C8AF" w16cid:durableId="24CA1CC7"/>
  <w16cid:commentId w16cid:paraId="75AC6DFF" w16cid:durableId="24D87B30"/>
  <w16cid:commentId w16cid:paraId="023D7DFC" w16cid:durableId="24CA381D"/>
  <w16cid:commentId w16cid:paraId="4C5BFE2A" w16cid:durableId="24CA2623"/>
  <w16cid:commentId w16cid:paraId="11F71030" w16cid:durableId="24CA2938"/>
  <w16cid:commentId w16cid:paraId="5FDB08F3" w16cid:durableId="24CA2C8E"/>
  <w16cid:commentId w16cid:paraId="2135DCD8" w16cid:durableId="24BF7642"/>
  <w16cid:commentId w16cid:paraId="2A661912" w16cid:durableId="24BF7516"/>
  <w16cid:commentId w16cid:paraId="29DC8FC6" w16cid:durableId="24BF744B"/>
  <w16cid:commentId w16cid:paraId="1A24A6D2" w16cid:durableId="24CA33C9"/>
  <w16cid:commentId w16cid:paraId="65901BBC" w16cid:durableId="24D87B39"/>
  <w16cid:commentId w16cid:paraId="0D758AD9" w16cid:durableId="24BF7DFB"/>
  <w16cid:commentId w16cid:paraId="7FF24DA5" w16cid:durableId="24BF7D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FD3CB" w14:textId="77777777" w:rsidR="008C69C0" w:rsidRDefault="008C69C0" w:rsidP="00A860BD">
      <w:pPr>
        <w:spacing w:after="0" w:line="240" w:lineRule="auto"/>
      </w:pPr>
      <w:r>
        <w:separator/>
      </w:r>
    </w:p>
  </w:endnote>
  <w:endnote w:type="continuationSeparator" w:id="0">
    <w:p w14:paraId="21FF6768" w14:textId="77777777" w:rsidR="008C69C0" w:rsidRDefault="008C69C0" w:rsidP="00A8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5CB3B" w14:textId="77777777" w:rsidR="00975B56" w:rsidRPr="006F5F2C" w:rsidRDefault="00975B56" w:rsidP="00975B56">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2A678" w14:textId="77777777" w:rsidR="006F5F2C" w:rsidRPr="006F5F2C" w:rsidRDefault="00FD791E" w:rsidP="00FD791E">
    <w:pPr>
      <w:pStyle w:val="Footer"/>
      <w:pBdr>
        <w:top w:val="none" w:sz="0" w:space="0" w:color="auto"/>
      </w:pBdr>
      <w:jc w:val="center"/>
    </w:pPr>
    <w:r w:rsidRPr="00FD791E">
      <w:t>A joint initiative of Australia, State and Territory and New Zealand Governments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1653D" w14:textId="1F75C392" w:rsidR="00975B56" w:rsidRPr="00044AF7" w:rsidRDefault="00044AF7" w:rsidP="005F3F14">
    <w:pPr>
      <w:pStyle w:val="Footer"/>
    </w:pPr>
    <w:r w:rsidRPr="005F3F14">
      <w:rPr>
        <w:rFonts w:asciiTheme="minorHAnsi" w:hAnsiTheme="minorHAnsi" w:cstheme="minorHAnsi"/>
        <w:sz w:val="20"/>
      </w:rPr>
      <w:t>User Guide on 2020 energy metrics in AS/NZS 1158 Lighting for roads and public spaces</w:t>
    </w:r>
    <w:r>
      <w:t xml:space="preserve"> </w:t>
    </w:r>
    <w:r>
      <w:tab/>
    </w:r>
    <w:sdt>
      <w:sdtPr>
        <w:id w:val="127436398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94748">
          <w:rPr>
            <w:noProof/>
          </w:rPr>
          <w:t>14</w:t>
        </w:r>
        <w:r>
          <w:rPr>
            <w:noProof/>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B1D10" w14:textId="50293333" w:rsidR="00975B56" w:rsidRPr="006E46A6" w:rsidRDefault="005F3F14" w:rsidP="00975B56">
    <w:pPr>
      <w:pStyle w:val="Footer"/>
      <w:rPr>
        <w:rFonts w:asciiTheme="minorHAnsi" w:hAnsiTheme="minorHAnsi" w:cstheme="minorHAnsi"/>
        <w:sz w:val="20"/>
      </w:rPr>
    </w:pPr>
    <w:r w:rsidRPr="005F3F14">
      <w:rPr>
        <w:rFonts w:asciiTheme="minorHAnsi" w:hAnsiTheme="minorHAnsi" w:cstheme="minorHAnsi"/>
        <w:sz w:val="20"/>
      </w:rPr>
      <w:t>User Guide on 2020 energy metrics in AS/NZS 1158 Lighting for roads and public spaces</w:t>
    </w:r>
    <w:r w:rsidR="00975B56">
      <w:tab/>
    </w:r>
    <w:r w:rsidR="00975B56">
      <w:fldChar w:fldCharType="begin"/>
    </w:r>
    <w:r w:rsidR="00975B56">
      <w:instrText xml:space="preserve"> PAGE   \* MERGEFORMAT </w:instrText>
    </w:r>
    <w:r w:rsidR="00975B56">
      <w:fldChar w:fldCharType="separate"/>
    </w:r>
    <w:r w:rsidR="00294748">
      <w:rPr>
        <w:noProof/>
      </w:rPr>
      <w:t>1</w:t>
    </w:r>
    <w:r w:rsidR="00975B5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F1963" w14:textId="77777777" w:rsidR="008C69C0" w:rsidRDefault="008C69C0" w:rsidP="00A860BD">
      <w:pPr>
        <w:spacing w:after="0" w:line="240" w:lineRule="auto"/>
      </w:pPr>
      <w:r>
        <w:separator/>
      </w:r>
    </w:p>
  </w:footnote>
  <w:footnote w:type="continuationSeparator" w:id="0">
    <w:p w14:paraId="2C9098D0" w14:textId="77777777" w:rsidR="008C69C0" w:rsidRDefault="008C69C0" w:rsidP="00A860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744D7" w14:textId="77777777" w:rsidR="00FD791E" w:rsidRDefault="006E46A6" w:rsidP="006E46A6">
    <w:pPr>
      <w:pStyle w:val="Header"/>
      <w:spacing w:before="560" w:after="480"/>
    </w:pPr>
    <w:r>
      <w:rPr>
        <w:noProof/>
        <w:lang w:eastAsia="en-AU"/>
      </w:rPr>
      <w:t xml:space="preserve"> </w:t>
    </w:r>
    <w:r w:rsidR="009E5B62">
      <w:rPr>
        <w:noProof/>
        <w:lang w:eastAsia="en-AU"/>
      </w:rPr>
      <w:drawing>
        <wp:anchor distT="0" distB="0" distL="114300" distR="114300" simplePos="0" relativeHeight="251665408" behindDoc="0" locked="0" layoutInCell="1" allowOverlap="1" wp14:anchorId="1586BD4E" wp14:editId="6D1916B3">
          <wp:simplePos x="0" y="0"/>
          <wp:positionH relativeFrom="margin">
            <wp:align>left</wp:align>
          </wp:positionH>
          <wp:positionV relativeFrom="paragraph">
            <wp:posOffset>358930</wp:posOffset>
          </wp:positionV>
          <wp:extent cx="1737360" cy="908050"/>
          <wp:effectExtent l="0" t="0" r="0" b="6350"/>
          <wp:wrapSquare wrapText="bothSides"/>
          <wp:docPr id="41" name="Picture 41" descr="D:\DP Plus\Docs\Giraffe\Environment\NatHERS, E3\sourcedocs\E3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P Plus\Docs\Giraffe\Environment\NatHERS, E3\sourcedocs\E3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7360" cy="908050"/>
                  </a:xfrm>
                  <a:prstGeom prst="rect">
                    <a:avLst/>
                  </a:prstGeom>
                  <a:noFill/>
                  <a:ln>
                    <a:noFill/>
                  </a:ln>
                </pic:spPr>
              </pic:pic>
            </a:graphicData>
          </a:graphic>
        </wp:anchor>
      </w:drawing>
    </w:r>
    <w:r w:rsidR="00FD791E" w:rsidRPr="00F9129C">
      <w:rPr>
        <w:noProof/>
        <w:lang w:eastAsia="en-AU"/>
      </w:rPr>
      <w:drawing>
        <wp:anchor distT="0" distB="0" distL="114300" distR="114300" simplePos="0" relativeHeight="251660288" behindDoc="0" locked="0" layoutInCell="1" allowOverlap="1" wp14:anchorId="7688C829" wp14:editId="7873C5E7">
          <wp:simplePos x="0" y="0"/>
          <wp:positionH relativeFrom="column">
            <wp:posOffset>2622550</wp:posOffset>
          </wp:positionH>
          <wp:positionV relativeFrom="paragraph">
            <wp:posOffset>383963</wp:posOffset>
          </wp:positionV>
          <wp:extent cx="1515745" cy="711200"/>
          <wp:effectExtent l="0" t="0" r="8255" b="0"/>
          <wp:wrapNone/>
          <wp:docPr id="42" name="Picture 42" descr="D:\DP Plus\Docs\Giraffe\Environment\NatHERS, E3\sourcedocs\Australian Governm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P Plus\Docs\Giraffe\Environment\NatHERS, E3\sourcedocs\Australian Government-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574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791E" w:rsidRPr="00F9129C">
      <w:rPr>
        <w:noProof/>
        <w:lang w:eastAsia="en-AU"/>
      </w:rPr>
      <w:drawing>
        <wp:anchor distT="0" distB="0" distL="114300" distR="114300" simplePos="0" relativeHeight="251659264" behindDoc="0" locked="1" layoutInCell="0" allowOverlap="1" wp14:anchorId="0C7C163F" wp14:editId="0F6E34F3">
          <wp:simplePos x="0" y="0"/>
          <wp:positionH relativeFrom="column">
            <wp:posOffset>4299585</wp:posOffset>
          </wp:positionH>
          <wp:positionV relativeFrom="page">
            <wp:posOffset>1154430</wp:posOffset>
          </wp:positionV>
          <wp:extent cx="2103120" cy="536575"/>
          <wp:effectExtent l="0" t="0" r="0" b="0"/>
          <wp:wrapTopAndBottom/>
          <wp:docPr id="43" name="Picture 43" descr="D:\DP Plus\Docs\Giraffe\Environment\NatHERS, E3\sourcedocs\All-of-govt_NZ_G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P Plus\Docs\Giraffe\Environment\NatHERS, E3\sourcedocs\All-of-govt_NZ_Gov.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3120"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351" w:rsidRPr="00620351">
      <w:rPr>
        <w:noProof/>
        <w:lang w:eastAsia="en-AU"/>
      </w:rPr>
      <mc:AlternateContent>
        <mc:Choice Requires="wps">
          <w:drawing>
            <wp:anchor distT="0" distB="0" distL="114300" distR="114300" simplePos="0" relativeHeight="251662336" behindDoc="1" locked="1" layoutInCell="0" allowOverlap="1" wp14:anchorId="11F1FB63" wp14:editId="0B45C5C8">
              <wp:simplePos x="0" y="0"/>
              <wp:positionH relativeFrom="page">
                <wp:posOffset>38100</wp:posOffset>
              </wp:positionH>
              <wp:positionV relativeFrom="page">
                <wp:posOffset>4578350</wp:posOffset>
              </wp:positionV>
              <wp:extent cx="7486650" cy="269875"/>
              <wp:effectExtent l="0" t="0" r="19050" b="15875"/>
              <wp:wrapNone/>
              <wp:docPr id="8" name="Rectangle 8"/>
              <wp:cNvGraphicFramePr/>
              <a:graphic xmlns:a="http://schemas.openxmlformats.org/drawingml/2006/main">
                <a:graphicData uri="http://schemas.microsoft.com/office/word/2010/wordprocessingShape">
                  <wps:wsp>
                    <wps:cNvSpPr/>
                    <wps:spPr>
                      <a:xfrm>
                        <a:off x="0" y="0"/>
                        <a:ext cx="7486650" cy="269875"/>
                      </a:xfrm>
                      <a:prstGeom prst="rect">
                        <a:avLst/>
                      </a:prstGeom>
                      <a:solidFill>
                        <a:srgbClr val="B5121B"/>
                      </a:solidFill>
                      <a:ln>
                        <a:solidFill>
                          <a:srgbClr val="B5121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63FCB" id="Rectangle 8" o:spid="_x0000_s1026" style="position:absolute;margin-left:3pt;margin-top:360.5pt;width:589.5pt;height:2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" o:allowincell="f" fillcolor="#b5121b" strokecolor="#b5121b" strokeweight="2pt">
              <w10:wrap anchorx="page" anchory="page"/>
              <w10:anchorlock/>
            </v:rect>
          </w:pict>
        </mc:Fallback>
      </mc:AlternateContent>
    </w:r>
    <w:r w:rsidR="00620351" w:rsidRPr="00620351">
      <w:rPr>
        <w:noProof/>
        <w:lang w:eastAsia="en-AU"/>
      </w:rPr>
      <mc:AlternateContent>
        <mc:Choice Requires="wps">
          <w:drawing>
            <wp:anchor distT="0" distB="0" distL="114300" distR="114300" simplePos="0" relativeHeight="251663360" behindDoc="1" locked="1" layoutInCell="0" allowOverlap="1" wp14:anchorId="0EC141B5" wp14:editId="27026B23">
              <wp:simplePos x="0" y="0"/>
              <wp:positionH relativeFrom="page">
                <wp:posOffset>38100</wp:posOffset>
              </wp:positionH>
              <wp:positionV relativeFrom="paragraph">
                <wp:posOffset>4479290</wp:posOffset>
              </wp:positionV>
              <wp:extent cx="7486650" cy="234950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7486650" cy="2349500"/>
                      </a:xfrm>
                      <a:prstGeom prst="rect">
                        <a:avLst/>
                      </a:prstGeom>
                      <a:solidFill>
                        <a:srgbClr val="1C1C1C"/>
                      </a:solidFill>
                      <a:ln>
                        <a:solidFill>
                          <a:srgbClr val="1C1C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BA72D" id="Rectangle 10" o:spid="_x0000_s1026" style="position:absolute;margin-left:3pt;margin-top:352.7pt;width:589.5pt;height:1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" o:allowincell="f" fillcolor="#1c1c1c" strokecolor="#1c1c1c" strokeweight="2pt">
              <w10:wrap anchorx="page"/>
              <w10:anchorlock/>
            </v:rect>
          </w:pict>
        </mc:Fallback>
      </mc:AlternateContent>
    </w:r>
    <w:r w:rsidR="00620351" w:rsidRPr="00620351">
      <w:rPr>
        <w:noProof/>
        <w:lang w:eastAsia="en-AU"/>
      </w:rPr>
      <mc:AlternateContent>
        <mc:Choice Requires="wps">
          <w:drawing>
            <wp:anchor distT="0" distB="0" distL="114300" distR="114300" simplePos="0" relativeHeight="251664384" behindDoc="1" locked="1" layoutInCell="0" allowOverlap="1" wp14:anchorId="22D4E1E7" wp14:editId="5BEB19A2">
              <wp:simplePos x="0" y="0"/>
              <wp:positionH relativeFrom="page">
                <wp:posOffset>38100</wp:posOffset>
              </wp:positionH>
              <wp:positionV relativeFrom="page">
                <wp:posOffset>7194550</wp:posOffset>
              </wp:positionV>
              <wp:extent cx="7486650" cy="274320"/>
              <wp:effectExtent l="0" t="0" r="19050" b="11430"/>
              <wp:wrapNone/>
              <wp:docPr id="11" name="Rectangle 11"/>
              <wp:cNvGraphicFramePr/>
              <a:graphic xmlns:a="http://schemas.openxmlformats.org/drawingml/2006/main">
                <a:graphicData uri="http://schemas.microsoft.com/office/word/2010/wordprocessingShape">
                  <wps:wsp>
                    <wps:cNvSpPr/>
                    <wps:spPr>
                      <a:xfrm>
                        <a:off x="0" y="0"/>
                        <a:ext cx="7486650" cy="274320"/>
                      </a:xfrm>
                      <a:prstGeom prst="rect">
                        <a:avLst/>
                      </a:prstGeom>
                      <a:solidFill>
                        <a:srgbClr val="B5121B"/>
                      </a:solidFill>
                      <a:ln>
                        <a:solidFill>
                          <a:srgbClr val="B5121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94060" id="Rectangle 11" o:spid="_x0000_s1026" style="position:absolute;margin-left:3pt;margin-top:566.5pt;width:589.5pt;height:21.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" o:allowincell="f" fillcolor="#b5121b" strokecolor="#b5121b" strokeweight="2pt">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F3F9D" w14:textId="3DCC1A2C" w:rsidR="00686676" w:rsidRPr="00686676" w:rsidRDefault="006E46A6" w:rsidP="006E46A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2CCD"/>
    <w:multiLevelType w:val="hybridMultilevel"/>
    <w:tmpl w:val="E26C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8711D"/>
    <w:multiLevelType w:val="hybridMultilevel"/>
    <w:tmpl w:val="A70C2ACA"/>
    <w:lvl w:ilvl="0" w:tplc="0734D7C8">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C96132"/>
    <w:multiLevelType w:val="hybridMultilevel"/>
    <w:tmpl w:val="23FE111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AED2940"/>
    <w:multiLevelType w:val="hybridMultilevel"/>
    <w:tmpl w:val="83BC4F5C"/>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AC4377"/>
    <w:multiLevelType w:val="hybridMultilevel"/>
    <w:tmpl w:val="D098FBB2"/>
    <w:lvl w:ilvl="0" w:tplc="08090001">
      <w:start w:val="1"/>
      <w:numFmt w:val="bullet"/>
      <w:lvlText w:val=""/>
      <w:lvlJc w:val="left"/>
      <w:pPr>
        <w:ind w:left="360" w:hanging="360"/>
      </w:pPr>
      <w:rPr>
        <w:rFonts w:ascii="Symbol" w:hAnsi="Symbol"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A64000"/>
    <w:multiLevelType w:val="hybridMultilevel"/>
    <w:tmpl w:val="E40A05F0"/>
    <w:lvl w:ilvl="0" w:tplc="089472D8">
      <w:start w:val="1"/>
      <w:numFmt w:val="lowerLetter"/>
      <w:lvlText w:val="%1)"/>
      <w:lvlJc w:val="left"/>
      <w:pPr>
        <w:ind w:left="360" w:hanging="360"/>
      </w:pPr>
      <w:rPr>
        <w:rFonts w:hint="default"/>
        <w:b/>
        <w:bCs/>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4B1F57"/>
    <w:multiLevelType w:val="hybridMultilevel"/>
    <w:tmpl w:val="E7A8A4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6CF5C26"/>
    <w:multiLevelType w:val="hybridMultilevel"/>
    <w:tmpl w:val="B2CC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E16BD"/>
    <w:multiLevelType w:val="multilevel"/>
    <w:tmpl w:val="FFCAAE4E"/>
    <w:name w:val="AppendixOutline"/>
    <w:lvl w:ilvl="0">
      <w:start w:val="1"/>
      <w:numFmt w:val="upperLetter"/>
      <w:pStyle w:val="H1A"/>
      <w:suff w:val="nothing"/>
      <w:lvlText w:val="APPENDIX   %1"/>
      <w:lvlJc w:val="left"/>
      <w:pPr>
        <w:tabs>
          <w:tab w:val="num" w:pos="567"/>
        </w:tabs>
        <w:ind w:left="0" w:firstLine="0"/>
      </w:pPr>
      <w:rPr>
        <w:sz w:val="22"/>
      </w:rPr>
    </w:lvl>
    <w:lvl w:ilvl="1">
      <w:start w:val="1"/>
      <w:numFmt w:val="decimal"/>
      <w:pStyle w:val="H2A"/>
      <w:suff w:val="nothing"/>
      <w:lvlText w:val="%1%2"/>
      <w:lvlJc w:val="left"/>
      <w:pPr>
        <w:tabs>
          <w:tab w:val="num" w:pos="567"/>
        </w:tabs>
        <w:ind w:left="567" w:hanging="567"/>
      </w:pPr>
    </w:lvl>
    <w:lvl w:ilvl="2">
      <w:start w:val="1"/>
      <w:numFmt w:val="decimal"/>
      <w:pStyle w:val="H3A"/>
      <w:suff w:val="nothing"/>
      <w:lvlText w:val="%1%2.%3"/>
      <w:lvlJc w:val="left"/>
      <w:pPr>
        <w:tabs>
          <w:tab w:val="num" w:pos="567"/>
        </w:tabs>
        <w:ind w:left="567" w:hanging="567"/>
      </w:pPr>
    </w:lvl>
    <w:lvl w:ilvl="3">
      <w:start w:val="1"/>
      <w:numFmt w:val="decimal"/>
      <w:pStyle w:val="H4A"/>
      <w:suff w:val="nothing"/>
      <w:lvlText w:val="%1%2.%3.%4"/>
      <w:lvlJc w:val="left"/>
      <w:pPr>
        <w:tabs>
          <w:tab w:val="num" w:pos="567"/>
        </w:tabs>
        <w:ind w:left="567" w:hanging="567"/>
      </w:pPr>
      <w:rPr>
        <w:b/>
        <w:i w:val="0"/>
      </w:rPr>
    </w:lvl>
    <w:lvl w:ilvl="4">
      <w:start w:val="1"/>
      <w:numFmt w:val="decimal"/>
      <w:pStyle w:val="H5A"/>
      <w:suff w:val="nothing"/>
      <w:lvlText w:val="%1%2.%3.%4.%5"/>
      <w:lvlJc w:val="left"/>
      <w:pPr>
        <w:tabs>
          <w:tab w:val="num" w:pos="567"/>
        </w:tabs>
        <w:ind w:left="567" w:hanging="567"/>
      </w:pPr>
      <w:rPr>
        <w:b/>
        <w:i w:val="0"/>
      </w:rPr>
    </w:lvl>
    <w:lvl w:ilvl="5">
      <w:start w:val="1"/>
      <w:numFmt w:val="lowerLetter"/>
      <w:pStyle w:val="B2A"/>
      <w:lvlText w:val="(%6)"/>
      <w:lvlJc w:val="left"/>
      <w:pPr>
        <w:tabs>
          <w:tab w:val="num" w:pos="567"/>
        </w:tabs>
        <w:ind w:left="567" w:hanging="567"/>
      </w:pPr>
    </w:lvl>
    <w:lvl w:ilvl="6">
      <w:start w:val="1"/>
      <w:numFmt w:val="lowerRoman"/>
      <w:pStyle w:val="B3A"/>
      <w:lvlText w:val="(%7)"/>
      <w:lvlJc w:val="left"/>
      <w:pPr>
        <w:tabs>
          <w:tab w:val="num" w:pos="1134"/>
        </w:tabs>
        <w:ind w:left="1134" w:hanging="567"/>
      </w:pPr>
    </w:lvl>
    <w:lvl w:ilvl="7">
      <w:start w:val="1"/>
      <w:numFmt w:val="upperLetter"/>
      <w:pStyle w:val="B4A"/>
      <w:lvlText w:val="(%8)"/>
      <w:lvlJc w:val="left"/>
      <w:pPr>
        <w:tabs>
          <w:tab w:val="num" w:pos="1701"/>
        </w:tabs>
        <w:ind w:left="1701" w:hanging="567"/>
      </w:pPr>
    </w:lvl>
    <w:lvl w:ilvl="8">
      <w:start w:val="1"/>
      <w:numFmt w:val="decimal"/>
      <w:pStyle w:val="B5A"/>
      <w:lvlText w:val="(%9)"/>
      <w:lvlJc w:val="left"/>
      <w:pPr>
        <w:tabs>
          <w:tab w:val="num" w:pos="2268"/>
        </w:tabs>
        <w:ind w:left="2268" w:hanging="567"/>
      </w:pPr>
    </w:lvl>
  </w:abstractNum>
  <w:abstractNum w:abstractNumId="9" w15:restartNumberingAfterBreak="0">
    <w:nsid w:val="42A6167F"/>
    <w:multiLevelType w:val="hybridMultilevel"/>
    <w:tmpl w:val="713ED79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480402B9"/>
    <w:multiLevelType w:val="hybridMultilevel"/>
    <w:tmpl w:val="BB262FD2"/>
    <w:lvl w:ilvl="0" w:tplc="1788356E">
      <w:start w:val="1"/>
      <w:numFmt w:val="bullet"/>
      <w:pStyle w:val="BulletLvl3"/>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9338D"/>
    <w:multiLevelType w:val="hybridMultilevel"/>
    <w:tmpl w:val="C76A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C1128"/>
    <w:multiLevelType w:val="hybridMultilevel"/>
    <w:tmpl w:val="A99C79F2"/>
    <w:lvl w:ilvl="0" w:tplc="08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7E25BF"/>
    <w:multiLevelType w:val="hybridMultilevel"/>
    <w:tmpl w:val="B25E631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51487C78"/>
    <w:multiLevelType w:val="hybridMultilevel"/>
    <w:tmpl w:val="DB40D9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D95673"/>
    <w:multiLevelType w:val="hybridMultilevel"/>
    <w:tmpl w:val="6630B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5F3C24"/>
    <w:multiLevelType w:val="hybridMultilevel"/>
    <w:tmpl w:val="15DE5D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4C45B0"/>
    <w:multiLevelType w:val="multilevel"/>
    <w:tmpl w:val="650E3A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5AC09A3"/>
    <w:multiLevelType w:val="hybridMultilevel"/>
    <w:tmpl w:val="3198EE66"/>
    <w:lvl w:ilvl="0" w:tplc="75E68A5A">
      <w:start w:val="1"/>
      <w:numFmt w:val="low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78A3251"/>
    <w:multiLevelType w:val="hybridMultilevel"/>
    <w:tmpl w:val="063A5AF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BB1834"/>
    <w:multiLevelType w:val="hybridMultilevel"/>
    <w:tmpl w:val="0726839E"/>
    <w:lvl w:ilvl="0" w:tplc="B3C4FE36">
      <w:start w:val="103"/>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790E6C3C"/>
    <w:multiLevelType w:val="hybridMultilevel"/>
    <w:tmpl w:val="4F0CEC18"/>
    <w:name w:val="Note1"/>
    <w:lvl w:ilvl="0" w:tplc="7126606E">
      <w:start w:val="1"/>
      <w:numFmt w:val="none"/>
      <w:pStyle w:val="B1HNote"/>
      <w:suff w:val="nothing"/>
      <w:lvlText w:val="NOTE:"/>
      <w:lvlJc w:val="left"/>
      <w:pPr>
        <w:tabs>
          <w:tab w:val="num" w:pos="227"/>
        </w:tabs>
        <w:ind w:left="227" w:firstLine="0"/>
      </w:pPr>
      <w:rPr>
        <w:rFonts w:ascii="Times New Roman" w:hAnsi="Times New Roman" w:cs="Times New Roman"/>
      </w:rPr>
    </w:lvl>
    <w:lvl w:ilvl="1" w:tplc="F9C81936">
      <w:start w:val="1"/>
      <w:numFmt w:val="none"/>
      <w:pStyle w:val="B1Note"/>
      <w:suff w:val="nothing"/>
      <w:lvlText w:val=""/>
      <w:lvlJc w:val="left"/>
      <w:pPr>
        <w:tabs>
          <w:tab w:val="num" w:pos="227"/>
        </w:tabs>
        <w:ind w:left="227" w:firstLine="0"/>
      </w:pPr>
      <w:rPr>
        <w:rFonts w:ascii="Times New Roman" w:hAnsi="Times New Roman" w:cs="Times New Roman"/>
      </w:rPr>
    </w:lvl>
    <w:lvl w:ilvl="2" w:tplc="A8486CB4">
      <w:start w:val="1"/>
      <w:numFmt w:val="lowerLetter"/>
      <w:pStyle w:val="B1Note0"/>
      <w:lvlText w:val="(%3)"/>
      <w:lvlJc w:val="left"/>
      <w:pPr>
        <w:tabs>
          <w:tab w:val="num" w:pos="680"/>
        </w:tabs>
        <w:ind w:left="680" w:hanging="453"/>
      </w:pPr>
    </w:lvl>
    <w:lvl w:ilvl="3" w:tplc="BF2EDC6E">
      <w:start w:val="1"/>
      <w:numFmt w:val="lowerRoman"/>
      <w:pStyle w:val="B12Note"/>
      <w:lvlText w:val="(%4)"/>
      <w:lvlJc w:val="left"/>
      <w:pPr>
        <w:tabs>
          <w:tab w:val="num" w:pos="1247"/>
        </w:tabs>
        <w:ind w:left="1247" w:hanging="567"/>
      </w:pPr>
    </w:lvl>
    <w:lvl w:ilvl="4" w:tplc="075C916A">
      <w:start w:val="1"/>
      <w:numFmt w:val="upperLetter"/>
      <w:pStyle w:val="B13Note"/>
      <w:lvlText w:val="(%5)"/>
      <w:lvlJc w:val="left"/>
      <w:pPr>
        <w:tabs>
          <w:tab w:val="num" w:pos="1814"/>
        </w:tabs>
        <w:ind w:left="1814" w:hanging="567"/>
      </w:pPr>
    </w:lvl>
    <w:lvl w:ilvl="5" w:tplc="11CE6DBC">
      <w:start w:val="1"/>
      <w:numFmt w:val="decimal"/>
      <w:pStyle w:val="B14Note"/>
      <w:lvlText w:val="%6"/>
      <w:lvlJc w:val="left"/>
      <w:pPr>
        <w:tabs>
          <w:tab w:val="num" w:pos="2381"/>
        </w:tabs>
        <w:ind w:left="2381" w:hanging="567"/>
      </w:pPr>
    </w:lvl>
    <w:lvl w:ilvl="6" w:tplc="2AFC5776">
      <w:start w:val="1"/>
      <w:numFmt w:val="decimal"/>
      <w:lvlText w:val="%7."/>
      <w:lvlJc w:val="left"/>
      <w:pPr>
        <w:tabs>
          <w:tab w:val="num" w:pos="2520"/>
        </w:tabs>
        <w:ind w:left="2520" w:hanging="360"/>
      </w:pPr>
    </w:lvl>
    <w:lvl w:ilvl="7" w:tplc="E5964410">
      <w:start w:val="1"/>
      <w:numFmt w:val="lowerLetter"/>
      <w:lvlText w:val="%8."/>
      <w:lvlJc w:val="left"/>
      <w:pPr>
        <w:tabs>
          <w:tab w:val="num" w:pos="2880"/>
        </w:tabs>
        <w:ind w:left="2880" w:hanging="360"/>
      </w:pPr>
    </w:lvl>
    <w:lvl w:ilvl="8" w:tplc="76668788">
      <w:start w:val="1"/>
      <w:numFmt w:val="lowerRoman"/>
      <w:lvlText w:val="%9."/>
      <w:lvlJc w:val="left"/>
      <w:pPr>
        <w:tabs>
          <w:tab w:val="num" w:pos="3240"/>
        </w:tabs>
        <w:ind w:left="3240" w:hanging="360"/>
      </w:pPr>
    </w:lvl>
  </w:abstractNum>
  <w:abstractNum w:abstractNumId="22" w15:restartNumberingAfterBreak="0">
    <w:nsid w:val="7D8519B4"/>
    <w:multiLevelType w:val="hybridMultilevel"/>
    <w:tmpl w:val="AD7E4194"/>
    <w:lvl w:ilvl="0" w:tplc="696E0C66">
      <w:start w:val="1"/>
      <w:numFmt w:val="decimal"/>
      <w:pStyle w:val="Lis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9C6D40"/>
    <w:multiLevelType w:val="hybridMultilevel"/>
    <w:tmpl w:val="F1C48F6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18"/>
  </w:num>
  <w:num w:numId="3">
    <w:abstractNumId w:val="5"/>
  </w:num>
  <w:num w:numId="4">
    <w:abstractNumId w:val="7"/>
  </w:num>
  <w:num w:numId="5">
    <w:abstractNumId w:val="10"/>
  </w:num>
  <w:num w:numId="6">
    <w:abstractNumId w:val="4"/>
  </w:num>
  <w:num w:numId="7">
    <w:abstractNumId w:val="1"/>
  </w:num>
  <w:num w:numId="8">
    <w:abstractNumId w:val="17"/>
  </w:num>
  <w:num w:numId="9">
    <w:abstractNumId w:val="22"/>
  </w:num>
  <w:num w:numId="10">
    <w:abstractNumId w:val="21"/>
  </w:num>
  <w:num w:numId="11">
    <w:abstractNumId w:val="9"/>
  </w:num>
  <w:num w:numId="12">
    <w:abstractNumId w:val="15"/>
  </w:num>
  <w:num w:numId="13">
    <w:abstractNumId w:val="11"/>
  </w:num>
  <w:num w:numId="14">
    <w:abstractNumId w:val="0"/>
  </w:num>
  <w:num w:numId="15">
    <w:abstractNumId w:val="12"/>
  </w:num>
  <w:num w:numId="16">
    <w:abstractNumId w:val="2"/>
  </w:num>
  <w:num w:numId="17">
    <w:abstractNumId w:val="13"/>
  </w:num>
  <w:num w:numId="18">
    <w:abstractNumId w:val="6"/>
  </w:num>
  <w:num w:numId="19">
    <w:abstractNumId w:val="23"/>
  </w:num>
  <w:num w:numId="20">
    <w:abstractNumId w:val="19"/>
  </w:num>
  <w:num w:numId="21">
    <w:abstractNumId w:val="20"/>
  </w:num>
  <w:num w:numId="22">
    <w:abstractNumId w:val="16"/>
  </w:num>
  <w:num w:numId="23">
    <w:abstractNumId w:val="1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S2sDA3tzC3tDSwNDFQ0lEKTi0uzszPAykwrAUAIrQ+xiwAAAA="/>
  </w:docVars>
  <w:rsids>
    <w:rsidRoot w:val="00312447"/>
    <w:rsid w:val="0000066A"/>
    <w:rsid w:val="000048E2"/>
    <w:rsid w:val="000111D3"/>
    <w:rsid w:val="00021F4A"/>
    <w:rsid w:val="00022E5E"/>
    <w:rsid w:val="00034A2F"/>
    <w:rsid w:val="000365A0"/>
    <w:rsid w:val="00044AF7"/>
    <w:rsid w:val="00047DDF"/>
    <w:rsid w:val="00052E77"/>
    <w:rsid w:val="00052ECC"/>
    <w:rsid w:val="00054020"/>
    <w:rsid w:val="0007198D"/>
    <w:rsid w:val="000B772F"/>
    <w:rsid w:val="000D5B5F"/>
    <w:rsid w:val="000E6FE8"/>
    <w:rsid w:val="00151054"/>
    <w:rsid w:val="00151A63"/>
    <w:rsid w:val="00172B4B"/>
    <w:rsid w:val="0018490B"/>
    <w:rsid w:val="00186778"/>
    <w:rsid w:val="001927CC"/>
    <w:rsid w:val="001A0E53"/>
    <w:rsid w:val="001A1914"/>
    <w:rsid w:val="001B5492"/>
    <w:rsid w:val="001C0AAF"/>
    <w:rsid w:val="00207D61"/>
    <w:rsid w:val="00210E6A"/>
    <w:rsid w:val="002275D6"/>
    <w:rsid w:val="00241B9B"/>
    <w:rsid w:val="00247B9E"/>
    <w:rsid w:val="00251D1B"/>
    <w:rsid w:val="002637BD"/>
    <w:rsid w:val="002730A1"/>
    <w:rsid w:val="00273129"/>
    <w:rsid w:val="00284E1C"/>
    <w:rsid w:val="002937D3"/>
    <w:rsid w:val="00293937"/>
    <w:rsid w:val="00294748"/>
    <w:rsid w:val="002A0139"/>
    <w:rsid w:val="002A0C29"/>
    <w:rsid w:val="002C54CD"/>
    <w:rsid w:val="002C61B7"/>
    <w:rsid w:val="002D1328"/>
    <w:rsid w:val="00305FDB"/>
    <w:rsid w:val="00311061"/>
    <w:rsid w:val="00312447"/>
    <w:rsid w:val="00357919"/>
    <w:rsid w:val="00363B4E"/>
    <w:rsid w:val="0036767E"/>
    <w:rsid w:val="00390564"/>
    <w:rsid w:val="003958D8"/>
    <w:rsid w:val="00397CAE"/>
    <w:rsid w:val="003E21AC"/>
    <w:rsid w:val="003F18C6"/>
    <w:rsid w:val="00402C53"/>
    <w:rsid w:val="00403EA2"/>
    <w:rsid w:val="00427475"/>
    <w:rsid w:val="00442038"/>
    <w:rsid w:val="004460CC"/>
    <w:rsid w:val="00485DE9"/>
    <w:rsid w:val="004B6B3B"/>
    <w:rsid w:val="004C7568"/>
    <w:rsid w:val="0051580A"/>
    <w:rsid w:val="005608CA"/>
    <w:rsid w:val="00563323"/>
    <w:rsid w:val="00570A22"/>
    <w:rsid w:val="005721DD"/>
    <w:rsid w:val="0058655A"/>
    <w:rsid w:val="005A2B44"/>
    <w:rsid w:val="005D7F6C"/>
    <w:rsid w:val="005F3F14"/>
    <w:rsid w:val="005F585B"/>
    <w:rsid w:val="006118E2"/>
    <w:rsid w:val="00620351"/>
    <w:rsid w:val="006420D8"/>
    <w:rsid w:val="006733CF"/>
    <w:rsid w:val="00686676"/>
    <w:rsid w:val="00690CD6"/>
    <w:rsid w:val="006954F2"/>
    <w:rsid w:val="006A4B61"/>
    <w:rsid w:val="006B4105"/>
    <w:rsid w:val="006C5304"/>
    <w:rsid w:val="006D3B58"/>
    <w:rsid w:val="006E46A6"/>
    <w:rsid w:val="006F04C7"/>
    <w:rsid w:val="006F4B60"/>
    <w:rsid w:val="006F519A"/>
    <w:rsid w:val="006F5F2C"/>
    <w:rsid w:val="00706E33"/>
    <w:rsid w:val="00711057"/>
    <w:rsid w:val="007119BB"/>
    <w:rsid w:val="00723EE4"/>
    <w:rsid w:val="00766728"/>
    <w:rsid w:val="0077675B"/>
    <w:rsid w:val="007D3965"/>
    <w:rsid w:val="007D44B1"/>
    <w:rsid w:val="00827987"/>
    <w:rsid w:val="0087544D"/>
    <w:rsid w:val="008814E1"/>
    <w:rsid w:val="00893DBA"/>
    <w:rsid w:val="008A174F"/>
    <w:rsid w:val="008A19AA"/>
    <w:rsid w:val="008A35FF"/>
    <w:rsid w:val="008A696B"/>
    <w:rsid w:val="008B67B8"/>
    <w:rsid w:val="008C5B78"/>
    <w:rsid w:val="008C69C0"/>
    <w:rsid w:val="008D7608"/>
    <w:rsid w:val="00941427"/>
    <w:rsid w:val="00943BBA"/>
    <w:rsid w:val="009503FA"/>
    <w:rsid w:val="009549FE"/>
    <w:rsid w:val="00975B56"/>
    <w:rsid w:val="00994F77"/>
    <w:rsid w:val="009D19F5"/>
    <w:rsid w:val="009E2B59"/>
    <w:rsid w:val="009E5B62"/>
    <w:rsid w:val="009E60AD"/>
    <w:rsid w:val="009F7D37"/>
    <w:rsid w:val="00A26D48"/>
    <w:rsid w:val="00A438DE"/>
    <w:rsid w:val="00A45585"/>
    <w:rsid w:val="00A60746"/>
    <w:rsid w:val="00A820CC"/>
    <w:rsid w:val="00A828AE"/>
    <w:rsid w:val="00A85062"/>
    <w:rsid w:val="00A860BD"/>
    <w:rsid w:val="00AB69D2"/>
    <w:rsid w:val="00AC4154"/>
    <w:rsid w:val="00AC5235"/>
    <w:rsid w:val="00AD5911"/>
    <w:rsid w:val="00AE3A46"/>
    <w:rsid w:val="00B458B9"/>
    <w:rsid w:val="00B67226"/>
    <w:rsid w:val="00B75942"/>
    <w:rsid w:val="00B91070"/>
    <w:rsid w:val="00BA0881"/>
    <w:rsid w:val="00BE3D1E"/>
    <w:rsid w:val="00BE414B"/>
    <w:rsid w:val="00BF472E"/>
    <w:rsid w:val="00BF6EDF"/>
    <w:rsid w:val="00C04E80"/>
    <w:rsid w:val="00C10130"/>
    <w:rsid w:val="00C129E9"/>
    <w:rsid w:val="00C35AA1"/>
    <w:rsid w:val="00C35E03"/>
    <w:rsid w:val="00C61786"/>
    <w:rsid w:val="00C6471F"/>
    <w:rsid w:val="00C71CE5"/>
    <w:rsid w:val="00C73D11"/>
    <w:rsid w:val="00CA5029"/>
    <w:rsid w:val="00CD58A8"/>
    <w:rsid w:val="00CE63DE"/>
    <w:rsid w:val="00D0375E"/>
    <w:rsid w:val="00D10910"/>
    <w:rsid w:val="00D2303E"/>
    <w:rsid w:val="00D44095"/>
    <w:rsid w:val="00D51225"/>
    <w:rsid w:val="00D54ACC"/>
    <w:rsid w:val="00D7262C"/>
    <w:rsid w:val="00DB1A20"/>
    <w:rsid w:val="00DE04B7"/>
    <w:rsid w:val="00E36846"/>
    <w:rsid w:val="00E43A94"/>
    <w:rsid w:val="00E616E7"/>
    <w:rsid w:val="00E84E2C"/>
    <w:rsid w:val="00EA67B9"/>
    <w:rsid w:val="00EC4B69"/>
    <w:rsid w:val="00F14E49"/>
    <w:rsid w:val="00F23B28"/>
    <w:rsid w:val="00F345D3"/>
    <w:rsid w:val="00F3550A"/>
    <w:rsid w:val="00F434C3"/>
    <w:rsid w:val="00F5278A"/>
    <w:rsid w:val="00F56F62"/>
    <w:rsid w:val="00F83BEB"/>
    <w:rsid w:val="00F9299B"/>
    <w:rsid w:val="00F947DD"/>
    <w:rsid w:val="00FB2136"/>
    <w:rsid w:val="00FB531B"/>
    <w:rsid w:val="00FD791E"/>
    <w:rsid w:val="00FE54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ECE0B1"/>
  <w15:docId w15:val="{B421C192-B732-A349-BCAE-FE33679C5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60"/>
    <w:pPr>
      <w:spacing w:after="120" w:line="276" w:lineRule="auto"/>
    </w:pPr>
    <w:rPr>
      <w:rFonts w:ascii="Calibri" w:hAnsi="Calibri"/>
      <w:sz w:val="22"/>
    </w:rPr>
  </w:style>
  <w:style w:type="paragraph" w:styleId="Heading1">
    <w:name w:val="heading 1"/>
    <w:basedOn w:val="Normal"/>
    <w:next w:val="Normal"/>
    <w:link w:val="Heading1Char"/>
    <w:uiPriority w:val="9"/>
    <w:qFormat/>
    <w:rsid w:val="00570A22"/>
    <w:pPr>
      <w:keepNext/>
      <w:keepLines/>
      <w:spacing w:before="200" w:line="240" w:lineRule="auto"/>
      <w:outlineLvl w:val="0"/>
    </w:pPr>
    <w:rPr>
      <w:rFonts w:eastAsiaTheme="majorEastAsia" w:cstheme="majorBidi"/>
      <w:b/>
      <w:bCs/>
      <w:color w:val="ED1B24"/>
      <w:sz w:val="32"/>
      <w:szCs w:val="28"/>
    </w:rPr>
  </w:style>
  <w:style w:type="paragraph" w:styleId="Heading2">
    <w:name w:val="heading 2"/>
    <w:basedOn w:val="Normal"/>
    <w:next w:val="Normal"/>
    <w:link w:val="Heading2Char"/>
    <w:uiPriority w:val="9"/>
    <w:qFormat/>
    <w:rsid w:val="00570A22"/>
    <w:pPr>
      <w:keepNext/>
      <w:keepLines/>
      <w:spacing w:before="200" w:line="240" w:lineRule="auto"/>
      <w:outlineLvl w:val="1"/>
    </w:pPr>
    <w:rPr>
      <w:rFonts w:eastAsiaTheme="majorEastAsia" w:cstheme="majorBidi"/>
      <w:bCs/>
      <w:color w:val="ED1B24"/>
      <w:sz w:val="28"/>
      <w:szCs w:val="26"/>
    </w:rPr>
  </w:style>
  <w:style w:type="paragraph" w:styleId="Heading3">
    <w:name w:val="heading 3"/>
    <w:basedOn w:val="Normal"/>
    <w:next w:val="Normal"/>
    <w:link w:val="Heading3Char"/>
    <w:uiPriority w:val="9"/>
    <w:qFormat/>
    <w:rsid w:val="00570A22"/>
    <w:pPr>
      <w:keepNext/>
      <w:keepLines/>
      <w:spacing w:before="200" w:line="240" w:lineRule="auto"/>
      <w:outlineLvl w:val="2"/>
    </w:pPr>
    <w:rPr>
      <w:rFonts w:eastAsiaTheme="majorEastAsia" w:cstheme="majorBidi"/>
      <w:b/>
      <w:bCs/>
      <w:color w:val="000000"/>
      <w:sz w:val="24"/>
    </w:rPr>
  </w:style>
  <w:style w:type="paragraph" w:styleId="Heading4">
    <w:name w:val="heading 4"/>
    <w:basedOn w:val="Normal"/>
    <w:next w:val="Normal"/>
    <w:link w:val="Heading4Char"/>
    <w:uiPriority w:val="9"/>
    <w:qFormat/>
    <w:rsid w:val="00570A22"/>
    <w:pPr>
      <w:keepNext/>
      <w:keepLines/>
      <w:spacing w:before="200" w:line="240" w:lineRule="auto"/>
      <w:outlineLvl w:val="3"/>
    </w:pPr>
    <w:rPr>
      <w:rFonts w:eastAsiaTheme="majorEastAsia" w:cstheme="majorBidi"/>
      <w:bCs/>
      <w:iCs/>
      <w:color w:val="000000"/>
    </w:rPr>
  </w:style>
  <w:style w:type="paragraph" w:styleId="Heading5">
    <w:name w:val="heading 5"/>
    <w:basedOn w:val="Normal"/>
    <w:next w:val="Normal"/>
    <w:link w:val="Heading5Char"/>
    <w:uiPriority w:val="9"/>
    <w:semiHidden/>
    <w:unhideWhenUsed/>
    <w:qFormat/>
    <w:rsid w:val="005F3F14"/>
    <w:pPr>
      <w:keepNext/>
      <w:keepLines/>
      <w:spacing w:before="40" w:after="0" w:line="240" w:lineRule="auto"/>
      <w:ind w:left="1008" w:hanging="1008"/>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uiPriority w:val="9"/>
    <w:semiHidden/>
    <w:unhideWhenUsed/>
    <w:qFormat/>
    <w:rsid w:val="005F3F14"/>
    <w:pPr>
      <w:keepNext/>
      <w:keepLines/>
      <w:spacing w:before="40" w:after="0" w:line="240" w:lineRule="auto"/>
      <w:ind w:left="1152" w:hanging="1152"/>
      <w:outlineLvl w:val="5"/>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5F3F14"/>
    <w:pPr>
      <w:keepNext/>
      <w:keepLines/>
      <w:spacing w:before="40" w:after="0" w:line="240" w:lineRule="auto"/>
      <w:ind w:left="1296" w:hanging="1296"/>
      <w:outlineLvl w:val="6"/>
    </w:pPr>
    <w:rPr>
      <w:rFonts w:asciiTheme="majorHAnsi" w:eastAsiaTheme="majorEastAsia" w:hAnsiTheme="majorHAnsi" w:cstheme="majorBidi"/>
      <w:i/>
      <w:iCs/>
      <w:color w:val="243F60" w:themeColor="accent1" w:themeShade="7F"/>
      <w:sz w:val="24"/>
      <w:szCs w:val="24"/>
    </w:rPr>
  </w:style>
  <w:style w:type="paragraph" w:styleId="Heading8">
    <w:name w:val="heading 8"/>
    <w:basedOn w:val="Normal"/>
    <w:next w:val="Normal"/>
    <w:link w:val="Heading8Char"/>
    <w:uiPriority w:val="9"/>
    <w:semiHidden/>
    <w:unhideWhenUsed/>
    <w:qFormat/>
    <w:rsid w:val="005F3F14"/>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F3F14"/>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3FA"/>
    <w:pPr>
      <w:spacing w:after="0" w:line="240" w:lineRule="auto"/>
    </w:pPr>
  </w:style>
  <w:style w:type="character" w:customStyle="1" w:styleId="HeaderChar">
    <w:name w:val="Header Char"/>
    <w:basedOn w:val="DefaultParagraphFont"/>
    <w:link w:val="Header"/>
    <w:uiPriority w:val="99"/>
    <w:rsid w:val="009503FA"/>
    <w:rPr>
      <w:rFonts w:ascii="Calibri" w:hAnsi="Calibri"/>
      <w:sz w:val="22"/>
    </w:rPr>
  </w:style>
  <w:style w:type="paragraph" w:styleId="Footer">
    <w:name w:val="footer"/>
    <w:basedOn w:val="Normal"/>
    <w:link w:val="FooterChar"/>
    <w:uiPriority w:val="99"/>
    <w:unhideWhenUsed/>
    <w:rsid w:val="00FD791E"/>
    <w:pPr>
      <w:pBdr>
        <w:top w:val="single" w:sz="4" w:space="3" w:color="ED1B24"/>
      </w:pBdr>
      <w:tabs>
        <w:tab w:val="right" w:pos="9630"/>
      </w:tabs>
      <w:spacing w:after="0" w:line="240" w:lineRule="auto"/>
    </w:pPr>
    <w:rPr>
      <w:sz w:val="19"/>
    </w:rPr>
  </w:style>
  <w:style w:type="character" w:customStyle="1" w:styleId="FooterChar">
    <w:name w:val="Footer Char"/>
    <w:basedOn w:val="DefaultParagraphFont"/>
    <w:link w:val="Footer"/>
    <w:uiPriority w:val="99"/>
    <w:rsid w:val="00FD791E"/>
    <w:rPr>
      <w:rFonts w:ascii="Calibri" w:hAnsi="Calibri"/>
      <w:sz w:val="19"/>
    </w:rPr>
  </w:style>
  <w:style w:type="table" w:styleId="TableGrid">
    <w:name w:val="Table Grid"/>
    <w:basedOn w:val="TableNormal"/>
    <w:uiPriority w:val="39"/>
    <w:rsid w:val="006F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690CD6"/>
    <w:pPr>
      <w:keepNext/>
      <w:spacing w:before="20" w:after="20" w:line="240" w:lineRule="auto"/>
    </w:pPr>
  </w:style>
  <w:style w:type="paragraph" w:styleId="Date">
    <w:name w:val="Date"/>
    <w:basedOn w:val="Normal"/>
    <w:next w:val="Normal"/>
    <w:link w:val="DateChar"/>
    <w:uiPriority w:val="99"/>
    <w:qFormat/>
    <w:rsid w:val="00207D61"/>
    <w:pPr>
      <w:spacing w:after="360"/>
    </w:pPr>
  </w:style>
  <w:style w:type="character" w:customStyle="1" w:styleId="DateChar">
    <w:name w:val="Date Char"/>
    <w:basedOn w:val="DefaultParagraphFont"/>
    <w:link w:val="Date"/>
    <w:uiPriority w:val="99"/>
    <w:rsid w:val="00207D61"/>
    <w:rPr>
      <w:rFonts w:ascii="Calibri" w:hAnsi="Calibri"/>
      <w:sz w:val="22"/>
    </w:rPr>
  </w:style>
  <w:style w:type="character" w:customStyle="1" w:styleId="Heading1Char">
    <w:name w:val="Heading 1 Char"/>
    <w:basedOn w:val="DefaultParagraphFont"/>
    <w:link w:val="Heading1"/>
    <w:uiPriority w:val="9"/>
    <w:rsid w:val="00570A22"/>
    <w:rPr>
      <w:rFonts w:ascii="Calibri" w:eastAsiaTheme="majorEastAsia" w:hAnsi="Calibri" w:cstheme="majorBidi"/>
      <w:b/>
      <w:bCs/>
      <w:color w:val="ED1B24"/>
      <w:sz w:val="32"/>
      <w:szCs w:val="28"/>
    </w:rPr>
  </w:style>
  <w:style w:type="character" w:customStyle="1" w:styleId="Heading2Char">
    <w:name w:val="Heading 2 Char"/>
    <w:basedOn w:val="DefaultParagraphFont"/>
    <w:link w:val="Heading2"/>
    <w:uiPriority w:val="9"/>
    <w:rsid w:val="00570A22"/>
    <w:rPr>
      <w:rFonts w:ascii="Calibri" w:eastAsiaTheme="majorEastAsia" w:hAnsi="Calibri" w:cstheme="majorBidi"/>
      <w:bCs/>
      <w:color w:val="ED1B24"/>
      <w:sz w:val="28"/>
      <w:szCs w:val="26"/>
    </w:rPr>
  </w:style>
  <w:style w:type="character" w:customStyle="1" w:styleId="Heading3Char">
    <w:name w:val="Heading 3 Char"/>
    <w:basedOn w:val="DefaultParagraphFont"/>
    <w:link w:val="Heading3"/>
    <w:uiPriority w:val="9"/>
    <w:rsid w:val="00570A22"/>
    <w:rPr>
      <w:rFonts w:ascii="Calibri" w:eastAsiaTheme="majorEastAsia" w:hAnsi="Calibri" w:cstheme="majorBidi"/>
      <w:b/>
      <w:bCs/>
      <w:color w:val="000000"/>
      <w:sz w:val="24"/>
    </w:rPr>
  </w:style>
  <w:style w:type="character" w:customStyle="1" w:styleId="Heading4Char">
    <w:name w:val="Heading 4 Char"/>
    <w:basedOn w:val="DefaultParagraphFont"/>
    <w:link w:val="Heading4"/>
    <w:uiPriority w:val="9"/>
    <w:rsid w:val="00570A22"/>
    <w:rPr>
      <w:rFonts w:ascii="Calibri" w:eastAsiaTheme="majorEastAsia" w:hAnsi="Calibri" w:cstheme="majorBidi"/>
      <w:bCs/>
      <w:iCs/>
      <w:color w:val="000000"/>
      <w:sz w:val="22"/>
    </w:rPr>
  </w:style>
  <w:style w:type="character" w:styleId="PageNumber">
    <w:name w:val="page number"/>
    <w:basedOn w:val="DefaultParagraphFont"/>
    <w:uiPriority w:val="99"/>
    <w:semiHidden/>
    <w:unhideWhenUsed/>
    <w:rsid w:val="006F4B60"/>
    <w:rPr>
      <w:sz w:val="18"/>
    </w:rPr>
  </w:style>
  <w:style w:type="paragraph" w:customStyle="1" w:styleId="TableHeading">
    <w:name w:val="TableHeading"/>
    <w:basedOn w:val="TableText"/>
    <w:qFormat/>
    <w:rsid w:val="00690CD6"/>
    <w:pPr>
      <w:spacing w:before="60" w:after="60"/>
    </w:pPr>
    <w:rPr>
      <w:color w:val="FFFFFF"/>
    </w:rPr>
  </w:style>
  <w:style w:type="paragraph" w:customStyle="1" w:styleId="ReportTitle">
    <w:name w:val="ReportTitle"/>
    <w:basedOn w:val="Normal"/>
    <w:rsid w:val="00620351"/>
    <w:pPr>
      <w:spacing w:before="2960" w:after="4000" w:line="240" w:lineRule="auto"/>
    </w:pPr>
    <w:rPr>
      <w:b/>
      <w:color w:val="FFFFFF"/>
      <w:sz w:val="60"/>
    </w:rPr>
  </w:style>
  <w:style w:type="paragraph" w:customStyle="1" w:styleId="CopyrightInfo">
    <w:name w:val="CopyrightInfo"/>
    <w:basedOn w:val="Normal"/>
    <w:rsid w:val="00620351"/>
    <w:rPr>
      <w:sz w:val="16"/>
    </w:rPr>
  </w:style>
  <w:style w:type="paragraph" w:customStyle="1" w:styleId="ChapterTitle">
    <w:name w:val="ChapterTitle"/>
    <w:qFormat/>
    <w:rsid w:val="00706E33"/>
    <w:pPr>
      <w:pBdr>
        <w:bottom w:val="single" w:sz="12" w:space="1" w:color="ED1B24"/>
      </w:pBdr>
      <w:spacing w:after="720"/>
      <w:outlineLvl w:val="0"/>
    </w:pPr>
    <w:rPr>
      <w:rFonts w:ascii="Calibri" w:eastAsiaTheme="majorEastAsia" w:hAnsi="Calibri" w:cstheme="majorBidi"/>
      <w:b/>
      <w:bCs/>
      <w:color w:val="ED1B24"/>
      <w:sz w:val="50"/>
      <w:szCs w:val="28"/>
    </w:rPr>
  </w:style>
  <w:style w:type="paragraph" w:styleId="FootnoteText">
    <w:name w:val="footnote text"/>
    <w:basedOn w:val="Normal"/>
    <w:link w:val="FootnoteTextChar"/>
    <w:uiPriority w:val="99"/>
    <w:semiHidden/>
    <w:unhideWhenUsed/>
    <w:rsid w:val="00706E33"/>
    <w:pPr>
      <w:spacing w:after="0" w:line="240" w:lineRule="auto"/>
    </w:pPr>
    <w:rPr>
      <w:sz w:val="20"/>
    </w:rPr>
  </w:style>
  <w:style w:type="character" w:customStyle="1" w:styleId="FootnoteTextChar">
    <w:name w:val="Footnote Text Char"/>
    <w:basedOn w:val="DefaultParagraphFont"/>
    <w:link w:val="FootnoteText"/>
    <w:uiPriority w:val="99"/>
    <w:semiHidden/>
    <w:rsid w:val="00706E33"/>
    <w:rPr>
      <w:rFonts w:ascii="Calibri" w:hAnsi="Calibri"/>
    </w:rPr>
  </w:style>
  <w:style w:type="character" w:styleId="FootnoteReference">
    <w:name w:val="footnote reference"/>
    <w:basedOn w:val="DefaultParagraphFont"/>
    <w:uiPriority w:val="99"/>
    <w:semiHidden/>
    <w:unhideWhenUsed/>
    <w:rsid w:val="00706E33"/>
    <w:rPr>
      <w:vertAlign w:val="superscript"/>
    </w:rPr>
  </w:style>
  <w:style w:type="paragraph" w:customStyle="1" w:styleId="ContentsTitle">
    <w:name w:val="ContentsTitle"/>
    <w:basedOn w:val="ChapterTitle"/>
    <w:rsid w:val="00706E33"/>
    <w:pPr>
      <w:outlineLvl w:val="9"/>
    </w:pPr>
  </w:style>
  <w:style w:type="paragraph" w:styleId="TOCHeading">
    <w:name w:val="TOC Heading"/>
    <w:basedOn w:val="Heading1"/>
    <w:next w:val="Normal"/>
    <w:uiPriority w:val="39"/>
    <w:semiHidden/>
    <w:unhideWhenUsed/>
    <w:qFormat/>
    <w:rsid w:val="00706E33"/>
    <w:pPr>
      <w:spacing w:before="480" w:after="0" w:line="276" w:lineRule="auto"/>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qFormat/>
    <w:rsid w:val="00706E33"/>
    <w:pPr>
      <w:spacing w:after="100"/>
      <w:ind w:left="220"/>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706E33"/>
    <w:pPr>
      <w:spacing w:after="100"/>
    </w:pPr>
    <w:rPr>
      <w:rFonts w:asciiTheme="minorHAnsi" w:eastAsiaTheme="minorEastAsia" w:hAnsiTheme="minorHAnsi" w:cstheme="minorBidi"/>
      <w:b/>
      <w:szCs w:val="22"/>
      <w:lang w:val="en-US" w:eastAsia="ja-JP"/>
    </w:rPr>
  </w:style>
  <w:style w:type="paragraph" w:styleId="TOC3">
    <w:name w:val="toc 3"/>
    <w:basedOn w:val="Normal"/>
    <w:next w:val="Normal"/>
    <w:autoRedefine/>
    <w:uiPriority w:val="39"/>
    <w:unhideWhenUsed/>
    <w:qFormat/>
    <w:rsid w:val="00706E33"/>
    <w:pPr>
      <w:spacing w:after="100"/>
      <w:ind w:left="440"/>
    </w:pPr>
    <w:rPr>
      <w:rFonts w:asciiTheme="minorHAnsi" w:eastAsiaTheme="minorEastAsia" w:hAnsiTheme="minorHAnsi" w:cstheme="minorBidi"/>
      <w:szCs w:val="22"/>
      <w:lang w:val="en-US" w:eastAsia="ja-JP"/>
    </w:rPr>
  </w:style>
  <w:style w:type="table" w:customStyle="1" w:styleId="E3">
    <w:name w:val="E3"/>
    <w:basedOn w:val="TableNormal"/>
    <w:uiPriority w:val="99"/>
    <w:rsid w:val="00706E33"/>
    <w:rPr>
      <w:rFonts w:ascii="Calibri" w:hAnsi="Calibri"/>
      <w:sz w:val="22"/>
    </w:rPr>
    <w:tblPr>
      <w:tblBorders>
        <w:bottom w:val="single" w:sz="4" w:space="0" w:color="000000"/>
        <w:insideH w:val="single" w:sz="4" w:space="0" w:color="000000"/>
      </w:tblBorders>
    </w:tblPr>
    <w:tblStylePr w:type="firstRow">
      <w:rPr>
        <w:rFonts w:ascii="Calibri" w:hAnsi="Calibri"/>
        <w:color w:val="FFFFFF"/>
        <w:sz w:val="22"/>
      </w:rPr>
      <w:tblPr/>
      <w:tcPr>
        <w:shd w:val="clear" w:color="auto" w:fill="ED1B24"/>
      </w:tcPr>
    </w:tblStylePr>
  </w:style>
  <w:style w:type="paragraph" w:customStyle="1" w:styleId="TableName">
    <w:name w:val="TableName"/>
    <w:basedOn w:val="TableText"/>
    <w:qFormat/>
    <w:rsid w:val="00690CD6"/>
    <w:pPr>
      <w:keepLines/>
      <w:tabs>
        <w:tab w:val="left" w:pos="1080"/>
      </w:tabs>
      <w:spacing w:before="180" w:after="120"/>
      <w:ind w:left="1080" w:hanging="1080"/>
    </w:pPr>
    <w:rPr>
      <w:b/>
    </w:rPr>
  </w:style>
  <w:style w:type="character" w:customStyle="1" w:styleId="Heading5Char">
    <w:name w:val="Heading 5 Char"/>
    <w:basedOn w:val="DefaultParagraphFont"/>
    <w:link w:val="Heading5"/>
    <w:uiPriority w:val="9"/>
    <w:semiHidden/>
    <w:rsid w:val="005F3F14"/>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5F3F14"/>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5F3F14"/>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5F3F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F3F1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5F3F14"/>
    <w:pPr>
      <w:spacing w:after="80" w:line="240" w:lineRule="auto"/>
      <w:ind w:left="1134" w:hanging="414"/>
      <w:contextualSpacing/>
    </w:pPr>
    <w:rPr>
      <w:rFonts w:asciiTheme="minorHAnsi" w:hAnsiTheme="minorHAnsi" w:cstheme="minorBidi"/>
      <w:sz w:val="24"/>
      <w:szCs w:val="24"/>
    </w:rPr>
  </w:style>
  <w:style w:type="paragraph" w:styleId="BalloonText">
    <w:name w:val="Balloon Text"/>
    <w:basedOn w:val="Normal"/>
    <w:link w:val="BalloonTextChar"/>
    <w:uiPriority w:val="99"/>
    <w:semiHidden/>
    <w:unhideWhenUsed/>
    <w:rsid w:val="005F3F14"/>
    <w:pPr>
      <w:spacing w:after="8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F3F14"/>
    <w:rPr>
      <w:sz w:val="18"/>
      <w:szCs w:val="18"/>
    </w:rPr>
  </w:style>
  <w:style w:type="paragraph" w:styleId="NormalWeb">
    <w:name w:val="Normal (Web)"/>
    <w:basedOn w:val="Normal"/>
    <w:uiPriority w:val="99"/>
    <w:semiHidden/>
    <w:unhideWhenUsed/>
    <w:rsid w:val="005F3F14"/>
    <w:pPr>
      <w:spacing w:before="100" w:beforeAutospacing="1" w:after="100" w:afterAutospacing="1" w:line="240" w:lineRule="auto"/>
    </w:pPr>
    <w:rPr>
      <w:rFonts w:ascii="Times New Roman" w:eastAsia="Times New Roman" w:hAnsi="Times New Roman"/>
      <w:sz w:val="24"/>
      <w:szCs w:val="24"/>
      <w:lang w:val="en-NZ" w:eastAsia="en-GB"/>
    </w:rPr>
  </w:style>
  <w:style w:type="paragraph" w:customStyle="1" w:styleId="BT">
    <w:name w:val="BT&lt;"/>
    <w:basedOn w:val="Normal"/>
    <w:rsid w:val="005F3F14"/>
    <w:pPr>
      <w:suppressAutoHyphens/>
      <w:spacing w:before="60" w:after="40" w:line="220" w:lineRule="exact"/>
    </w:pPr>
    <w:rPr>
      <w:rFonts w:ascii="Times New Roman" w:eastAsia="Times New Roman" w:hAnsi="Times New Roman"/>
      <w:color w:val="000000"/>
      <w:spacing w:val="6"/>
      <w:sz w:val="18"/>
    </w:rPr>
  </w:style>
  <w:style w:type="paragraph" w:customStyle="1" w:styleId="BTdec">
    <w:name w:val="BTdec"/>
    <w:basedOn w:val="BT"/>
    <w:rsid w:val="005F3F14"/>
    <w:pPr>
      <w:tabs>
        <w:tab w:val="decimal" w:pos="567"/>
      </w:tabs>
    </w:pPr>
  </w:style>
  <w:style w:type="paragraph" w:customStyle="1" w:styleId="CT">
    <w:name w:val="CT"/>
    <w:basedOn w:val="Normal"/>
    <w:rsid w:val="005F3F14"/>
    <w:pPr>
      <w:keepNext/>
      <w:keepLines/>
      <w:suppressAutoHyphens/>
      <w:spacing w:line="260" w:lineRule="exact"/>
      <w:jc w:val="center"/>
    </w:pPr>
    <w:rPr>
      <w:rFonts w:ascii="Times New Roman" w:eastAsia="Times New Roman" w:hAnsi="Times New Roman"/>
      <w:b/>
      <w:color w:val="000000"/>
      <w:spacing w:val="6"/>
    </w:rPr>
  </w:style>
  <w:style w:type="paragraph" w:customStyle="1" w:styleId="CTH">
    <w:name w:val="CTH"/>
    <w:basedOn w:val="CT"/>
    <w:next w:val="CT"/>
    <w:rsid w:val="005F3F14"/>
    <w:pPr>
      <w:spacing w:before="260"/>
    </w:pPr>
  </w:style>
  <w:style w:type="character" w:customStyle="1" w:styleId="EItalic">
    <w:name w:val="EItalic"/>
    <w:rsid w:val="005F3F14"/>
    <w:rPr>
      <w:i/>
      <w:iCs/>
      <w:color w:val="7030A0"/>
    </w:rPr>
  </w:style>
  <w:style w:type="character" w:customStyle="1" w:styleId="ESubscript">
    <w:name w:val="ESubscript"/>
    <w:rsid w:val="005F3F14"/>
    <w:rPr>
      <w:vertAlign w:val="subscript"/>
    </w:rPr>
  </w:style>
  <w:style w:type="character" w:customStyle="1" w:styleId="ESuperscript">
    <w:name w:val="ESuperscript"/>
    <w:rsid w:val="005F3F14"/>
    <w:rPr>
      <w:vertAlign w:val="superscript"/>
    </w:rPr>
  </w:style>
  <w:style w:type="paragraph" w:customStyle="1" w:styleId="HT">
    <w:name w:val="HT&lt;&gt;"/>
    <w:basedOn w:val="Normal"/>
    <w:rsid w:val="005F3F14"/>
    <w:pPr>
      <w:keepNext/>
      <w:suppressAutoHyphens/>
      <w:spacing w:before="60" w:after="40" w:line="220" w:lineRule="exact"/>
      <w:jc w:val="center"/>
    </w:pPr>
    <w:rPr>
      <w:rFonts w:ascii="Times New Roman" w:eastAsia="Times New Roman" w:hAnsi="Times New Roman"/>
      <w:b/>
      <w:color w:val="000000"/>
      <w:spacing w:val="6"/>
      <w:sz w:val="18"/>
    </w:rPr>
  </w:style>
  <w:style w:type="paragraph" w:customStyle="1" w:styleId="B2A">
    <w:name w:val="B2#A"/>
    <w:basedOn w:val="Normal"/>
    <w:rsid w:val="005F3F14"/>
    <w:pPr>
      <w:numPr>
        <w:ilvl w:val="5"/>
        <w:numId w:val="1"/>
      </w:numPr>
      <w:suppressAutoHyphens/>
      <w:spacing w:before="120" w:after="80" w:line="260" w:lineRule="exact"/>
      <w:jc w:val="both"/>
    </w:pPr>
    <w:rPr>
      <w:rFonts w:ascii="Times New Roman" w:eastAsia="Times New Roman" w:hAnsi="Times New Roman"/>
      <w:color w:val="000000"/>
      <w:spacing w:val="6"/>
    </w:rPr>
  </w:style>
  <w:style w:type="paragraph" w:customStyle="1" w:styleId="B3A">
    <w:name w:val="B3#A"/>
    <w:basedOn w:val="Normal"/>
    <w:rsid w:val="005F3F14"/>
    <w:pPr>
      <w:numPr>
        <w:ilvl w:val="6"/>
        <w:numId w:val="1"/>
      </w:numPr>
      <w:suppressAutoHyphens/>
      <w:spacing w:before="120" w:after="80" w:line="260" w:lineRule="exact"/>
      <w:jc w:val="both"/>
    </w:pPr>
    <w:rPr>
      <w:rFonts w:ascii="Times New Roman" w:eastAsia="Times New Roman" w:hAnsi="Times New Roman"/>
      <w:color w:val="000000"/>
      <w:spacing w:val="6"/>
    </w:rPr>
  </w:style>
  <w:style w:type="paragraph" w:customStyle="1" w:styleId="B4A">
    <w:name w:val="B4#A"/>
    <w:basedOn w:val="Normal"/>
    <w:rsid w:val="005F3F14"/>
    <w:pPr>
      <w:numPr>
        <w:ilvl w:val="7"/>
        <w:numId w:val="1"/>
      </w:numPr>
      <w:suppressAutoHyphens/>
      <w:spacing w:before="120" w:after="80" w:line="260" w:lineRule="exact"/>
      <w:jc w:val="both"/>
    </w:pPr>
    <w:rPr>
      <w:rFonts w:ascii="Times New Roman" w:eastAsia="Times New Roman" w:hAnsi="Times New Roman"/>
      <w:color w:val="000000"/>
      <w:spacing w:val="6"/>
    </w:rPr>
  </w:style>
  <w:style w:type="paragraph" w:customStyle="1" w:styleId="B5A">
    <w:name w:val="B5#A"/>
    <w:basedOn w:val="Normal"/>
    <w:rsid w:val="005F3F14"/>
    <w:pPr>
      <w:numPr>
        <w:ilvl w:val="8"/>
        <w:numId w:val="1"/>
      </w:numPr>
      <w:suppressAutoHyphens/>
      <w:spacing w:before="120" w:after="80" w:line="260" w:lineRule="exact"/>
      <w:jc w:val="both"/>
    </w:pPr>
    <w:rPr>
      <w:rFonts w:ascii="Times New Roman" w:eastAsia="Times New Roman" w:hAnsi="Times New Roman"/>
      <w:color w:val="000000"/>
      <w:spacing w:val="6"/>
    </w:rPr>
  </w:style>
  <w:style w:type="paragraph" w:customStyle="1" w:styleId="H1A">
    <w:name w:val="H1#A"/>
    <w:basedOn w:val="Normal"/>
    <w:next w:val="Normal"/>
    <w:rsid w:val="005F3F14"/>
    <w:pPr>
      <w:keepNext/>
      <w:pageBreakBefore/>
      <w:numPr>
        <w:numId w:val="1"/>
      </w:numPr>
      <w:suppressAutoHyphens/>
      <w:spacing w:before="480" w:after="80" w:line="260" w:lineRule="exact"/>
      <w:jc w:val="center"/>
      <w:outlineLvl w:val="0"/>
    </w:pPr>
    <w:rPr>
      <w:rFonts w:ascii="Times New Roman" w:eastAsia="Times New Roman" w:hAnsi="Times New Roman"/>
      <w:color w:val="000000"/>
      <w:lang w:val="en-GB"/>
    </w:rPr>
  </w:style>
  <w:style w:type="paragraph" w:customStyle="1" w:styleId="H2A">
    <w:name w:val="H2#A"/>
    <w:basedOn w:val="Normal"/>
    <w:next w:val="Normal"/>
    <w:rsid w:val="005F3F14"/>
    <w:pPr>
      <w:keepNext/>
      <w:numPr>
        <w:ilvl w:val="1"/>
        <w:numId w:val="1"/>
      </w:numPr>
      <w:suppressAutoHyphens/>
      <w:spacing w:before="280" w:after="80" w:line="260" w:lineRule="exact"/>
      <w:ind w:left="0" w:firstLine="0"/>
      <w:jc w:val="both"/>
      <w:outlineLvl w:val="1"/>
    </w:pPr>
    <w:rPr>
      <w:rFonts w:ascii="Times New Roman" w:eastAsia="Times New Roman" w:hAnsi="Times New Roman"/>
      <w:b/>
      <w:color w:val="000000"/>
      <w:spacing w:val="6"/>
      <w:lang w:val="en-GB"/>
    </w:rPr>
  </w:style>
  <w:style w:type="paragraph" w:customStyle="1" w:styleId="H3A">
    <w:name w:val="H3#A"/>
    <w:basedOn w:val="Normal"/>
    <w:next w:val="Normal"/>
    <w:rsid w:val="005F3F14"/>
    <w:pPr>
      <w:keepNext/>
      <w:numPr>
        <w:ilvl w:val="2"/>
        <w:numId w:val="1"/>
      </w:numPr>
      <w:suppressAutoHyphens/>
      <w:spacing w:before="120" w:after="80" w:line="260" w:lineRule="exact"/>
      <w:ind w:left="0" w:firstLine="0"/>
      <w:jc w:val="both"/>
      <w:outlineLvl w:val="2"/>
    </w:pPr>
    <w:rPr>
      <w:rFonts w:ascii="Times New Roman" w:eastAsia="Times New Roman" w:hAnsi="Times New Roman"/>
      <w:b/>
      <w:color w:val="000000"/>
      <w:spacing w:val="6"/>
      <w:lang w:val="en-GB"/>
    </w:rPr>
  </w:style>
  <w:style w:type="paragraph" w:customStyle="1" w:styleId="H4A">
    <w:name w:val="H4#A"/>
    <w:basedOn w:val="Normal"/>
    <w:next w:val="Normal"/>
    <w:rsid w:val="005F3F14"/>
    <w:pPr>
      <w:keepNext/>
      <w:numPr>
        <w:ilvl w:val="3"/>
        <w:numId w:val="1"/>
      </w:numPr>
      <w:suppressAutoHyphens/>
      <w:spacing w:before="120" w:after="80" w:line="260" w:lineRule="exact"/>
      <w:ind w:left="0" w:firstLine="0"/>
      <w:outlineLvl w:val="3"/>
    </w:pPr>
    <w:rPr>
      <w:rFonts w:ascii="Times New Roman" w:eastAsia="Times New Roman" w:hAnsi="Times New Roman"/>
      <w:i/>
      <w:color w:val="000000"/>
      <w:spacing w:val="6"/>
      <w:lang w:val="en-GB"/>
    </w:rPr>
  </w:style>
  <w:style w:type="paragraph" w:customStyle="1" w:styleId="H5A">
    <w:name w:val="H5#A"/>
    <w:basedOn w:val="Normal"/>
    <w:next w:val="Normal"/>
    <w:rsid w:val="005F3F14"/>
    <w:pPr>
      <w:keepNext/>
      <w:numPr>
        <w:ilvl w:val="4"/>
        <w:numId w:val="1"/>
      </w:numPr>
      <w:suppressAutoHyphens/>
      <w:spacing w:before="120" w:after="80" w:line="260" w:lineRule="exact"/>
      <w:ind w:left="0" w:firstLine="0"/>
      <w:outlineLvl w:val="4"/>
    </w:pPr>
    <w:rPr>
      <w:rFonts w:ascii="Times New Roman" w:eastAsia="Times New Roman" w:hAnsi="Times New Roman"/>
      <w:i/>
      <w:color w:val="000000"/>
      <w:spacing w:val="6"/>
      <w:lang w:val="en-GB"/>
    </w:rPr>
  </w:style>
  <w:style w:type="paragraph" w:customStyle="1" w:styleId="B1">
    <w:name w:val="B1"/>
    <w:basedOn w:val="Normal"/>
    <w:link w:val="B1CharChar"/>
    <w:rsid w:val="005F3F14"/>
    <w:pPr>
      <w:suppressAutoHyphens/>
      <w:spacing w:before="120" w:after="80" w:line="260" w:lineRule="exact"/>
      <w:jc w:val="both"/>
    </w:pPr>
    <w:rPr>
      <w:rFonts w:ascii="Times New Roman" w:eastAsia="Times New Roman" w:hAnsi="Times New Roman"/>
      <w:color w:val="000000"/>
      <w:spacing w:val="6"/>
    </w:rPr>
  </w:style>
  <w:style w:type="character" w:customStyle="1" w:styleId="B1CharChar">
    <w:name w:val="B1 Char Char"/>
    <w:link w:val="B1"/>
    <w:rsid w:val="005F3F14"/>
    <w:rPr>
      <w:rFonts w:eastAsia="Times New Roman"/>
      <w:color w:val="000000"/>
      <w:spacing w:val="6"/>
      <w:sz w:val="22"/>
    </w:rPr>
  </w:style>
  <w:style w:type="paragraph" w:customStyle="1" w:styleId="BulletLvl3">
    <w:name w:val="Bullet Lvl 3"/>
    <w:qFormat/>
    <w:rsid w:val="005F3F14"/>
    <w:pPr>
      <w:numPr>
        <w:numId w:val="5"/>
      </w:numPr>
      <w:ind w:left="1134"/>
    </w:pPr>
    <w:rPr>
      <w:rFonts w:asciiTheme="minorHAnsi" w:hAnsiTheme="minorHAnsi" w:cstheme="minorBidi"/>
      <w:sz w:val="24"/>
      <w:szCs w:val="24"/>
    </w:rPr>
  </w:style>
  <w:style w:type="paragraph" w:customStyle="1" w:styleId="PurpleItalic">
    <w:name w:val="Purple Italic"/>
    <w:qFormat/>
    <w:rsid w:val="005F3F14"/>
    <w:pPr>
      <w:spacing w:after="80"/>
      <w:ind w:left="284"/>
    </w:pPr>
    <w:rPr>
      <w:rFonts w:asciiTheme="minorHAnsi" w:hAnsiTheme="minorHAnsi" w:cstheme="minorBidi"/>
      <w:i/>
      <w:iCs/>
      <w:color w:val="7030A0"/>
      <w:sz w:val="24"/>
      <w:szCs w:val="24"/>
    </w:rPr>
  </w:style>
  <w:style w:type="character" w:styleId="CommentReference">
    <w:name w:val="annotation reference"/>
    <w:basedOn w:val="DefaultParagraphFont"/>
    <w:uiPriority w:val="99"/>
    <w:semiHidden/>
    <w:unhideWhenUsed/>
    <w:rsid w:val="005F3F14"/>
    <w:rPr>
      <w:sz w:val="16"/>
      <w:szCs w:val="16"/>
    </w:rPr>
  </w:style>
  <w:style w:type="paragraph" w:styleId="CommentText">
    <w:name w:val="annotation text"/>
    <w:basedOn w:val="Normal"/>
    <w:link w:val="CommentTextChar"/>
    <w:uiPriority w:val="99"/>
    <w:unhideWhenUsed/>
    <w:rsid w:val="005F3F14"/>
    <w:pPr>
      <w:spacing w:after="80" w:line="240" w:lineRule="auto"/>
    </w:pPr>
    <w:rPr>
      <w:rFonts w:asciiTheme="minorHAnsi" w:hAnsiTheme="minorHAnsi" w:cstheme="minorBidi"/>
      <w:sz w:val="20"/>
    </w:rPr>
  </w:style>
  <w:style w:type="character" w:customStyle="1" w:styleId="CommentTextChar">
    <w:name w:val="Comment Text Char"/>
    <w:basedOn w:val="DefaultParagraphFont"/>
    <w:link w:val="CommentText"/>
    <w:uiPriority w:val="99"/>
    <w:rsid w:val="005F3F14"/>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5F3F14"/>
    <w:rPr>
      <w:b/>
      <w:bCs/>
    </w:rPr>
  </w:style>
  <w:style w:type="character" w:customStyle="1" w:styleId="CommentSubjectChar">
    <w:name w:val="Comment Subject Char"/>
    <w:basedOn w:val="CommentTextChar"/>
    <w:link w:val="CommentSubject"/>
    <w:uiPriority w:val="99"/>
    <w:semiHidden/>
    <w:rsid w:val="005F3F14"/>
    <w:rPr>
      <w:rFonts w:asciiTheme="minorHAnsi" w:hAnsiTheme="minorHAnsi" w:cstheme="minorBidi"/>
      <w:b/>
      <w:bCs/>
    </w:rPr>
  </w:style>
  <w:style w:type="paragraph" w:styleId="Title">
    <w:name w:val="Title"/>
    <w:basedOn w:val="Normal"/>
    <w:next w:val="Normal"/>
    <w:link w:val="TitleChar"/>
    <w:uiPriority w:val="10"/>
    <w:qFormat/>
    <w:rsid w:val="005F3F14"/>
    <w:pPr>
      <w:spacing w:after="0" w:line="240" w:lineRule="auto"/>
      <w:contextualSpacing/>
      <w:jc w:val="center"/>
    </w:pPr>
    <w:rPr>
      <w:rFonts w:asciiTheme="majorHAnsi" w:eastAsiaTheme="majorEastAsia" w:hAnsiTheme="majorHAnsi" w:cstheme="majorBidi"/>
      <w:b/>
      <w:bCs/>
      <w:spacing w:val="-10"/>
      <w:kern w:val="28"/>
      <w:sz w:val="56"/>
      <w:szCs w:val="56"/>
    </w:rPr>
  </w:style>
  <w:style w:type="character" w:customStyle="1" w:styleId="TitleChar">
    <w:name w:val="Title Char"/>
    <w:basedOn w:val="DefaultParagraphFont"/>
    <w:link w:val="Title"/>
    <w:uiPriority w:val="10"/>
    <w:rsid w:val="005F3F14"/>
    <w:rPr>
      <w:rFonts w:asciiTheme="majorHAnsi" w:eastAsiaTheme="majorEastAsia" w:hAnsiTheme="majorHAnsi" w:cstheme="majorBidi"/>
      <w:b/>
      <w:bCs/>
      <w:spacing w:val="-10"/>
      <w:kern w:val="28"/>
      <w:sz w:val="56"/>
      <w:szCs w:val="56"/>
    </w:rPr>
  </w:style>
  <w:style w:type="paragraph" w:styleId="Caption">
    <w:name w:val="caption"/>
    <w:basedOn w:val="Normal"/>
    <w:next w:val="Normal"/>
    <w:uiPriority w:val="35"/>
    <w:unhideWhenUsed/>
    <w:qFormat/>
    <w:rsid w:val="005F3F14"/>
    <w:pPr>
      <w:spacing w:before="40" w:after="200" w:line="240" w:lineRule="auto"/>
    </w:pPr>
    <w:rPr>
      <w:rFonts w:asciiTheme="minorHAnsi" w:hAnsiTheme="minorHAnsi" w:cstheme="minorBidi"/>
      <w:b/>
      <w:bCs/>
      <w:i/>
      <w:iCs/>
      <w:color w:val="000000" w:themeColor="text1"/>
      <w:szCs w:val="22"/>
    </w:rPr>
  </w:style>
  <w:style w:type="paragraph" w:customStyle="1" w:styleId="aList">
    <w:name w:val="(a) List"/>
    <w:basedOn w:val="Normal"/>
    <w:qFormat/>
    <w:rsid w:val="005F3F14"/>
    <w:pPr>
      <w:spacing w:after="80" w:line="240" w:lineRule="auto"/>
      <w:ind w:left="284"/>
    </w:pPr>
    <w:rPr>
      <w:rFonts w:asciiTheme="minorHAnsi" w:hAnsiTheme="minorHAnsi" w:cstheme="minorBidi"/>
      <w:sz w:val="24"/>
      <w:szCs w:val="24"/>
    </w:rPr>
  </w:style>
  <w:style w:type="paragraph" w:customStyle="1" w:styleId="Italics">
    <w:name w:val="Italics"/>
    <w:basedOn w:val="Normal"/>
    <w:qFormat/>
    <w:rsid w:val="005F3F14"/>
    <w:pPr>
      <w:spacing w:after="80" w:line="240" w:lineRule="auto"/>
      <w:ind w:left="567"/>
    </w:pPr>
    <w:rPr>
      <w:rFonts w:asciiTheme="minorHAnsi" w:hAnsiTheme="minorHAnsi" w:cstheme="minorBidi"/>
      <w:i/>
      <w:iCs/>
      <w:sz w:val="26"/>
      <w:szCs w:val="26"/>
    </w:rPr>
  </w:style>
  <w:style w:type="paragraph" w:styleId="Revision">
    <w:name w:val="Revision"/>
    <w:hidden/>
    <w:uiPriority w:val="99"/>
    <w:semiHidden/>
    <w:rsid w:val="005F3F14"/>
    <w:rPr>
      <w:rFonts w:asciiTheme="minorHAnsi" w:hAnsiTheme="minorHAnsi" w:cstheme="minorBidi"/>
      <w:sz w:val="24"/>
      <w:szCs w:val="24"/>
    </w:rPr>
  </w:style>
  <w:style w:type="paragraph" w:customStyle="1" w:styleId="Figure">
    <w:name w:val="Figure"/>
    <w:next w:val="Caption"/>
    <w:qFormat/>
    <w:rsid w:val="005F3F14"/>
    <w:pPr>
      <w:spacing w:before="240" w:after="20"/>
    </w:pPr>
    <w:rPr>
      <w:rFonts w:asciiTheme="minorHAnsi" w:hAnsiTheme="minorHAnsi" w:cstheme="minorBidi"/>
      <w:noProof/>
      <w:color w:val="000000" w:themeColor="text1"/>
      <w:sz w:val="24"/>
      <w:szCs w:val="24"/>
      <w:lang w:eastAsia="en-AU"/>
    </w:rPr>
  </w:style>
  <w:style w:type="paragraph" w:customStyle="1" w:styleId="ListNumbered">
    <w:name w:val="List Numbered"/>
    <w:qFormat/>
    <w:rsid w:val="005F3F14"/>
    <w:pPr>
      <w:numPr>
        <w:numId w:val="9"/>
      </w:numPr>
    </w:pPr>
    <w:rPr>
      <w:rFonts w:asciiTheme="minorHAnsi" w:hAnsiTheme="minorHAnsi" w:cstheme="minorBidi"/>
      <w:sz w:val="24"/>
      <w:szCs w:val="24"/>
    </w:rPr>
  </w:style>
  <w:style w:type="character" w:customStyle="1" w:styleId="EBold">
    <w:name w:val="EBold"/>
    <w:rsid w:val="005F3F14"/>
    <w:rPr>
      <w:rFonts w:ascii="Times New Roman" w:hAnsi="Times New Roman"/>
      <w:b/>
    </w:rPr>
  </w:style>
  <w:style w:type="paragraph" w:customStyle="1" w:styleId="B2">
    <w:name w:val="B2"/>
    <w:basedOn w:val="B1"/>
    <w:link w:val="B2Char"/>
    <w:rsid w:val="005F3F14"/>
    <w:pPr>
      <w:tabs>
        <w:tab w:val="left" w:pos="1134"/>
      </w:tabs>
      <w:spacing w:after="0"/>
      <w:ind w:left="567"/>
    </w:pPr>
  </w:style>
  <w:style w:type="character" w:customStyle="1" w:styleId="B2Char">
    <w:name w:val="B2 Char"/>
    <w:link w:val="B2"/>
    <w:rsid w:val="005F3F14"/>
    <w:rPr>
      <w:rFonts w:eastAsia="Times New Roman"/>
      <w:color w:val="000000"/>
      <w:spacing w:val="6"/>
      <w:sz w:val="22"/>
    </w:rPr>
  </w:style>
  <w:style w:type="paragraph" w:customStyle="1" w:styleId="IPartTitle">
    <w:name w:val="IPartTitle"/>
    <w:basedOn w:val="B1"/>
    <w:link w:val="IPartTitleChar"/>
    <w:autoRedefine/>
    <w:rsid w:val="005F3F14"/>
    <w:pPr>
      <w:tabs>
        <w:tab w:val="left" w:pos="3402"/>
      </w:tabs>
      <w:spacing w:before="40" w:after="20"/>
      <w:jc w:val="left"/>
    </w:pPr>
    <w:rPr>
      <w:spacing w:val="0"/>
      <w:sz w:val="20"/>
    </w:rPr>
  </w:style>
  <w:style w:type="paragraph" w:customStyle="1" w:styleId="B1Note">
    <w:name w:val="B1Note"/>
    <w:basedOn w:val="B1"/>
    <w:rsid w:val="005F3F14"/>
    <w:pPr>
      <w:numPr>
        <w:ilvl w:val="1"/>
        <w:numId w:val="10"/>
      </w:numPr>
      <w:spacing w:before="60" w:after="0" w:line="240" w:lineRule="exact"/>
    </w:pPr>
    <w:rPr>
      <w:sz w:val="20"/>
    </w:rPr>
  </w:style>
  <w:style w:type="paragraph" w:customStyle="1" w:styleId="B12Note">
    <w:name w:val="B1#2Note"/>
    <w:basedOn w:val="B1Note"/>
    <w:rsid w:val="005F3F14"/>
    <w:pPr>
      <w:numPr>
        <w:ilvl w:val="3"/>
      </w:numPr>
    </w:pPr>
  </w:style>
  <w:style w:type="paragraph" w:customStyle="1" w:styleId="B13Note">
    <w:name w:val="B1#3Note"/>
    <w:basedOn w:val="B1Note"/>
    <w:rsid w:val="005F3F14"/>
    <w:pPr>
      <w:numPr>
        <w:ilvl w:val="4"/>
      </w:numPr>
    </w:pPr>
  </w:style>
  <w:style w:type="paragraph" w:customStyle="1" w:styleId="B14Note">
    <w:name w:val="B1#4Note"/>
    <w:basedOn w:val="B1Note"/>
    <w:rsid w:val="005F3F14"/>
    <w:pPr>
      <w:numPr>
        <w:ilvl w:val="5"/>
      </w:numPr>
    </w:pPr>
  </w:style>
  <w:style w:type="paragraph" w:customStyle="1" w:styleId="B1Note0">
    <w:name w:val="B1#Note"/>
    <w:basedOn w:val="B1Note"/>
    <w:rsid w:val="005F3F14"/>
    <w:pPr>
      <w:numPr>
        <w:ilvl w:val="2"/>
      </w:numPr>
    </w:pPr>
  </w:style>
  <w:style w:type="paragraph" w:customStyle="1" w:styleId="B1HNote">
    <w:name w:val="B1HNote"/>
    <w:basedOn w:val="B1Note"/>
    <w:next w:val="B1Note"/>
    <w:rsid w:val="005F3F14"/>
    <w:pPr>
      <w:numPr>
        <w:ilvl w:val="0"/>
      </w:numPr>
    </w:pPr>
  </w:style>
  <w:style w:type="character" w:customStyle="1" w:styleId="IPartTitleChar">
    <w:name w:val="IPartTitle Char"/>
    <w:link w:val="IPartTitle"/>
    <w:rsid w:val="005F3F14"/>
    <w:rPr>
      <w:rFonts w:eastAsia="Times New Roman"/>
      <w:color w:val="000000"/>
    </w:rPr>
  </w:style>
  <w:style w:type="character" w:styleId="Hyperlink">
    <w:name w:val="Hyperlink"/>
    <w:basedOn w:val="DefaultParagraphFont"/>
    <w:uiPriority w:val="99"/>
    <w:unhideWhenUsed/>
    <w:rsid w:val="005F3F14"/>
    <w:rPr>
      <w:color w:val="0000FF" w:themeColor="hyperlink"/>
      <w:u w:val="single"/>
    </w:rPr>
  </w:style>
  <w:style w:type="character" w:customStyle="1" w:styleId="UnresolvedMention1">
    <w:name w:val="Unresolved Mention1"/>
    <w:basedOn w:val="DefaultParagraphFont"/>
    <w:uiPriority w:val="99"/>
    <w:semiHidden/>
    <w:unhideWhenUsed/>
    <w:rsid w:val="005F3F14"/>
    <w:rPr>
      <w:color w:val="605E5C"/>
      <w:shd w:val="clear" w:color="auto" w:fill="E1DFDD"/>
    </w:rPr>
  </w:style>
  <w:style w:type="character" w:styleId="FollowedHyperlink">
    <w:name w:val="FollowedHyperlink"/>
    <w:basedOn w:val="DefaultParagraphFont"/>
    <w:uiPriority w:val="99"/>
    <w:semiHidden/>
    <w:unhideWhenUsed/>
    <w:rsid w:val="005F3F14"/>
    <w:rPr>
      <w:color w:val="800080" w:themeColor="followedHyperlink"/>
      <w:u w:val="single"/>
    </w:rPr>
  </w:style>
  <w:style w:type="character" w:customStyle="1" w:styleId="apple-converted-space">
    <w:name w:val="apple-converted-space"/>
    <w:basedOn w:val="DefaultParagraphFont"/>
    <w:rsid w:val="005F3F14"/>
  </w:style>
  <w:style w:type="character" w:customStyle="1" w:styleId="UnresolvedMention2">
    <w:name w:val="Unresolved Mention2"/>
    <w:basedOn w:val="DefaultParagraphFont"/>
    <w:uiPriority w:val="99"/>
    <w:semiHidden/>
    <w:unhideWhenUsed/>
    <w:rsid w:val="005F3F14"/>
    <w:rPr>
      <w:color w:val="605E5C"/>
      <w:shd w:val="clear" w:color="auto" w:fill="E1DFDD"/>
    </w:rPr>
  </w:style>
  <w:style w:type="character" w:styleId="Emphasis">
    <w:name w:val="Emphasis"/>
    <w:basedOn w:val="DefaultParagraphFont"/>
    <w:uiPriority w:val="20"/>
    <w:qFormat/>
    <w:rsid w:val="00994F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7452">
      <w:bodyDiv w:val="1"/>
      <w:marLeft w:val="0"/>
      <w:marRight w:val="0"/>
      <w:marTop w:val="0"/>
      <w:marBottom w:val="0"/>
      <w:divBdr>
        <w:top w:val="none" w:sz="0" w:space="0" w:color="auto"/>
        <w:left w:val="none" w:sz="0" w:space="0" w:color="auto"/>
        <w:bottom w:val="none" w:sz="0" w:space="0" w:color="auto"/>
        <w:right w:val="none" w:sz="0" w:space="0" w:color="auto"/>
      </w:divBdr>
    </w:div>
    <w:div w:id="337469815">
      <w:bodyDiv w:val="1"/>
      <w:marLeft w:val="0"/>
      <w:marRight w:val="0"/>
      <w:marTop w:val="0"/>
      <w:marBottom w:val="0"/>
      <w:divBdr>
        <w:top w:val="none" w:sz="0" w:space="0" w:color="auto"/>
        <w:left w:val="none" w:sz="0" w:space="0" w:color="auto"/>
        <w:bottom w:val="none" w:sz="0" w:space="0" w:color="auto"/>
        <w:right w:val="none" w:sz="0" w:space="0" w:color="auto"/>
      </w:divBdr>
    </w:div>
    <w:div w:id="707527816">
      <w:bodyDiv w:val="1"/>
      <w:marLeft w:val="0"/>
      <w:marRight w:val="0"/>
      <w:marTop w:val="0"/>
      <w:marBottom w:val="0"/>
      <w:divBdr>
        <w:top w:val="none" w:sz="0" w:space="0" w:color="auto"/>
        <w:left w:val="none" w:sz="0" w:space="0" w:color="auto"/>
        <w:bottom w:val="none" w:sz="0" w:space="0" w:color="auto"/>
        <w:right w:val="none" w:sz="0" w:space="0" w:color="auto"/>
      </w:divBdr>
    </w:div>
    <w:div w:id="1665353918">
      <w:bodyDiv w:val="1"/>
      <w:marLeft w:val="0"/>
      <w:marRight w:val="0"/>
      <w:marTop w:val="0"/>
      <w:marBottom w:val="0"/>
      <w:divBdr>
        <w:top w:val="none" w:sz="0" w:space="0" w:color="auto"/>
        <w:left w:val="none" w:sz="0" w:space="0" w:color="auto"/>
        <w:bottom w:val="none" w:sz="0" w:space="0" w:color="auto"/>
        <w:right w:val="none" w:sz="0" w:space="0" w:color="auto"/>
      </w:divBdr>
    </w:div>
    <w:div w:id="1858889077">
      <w:bodyDiv w:val="1"/>
      <w:marLeft w:val="0"/>
      <w:marRight w:val="0"/>
      <w:marTop w:val="0"/>
      <w:marBottom w:val="0"/>
      <w:divBdr>
        <w:top w:val="none" w:sz="0" w:space="0" w:color="auto"/>
        <w:left w:val="none" w:sz="0" w:space="0" w:color="auto"/>
        <w:bottom w:val="none" w:sz="0" w:space="0" w:color="auto"/>
        <w:right w:val="none" w:sz="0" w:space="0" w:color="auto"/>
      </w:divBdr>
    </w:div>
    <w:div w:id="209377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hyperlink" Target="https://www.techstreet.com/standards/as-nzs-1158-3-1-2020?product_id=2104204"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slsc.org.au/home" TargetMode="External"/><Relationship Id="rId33" Type="http://schemas.openxmlformats.org/officeDocument/2006/relationships/footer" Target="footer4.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infostore.saiglobal.com/en-us/standards/bs-en-13201-5-2015-287407_saig_bsi_bsi_66542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eader" Target="header2.xml"/><Relationship Id="rId37"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12.png"/><Relationship Id="rId28" Type="http://schemas.openxmlformats.org/officeDocument/2006/relationships/hyperlink" Target="https://shop.standards.govt.nz/catalog/1158.3.1%3A2020%28AS%7CNZS%29/view" TargetMode="Externa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11.png"/><Relationship Id="rId27" Type="http://schemas.openxmlformats.org/officeDocument/2006/relationships/hyperlink" Target="https://infostore.saiglobal.com/en-au/standards/AS-NZS-1158-3-1-2020-117844_SAIG_AS_AS_2808804/" TargetMode="External"/><Relationship Id="rId30" Type="http://schemas.openxmlformats.org/officeDocument/2006/relationships/hyperlink" Target="https://shop.standards.govt.nz/catalog/13201-5%3A2015%28BS+EN%29/view"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24" ma:contentTypeDescription="Create a new document." ma:contentTypeScope="" ma:versionID="0ae76d88240b3cb97d5e948a93575179">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targetNamespace="http://schemas.microsoft.com/office/2006/metadata/properties" ma:root="true" ma:fieldsID="702f39e5b08660f5d5264642ec33493b" ns1:_="" ns2:_="" ns3:_="" ns4:_="">
    <xsd:import namespace="http://schemas.microsoft.com/sharepoint/v3"/>
    <xsd:import namespace="a36bd50b-1532-4c22-b385-5c082c960938"/>
    <xsd:import namespace="d92934b5-032c-4da3-958e-788fdb9771c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bebc7225f90c4fc2a0a48f3c4d49b4ca" minOccurs="0"/>
                <xsd:element ref="ns3:a2c238835d024ec9b571e76164f3a854" minOccurs="0"/>
                <xsd:element ref="ns3:kbc75b3778444349939401197c1e4680" minOccurs="0"/>
                <xsd:element ref="ns3:SharedWithUsers" minOccurs="0"/>
                <xsd:element ref="ns3:d8e408ae2551469fa177069ace196e9c"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bebc7225f90c4fc2a0a48f3c4d49b4ca" ma:index="24" nillable="true" ma:taxonomy="true" ma:internalName="bebc7225f90c4fc2a0a48f3c4d49b4ca" ma:taxonomyFieldName="DocHub_LightingPolicyProduct" ma:displayName="Product" ma:indexed="true" ma:default="" ma:fieldId="{bebc7225-f90c-4fc2-a0a4-8f3c4d49b4ca}" ma:sspId="fb0313f7-9433-48c0-866e-9e0bbee59a50" ma:termSetId="00c19b5b-adf6-43bc-bbde-32bd2750a371" ma:anchorId="063c7087-6d5e-4891-b0eb-4cd020152d58" ma:open="false" ma:isKeyword="false">
      <xsd:complexType>
        <xsd:sequence>
          <xsd:element ref="pc:Terms" minOccurs="0" maxOccurs="1"/>
        </xsd:sequence>
      </xsd:complexType>
    </xsd:element>
    <xsd:element name="a2c238835d024ec9b571e76164f3a854" ma:index="26" nillable="true" ma:taxonomy="true" ma:internalName="a2c238835d024ec9b571e76164f3a854" ma:taxonomyFieldName="DocHub_LightingPolicyStakeholders" ma:displayName="Stakeholders" ma:default="" ma:fieldId="{a2c23883-5d02-4ec9-b571-e76164f3a854}" ma:taxonomyMulti="true" ma:sspId="fb0313f7-9433-48c0-866e-9e0bbee59a50" ma:termSetId="00c19b5b-adf6-43bc-bbde-32bd2750a371" ma:anchorId="2cca5f62-b3d4-41e1-a7aa-f9076b0bab01" ma:open="false" ma:isKeyword="false">
      <xsd:complexType>
        <xsd:sequence>
          <xsd:element ref="pc:Terms" minOccurs="0" maxOccurs="1"/>
        </xsd:sequence>
      </xsd:complexType>
    </xsd:element>
    <xsd:element name="kbc75b3778444349939401197c1e4680" ma:index="28" nillable="true" ma:taxonomy="true" ma:internalName="kbc75b3778444349939401197c1e4680" ma:taxonomyFieldName="DocHub_LightingPolicyCommittees" ma:displayName="Organisation / Committee" ma:default="" ma:fieldId="{4bc75b37-7844-4349-9394-01197c1e4680}" ma:taxonomyMulti="true" ma:sspId="fb0313f7-9433-48c0-866e-9e0bbee59a50" ma:termSetId="00c19b5b-adf6-43bc-bbde-32bd2750a371" ma:anchorId="4fa5f422-1e55-4a44-8f32-7db72eb02a2c"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8e408ae2551469fa177069ace196e9c" ma:index="31" nillable="true" ma:taxonomy="true" ma:internalName="d8e408ae2551469fa177069ace196e9c" ma:taxonomyFieldName="DocHub_RegionCountry" ma:displayName="Region / Country" ma:default="" ma:fieldId="{d8e408ae-2551-469f-a177-069ace196e9c}" ma:taxonomyMulti="true" ma:sspId="fb0313f7-9433-48c0-866e-9e0bbee59a50" ma:termSetId="dfb3c815-0d58-4d79-855d-8ebb6c91cf6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Lighting</TermName>
          <TermId xmlns="http://schemas.microsoft.com/office/infopath/2007/PartnerControls">19c421d0-8c64-4b27-a541-dcbff8438d9f</TermId>
        </TermInfo>
        <TermInfo xmlns="http://schemas.microsoft.com/office/infopath/2007/PartnerControls">
          <TermName xmlns="http://schemas.microsoft.com/office/infopath/2007/PartnerControls">GEMS</TermName>
          <TermId xmlns="http://schemas.microsoft.com/office/infopath/2007/PartnerControls">51062a15-d76c-4a7c-952c-b09c9b63ac70</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712d5b50-1b62-44de-9d3e-74234783b265</TermId>
        </TermInfo>
      </Terms>
    </n99e4c9942c6404eb103464a00e6097b>
    <d8e408ae2551469fa177069ace196e9c xmlns="d92934b5-032c-4da3-958e-788fdb9771c1">
      <Terms xmlns="http://schemas.microsoft.com/office/infopath/2007/PartnerControls"/>
    </d8e408ae2551469fa177069ace196e9c>
    <bebc7225f90c4fc2a0a48f3c4d49b4ca xmlns="d92934b5-032c-4da3-958e-788fdb9771c1">
      <Terms xmlns="http://schemas.microsoft.com/office/infopath/2007/PartnerControls">
        <TermInfo xmlns="http://schemas.microsoft.com/office/infopath/2007/PartnerControls">
          <TermName xmlns="http://schemas.microsoft.com/office/infopath/2007/PartnerControls">Street/Public Lighting</TermName>
          <TermId xmlns="http://schemas.microsoft.com/office/infopath/2007/PartnerControls">fdfed8ed-a775-4fdb-a3b5-9f465b8ef264</TermId>
        </TermInfo>
      </Terms>
    </bebc7225f90c4fc2a0a48f3c4d49b4ca>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a4ca7698-9492-435d-8c80-0e92d5f30f1b</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Engagement</TermName>
          <TermId xmlns="http://schemas.microsoft.com/office/infopath/2007/PartnerControls">70267ed8-6bd2-4b96-bc60-cce33581fb54</TermId>
        </TermInfo>
      </Terms>
    </g7bcb40ba23249a78edca7d43a67c1c9>
    <TaxCatchAll xmlns="a36bd50b-1532-4c22-b385-5c082c960938">
      <Value>832</Value>
      <Value>491</Value>
      <Value>846</Value>
      <Value>180</Value>
      <Value>854</Value>
      <Value>139</Value>
      <Value>1</Value>
    </TaxCatchAll>
    <kbc75b3778444349939401197c1e4680 xmlns="d92934b5-032c-4da3-958e-788fdb9771c1">
      <Terms xmlns="http://schemas.microsoft.com/office/infopath/2007/PartnerControls"/>
    </kbc75b3778444349939401197c1e4680>
    <Comments xmlns="http://schemas.microsoft.com/sharepoint/v3" xsi:nil="true"/>
    <a2c238835d024ec9b571e76164f3a854 xmlns="d92934b5-032c-4da3-958e-788fdb9771c1">
      <Terms xmlns="http://schemas.microsoft.com/office/infopath/2007/PartnerControls"/>
    </a2c238835d024ec9b571e76164f3a85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FA4EE-7685-4D58-9D17-3C2915728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8266D-89C8-4E4E-93E1-01F224EA3FA9}">
  <ds:schemaRefs>
    <ds:schemaRef ds:uri="http://schemas.microsoft.com/sharepoint/v4"/>
    <ds:schemaRef ds:uri="http://purl.org/dc/terms/"/>
    <ds:schemaRef ds:uri="http://schemas.openxmlformats.org/package/2006/metadata/core-properties"/>
    <ds:schemaRef ds:uri="http://schemas.microsoft.com/office/2006/documentManagement/types"/>
    <ds:schemaRef ds:uri="d92934b5-032c-4da3-958e-788fdb9771c1"/>
    <ds:schemaRef ds:uri="http://purl.org/dc/elements/1.1/"/>
    <ds:schemaRef ds:uri="http://schemas.microsoft.com/office/2006/metadata/properties"/>
    <ds:schemaRef ds:uri="a36bd50b-1532-4c22-b385-5c082c960938"/>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5410B00-3585-4EBA-BF09-955EED44DAA5}">
  <ds:schemaRefs>
    <ds:schemaRef ds:uri="http://schemas.microsoft.com/sharepoint/v3/contenttype/forms"/>
  </ds:schemaRefs>
</ds:datastoreItem>
</file>

<file path=customXml/itemProps4.xml><?xml version="1.0" encoding="utf-8"?>
<ds:datastoreItem xmlns:ds="http://schemas.openxmlformats.org/officeDocument/2006/customXml" ds:itemID="{A76874DF-7169-489E-8A0F-B3A8A2C16465}">
  <ds:schemaRefs>
    <ds:schemaRef ds:uri="http://schemas.microsoft.com/sharepoint/events"/>
  </ds:schemaRefs>
</ds:datastoreItem>
</file>

<file path=customXml/itemProps5.xml><?xml version="1.0" encoding="utf-8"?>
<ds:datastoreItem xmlns:ds="http://schemas.openxmlformats.org/officeDocument/2006/customXml" ds:itemID="{6922D4F1-D562-41D7-BE49-2438BE8A7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3475</Words>
  <Characters>19811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User Guide on 2020 energy metrics in AS/NZS 1158 Lighting for roads and public spaces</vt:lpstr>
    </vt:vector>
  </TitlesOfParts>
  <Company/>
  <LinksUpToDate>false</LinksUpToDate>
  <CharactersWithSpaces>23240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 Guide on 2020 energy metrics in AS/NZS 1158 lighting for roads and public spaces</dc:title>
  <dc:creator>Bryan King</dc:creator>
  <cp:keywords>lighting, roads, public spaces</cp:keywords>
  <cp:lastModifiedBy>Brooks, Prue</cp:lastModifiedBy>
  <cp:revision>3</cp:revision>
  <cp:lastPrinted>2022-04-08T03:54:00Z</cp:lastPrinted>
  <dcterms:created xsi:type="dcterms:W3CDTF">2022-04-08T03:50:00Z</dcterms:created>
  <dcterms:modified xsi:type="dcterms:W3CDTF">2022-04-08T03:54:00Z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LightingPolicyStakeholders">
    <vt:lpwstr/>
  </property>
  <property fmtid="{D5CDD505-2E9C-101B-9397-08002B2CF9AE}" pid="4" name="DocHub_Year">
    <vt:lpwstr>491;#2021|712d5b50-1b62-44de-9d3e-74234783b265</vt:lpwstr>
  </property>
  <property fmtid="{D5CDD505-2E9C-101B-9397-08002B2CF9AE}" pid="5" name="DocHub_RegionCountry">
    <vt:lpwstr/>
  </property>
  <property fmtid="{D5CDD505-2E9C-101B-9397-08002B2CF9AE}" pid="6" name="DocHub_DocumentType">
    <vt:lpwstr>139;#Guide|a4ca7698-9492-435d-8c80-0e92d5f30f1b</vt:lpwstr>
  </property>
  <property fmtid="{D5CDD505-2E9C-101B-9397-08002B2CF9AE}" pid="7" name="DocHub_SecurityClassification">
    <vt:lpwstr>1;#OFFICIAL|6106d03b-a1a0-4e30-9d91-d5e9fb4314f9</vt:lpwstr>
  </property>
  <property fmtid="{D5CDD505-2E9C-101B-9397-08002B2CF9AE}" pid="8" name="DocHub_LightingPolicyCommittees">
    <vt:lpwstr/>
  </property>
  <property fmtid="{D5CDD505-2E9C-101B-9397-08002B2CF9AE}" pid="9" name="DocHub_Keywords">
    <vt:lpwstr>846;#Lighting|19c421d0-8c64-4b27-a541-dcbff8438d9f;#832;#GEMS|51062a15-d76c-4a7c-952c-b09c9b63ac70</vt:lpwstr>
  </property>
  <property fmtid="{D5CDD505-2E9C-101B-9397-08002B2CF9AE}" pid="10" name="DocHub_LightingPolicyProduct">
    <vt:lpwstr>854;#Street/Public Lighting|fdfed8ed-a775-4fdb-a3b5-9f465b8ef264</vt:lpwstr>
  </property>
  <property fmtid="{D5CDD505-2E9C-101B-9397-08002B2CF9AE}" pid="11" name="DocHub_WorkActivity">
    <vt:lpwstr>180;#Engagement|70267ed8-6bd2-4b96-bc60-cce33581fb54</vt:lpwstr>
  </property>
</Properties>
</file>