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9829E" w14:textId="77777777" w:rsidR="00D96D21" w:rsidRDefault="00D96D21" w:rsidP="00B907F2">
      <w:pPr>
        <w:sectPr w:rsidR="00D96D21" w:rsidSect="00987834">
          <w:headerReference w:type="default" r:id="rId13"/>
          <w:footerReference w:type="default" r:id="rId14"/>
          <w:headerReference w:type="first" r:id="rId15"/>
          <w:footerReference w:type="first" r:id="rId16"/>
          <w:type w:val="continuous"/>
          <w:pgSz w:w="11907" w:h="16840" w:code="9"/>
          <w:pgMar w:top="2268" w:right="1701" w:bottom="1134" w:left="2268" w:header="397" w:footer="397" w:gutter="0"/>
          <w:cols w:space="720"/>
          <w:titlePg/>
        </w:sectPr>
      </w:pPr>
    </w:p>
    <w:p w14:paraId="6A94C5A8" w14:textId="77777777" w:rsidR="003615A4" w:rsidRDefault="00C17BE3" w:rsidP="0076497B">
      <w:pPr>
        <w:pStyle w:val="Heading1"/>
        <w:spacing w:after="0"/>
        <w:jc w:val="center"/>
        <w:rPr>
          <w:sz w:val="52"/>
          <w:szCs w:val="52"/>
        </w:rPr>
      </w:pPr>
      <w:r>
        <w:rPr>
          <w:sz w:val="52"/>
          <w:szCs w:val="52"/>
        </w:rPr>
        <w:t xml:space="preserve">Market </w:t>
      </w:r>
      <w:r w:rsidR="00D42D64">
        <w:rPr>
          <w:sz w:val="52"/>
          <w:szCs w:val="52"/>
        </w:rPr>
        <w:t xml:space="preserve">Surveillance </w:t>
      </w:r>
      <w:r w:rsidR="003615A4">
        <w:rPr>
          <w:sz w:val="52"/>
          <w:szCs w:val="52"/>
        </w:rPr>
        <w:t>Results</w:t>
      </w:r>
    </w:p>
    <w:p w14:paraId="686FAB33" w14:textId="77777777" w:rsidR="00B907F2" w:rsidRPr="003615A4" w:rsidRDefault="00FB1ED6" w:rsidP="0076497B">
      <w:pPr>
        <w:pStyle w:val="Heading1"/>
        <w:spacing w:after="0"/>
        <w:jc w:val="center"/>
        <w:rPr>
          <w:rFonts w:eastAsiaTheme="majorEastAsia"/>
          <w:sz w:val="40"/>
          <w:szCs w:val="40"/>
        </w:rPr>
      </w:pPr>
      <w:r>
        <w:rPr>
          <w:sz w:val="40"/>
          <w:szCs w:val="40"/>
        </w:rPr>
        <w:t>July 20</w:t>
      </w:r>
      <w:r w:rsidR="00171BF5">
        <w:rPr>
          <w:sz w:val="40"/>
          <w:szCs w:val="40"/>
        </w:rPr>
        <w:t>20</w:t>
      </w:r>
      <w:r w:rsidR="00C17BE3">
        <w:rPr>
          <w:sz w:val="40"/>
          <w:szCs w:val="40"/>
        </w:rPr>
        <w:t xml:space="preserve"> to Ju</w:t>
      </w:r>
      <w:r>
        <w:rPr>
          <w:sz w:val="40"/>
          <w:szCs w:val="40"/>
        </w:rPr>
        <w:t>ne</w:t>
      </w:r>
      <w:r w:rsidR="00171BF5">
        <w:rPr>
          <w:sz w:val="40"/>
          <w:szCs w:val="40"/>
        </w:rPr>
        <w:t xml:space="preserve"> 2021</w:t>
      </w:r>
    </w:p>
    <w:p w14:paraId="1F07B652" w14:textId="77777777" w:rsidR="00B907F2" w:rsidRPr="00D42D64" w:rsidRDefault="00B907F2" w:rsidP="00D42D64">
      <w:pPr>
        <w:pStyle w:val="Heading2"/>
        <w:numPr>
          <w:ilvl w:val="0"/>
          <w:numId w:val="9"/>
        </w:numPr>
        <w:ind w:left="357" w:hanging="357"/>
        <w:rPr>
          <w:rFonts w:eastAsiaTheme="majorEastAsia"/>
          <w:sz w:val="32"/>
          <w:szCs w:val="32"/>
        </w:rPr>
      </w:pPr>
      <w:r w:rsidRPr="00D42D64">
        <w:rPr>
          <w:rFonts w:eastAsiaTheme="majorEastAsia"/>
          <w:sz w:val="32"/>
          <w:szCs w:val="32"/>
        </w:rPr>
        <w:t>Purpose</w:t>
      </w:r>
    </w:p>
    <w:p w14:paraId="05EA25C2" w14:textId="77777777" w:rsidR="00C17BE3" w:rsidRPr="003615A4" w:rsidRDefault="00C17BE3" w:rsidP="00C17BE3">
      <w:pPr>
        <w:pStyle w:val="BodyText1"/>
        <w:rPr>
          <w:rFonts w:ascii="Calibri Light" w:hAnsi="Calibri Light" w:cs="Calibri Light"/>
        </w:rPr>
      </w:pPr>
      <w:r w:rsidRPr="00C17BE3">
        <w:rPr>
          <w:rFonts w:ascii="Calibri Light" w:hAnsi="Calibri Light" w:cs="Calibri Light"/>
        </w:rPr>
        <w:t xml:space="preserve">This report presents the results of the market surveillance of models of the seven products regulated under the </w:t>
      </w:r>
      <w:r w:rsidRPr="00C17BE3">
        <w:rPr>
          <w:rFonts w:ascii="Calibri Light" w:hAnsi="Calibri Light" w:cs="Calibri Light"/>
          <w:i/>
        </w:rPr>
        <w:t xml:space="preserve">Greenhouse and Energy Minimum Standards </w:t>
      </w:r>
      <w:r w:rsidRPr="00C17BE3">
        <w:rPr>
          <w:rFonts w:ascii="Calibri Light" w:hAnsi="Calibri Light" w:cs="Calibri Light"/>
        </w:rPr>
        <w:t>(GEMS)</w:t>
      </w:r>
      <w:r w:rsidRPr="00C17BE3">
        <w:rPr>
          <w:rFonts w:ascii="Calibri Light" w:hAnsi="Calibri Light" w:cs="Calibri Light"/>
          <w:i/>
        </w:rPr>
        <w:t xml:space="preserve"> Act 2012</w:t>
      </w:r>
      <w:r w:rsidRPr="00C17BE3">
        <w:rPr>
          <w:rFonts w:ascii="Calibri Light" w:hAnsi="Calibri Light" w:cs="Calibri Light"/>
        </w:rPr>
        <w:t xml:space="preserve"> that are required to display an Energy Rating Label (ERL) on the product when supplied in store</w:t>
      </w:r>
      <w:r w:rsidR="00661A9A">
        <w:rPr>
          <w:rFonts w:ascii="Calibri Light" w:hAnsi="Calibri Light" w:cs="Calibri Light"/>
        </w:rPr>
        <w:t>.</w:t>
      </w:r>
      <w:r>
        <w:rPr>
          <w:rFonts w:ascii="Calibri Light" w:hAnsi="Calibri Light" w:cs="Calibri Light"/>
        </w:rPr>
        <w:t xml:space="preserve"> </w:t>
      </w:r>
      <w:r w:rsidR="00661A9A">
        <w:rPr>
          <w:rFonts w:ascii="Calibri Light" w:hAnsi="Calibri Light" w:cs="Calibri Light"/>
        </w:rPr>
        <w:t xml:space="preserve">The report covers the period </w:t>
      </w:r>
      <w:r w:rsidR="00171BF5">
        <w:rPr>
          <w:rFonts w:ascii="Calibri Light" w:hAnsi="Calibri Light" w:cs="Calibri Light"/>
        </w:rPr>
        <w:t>1 July 2020 to 30 June 2021</w:t>
      </w:r>
      <w:r w:rsidRPr="00C17BE3">
        <w:rPr>
          <w:rFonts w:ascii="Calibri Light" w:hAnsi="Calibri Light" w:cs="Calibri Light"/>
        </w:rPr>
        <w:t xml:space="preserve">. </w:t>
      </w:r>
    </w:p>
    <w:p w14:paraId="02B73F46" w14:textId="77777777" w:rsidR="00B907F2" w:rsidRPr="00D42D64" w:rsidRDefault="00B907F2" w:rsidP="00D42D64">
      <w:pPr>
        <w:pStyle w:val="Heading2"/>
        <w:numPr>
          <w:ilvl w:val="0"/>
          <w:numId w:val="9"/>
        </w:numPr>
        <w:ind w:left="357" w:hanging="357"/>
        <w:rPr>
          <w:sz w:val="32"/>
          <w:szCs w:val="32"/>
        </w:rPr>
      </w:pPr>
      <w:r w:rsidRPr="00D42D64">
        <w:rPr>
          <w:sz w:val="32"/>
          <w:szCs w:val="32"/>
        </w:rPr>
        <w:t>Background</w:t>
      </w:r>
    </w:p>
    <w:p w14:paraId="4B0311F5" w14:textId="77777777" w:rsidR="00C17BE3" w:rsidRPr="00C17BE3" w:rsidRDefault="00C17BE3" w:rsidP="00C17BE3">
      <w:pPr>
        <w:pStyle w:val="BodyText1"/>
        <w:rPr>
          <w:rFonts w:ascii="Calibri Light" w:hAnsi="Calibri Light" w:cs="Calibri Light"/>
        </w:rPr>
      </w:pPr>
      <w:r w:rsidRPr="00C17BE3">
        <w:rPr>
          <w:rFonts w:ascii="Calibri Light" w:hAnsi="Calibri Light" w:cs="Calibri Light"/>
        </w:rPr>
        <w:t xml:space="preserve">Market surveillance refers to activities undertaken by GEMS inspectors to ensure models of GEMS products meet GEMS registration and labelling requirements once in the marketplace. It is focused on suppliers (including retailers and importers) and where applicable, manufacturers. </w:t>
      </w:r>
    </w:p>
    <w:p w14:paraId="4FD4C051" w14:textId="77777777" w:rsidR="00B907F2" w:rsidRPr="00D42D64" w:rsidRDefault="00120ED4" w:rsidP="00D42D64">
      <w:pPr>
        <w:pStyle w:val="Heading2"/>
        <w:numPr>
          <w:ilvl w:val="0"/>
          <w:numId w:val="9"/>
        </w:numPr>
        <w:ind w:left="357" w:hanging="357"/>
        <w:rPr>
          <w:sz w:val="32"/>
          <w:szCs w:val="32"/>
        </w:rPr>
      </w:pPr>
      <w:r>
        <w:rPr>
          <w:sz w:val="32"/>
          <w:szCs w:val="32"/>
        </w:rPr>
        <w:t>Market Surveillance</w:t>
      </w:r>
    </w:p>
    <w:p w14:paraId="2FE2CBE1" w14:textId="4C56D70C" w:rsidR="00C17BE3" w:rsidRPr="00C17BE3" w:rsidRDefault="00171BF5" w:rsidP="00C17BE3">
      <w:pPr>
        <w:rPr>
          <w:rFonts w:ascii="Calibri Light" w:hAnsi="Calibri Light" w:cs="Calibri Light"/>
          <w:sz w:val="20"/>
          <w:szCs w:val="20"/>
          <w:lang w:val="en-US"/>
        </w:rPr>
      </w:pPr>
      <w:r>
        <w:rPr>
          <w:rFonts w:ascii="Calibri Light" w:hAnsi="Calibri Light" w:cs="Calibri Light"/>
          <w:sz w:val="20"/>
          <w:szCs w:val="20"/>
        </w:rPr>
        <w:t>During 2020</w:t>
      </w:r>
      <w:r w:rsidR="00853824">
        <w:rPr>
          <w:rFonts w:ascii="Calibri Light" w:hAnsi="Calibri Light" w:cs="Calibri Light"/>
          <w:sz w:val="20"/>
          <w:szCs w:val="20"/>
        </w:rPr>
        <w:t>-</w:t>
      </w:r>
      <w:r>
        <w:rPr>
          <w:rFonts w:ascii="Calibri Light" w:hAnsi="Calibri Light" w:cs="Calibri Light"/>
          <w:sz w:val="20"/>
          <w:szCs w:val="20"/>
        </w:rPr>
        <w:t>21</w:t>
      </w:r>
      <w:r w:rsidR="00E65C72">
        <w:rPr>
          <w:rFonts w:ascii="Calibri Light" w:hAnsi="Calibri Light" w:cs="Calibri Light"/>
          <w:sz w:val="20"/>
          <w:szCs w:val="20"/>
        </w:rPr>
        <w:t>,</w:t>
      </w:r>
      <w:r w:rsidR="00C17BE3" w:rsidRPr="00C17BE3">
        <w:rPr>
          <w:rFonts w:ascii="Calibri Light" w:hAnsi="Calibri Light" w:cs="Calibri Light"/>
          <w:sz w:val="20"/>
          <w:szCs w:val="20"/>
        </w:rPr>
        <w:t xml:space="preserve"> factors such as Bush Fires</w:t>
      </w:r>
      <w:r>
        <w:rPr>
          <w:rFonts w:ascii="Calibri Light" w:hAnsi="Calibri Light" w:cs="Calibri Light"/>
          <w:sz w:val="20"/>
          <w:szCs w:val="20"/>
        </w:rPr>
        <w:t>, weather events</w:t>
      </w:r>
      <w:r w:rsidR="00C17BE3" w:rsidRPr="00C17BE3">
        <w:rPr>
          <w:rFonts w:ascii="Calibri Light" w:hAnsi="Calibri Light" w:cs="Calibri Light"/>
          <w:sz w:val="20"/>
          <w:szCs w:val="20"/>
        </w:rPr>
        <w:t xml:space="preserve"> and </w:t>
      </w:r>
      <w:r w:rsidR="00FB1ED6">
        <w:rPr>
          <w:rFonts w:ascii="Calibri Light" w:hAnsi="Calibri Light" w:cs="Calibri Light"/>
          <w:sz w:val="20"/>
          <w:szCs w:val="20"/>
        </w:rPr>
        <w:t>COVID-</w:t>
      </w:r>
      <w:r w:rsidR="00C17BE3" w:rsidRPr="00C17BE3">
        <w:rPr>
          <w:rFonts w:ascii="Calibri Light" w:hAnsi="Calibri Light" w:cs="Calibri Light"/>
          <w:sz w:val="20"/>
          <w:szCs w:val="20"/>
        </w:rPr>
        <w:t>19</w:t>
      </w:r>
      <w:r>
        <w:rPr>
          <w:rFonts w:ascii="Calibri Light" w:hAnsi="Calibri Light" w:cs="Calibri Light"/>
          <w:sz w:val="20"/>
          <w:szCs w:val="20"/>
        </w:rPr>
        <w:t xml:space="preserve"> restrictions</w:t>
      </w:r>
      <w:r w:rsidR="00C17BE3" w:rsidRPr="00C17BE3">
        <w:rPr>
          <w:rFonts w:ascii="Calibri Light" w:hAnsi="Calibri Light" w:cs="Calibri Light"/>
          <w:sz w:val="20"/>
          <w:szCs w:val="20"/>
        </w:rPr>
        <w:t xml:space="preserve"> reduced the ability of compliance inspectors to safely carry out physical market surveillance in stores as planned. </w:t>
      </w:r>
      <w:r w:rsidR="00FB1ED6">
        <w:rPr>
          <w:rFonts w:ascii="Calibri Light" w:hAnsi="Calibri Light" w:cs="Calibri Light"/>
          <w:sz w:val="20"/>
          <w:szCs w:val="20"/>
        </w:rPr>
        <w:t xml:space="preserve">In line with the surge in </w:t>
      </w:r>
      <w:r>
        <w:rPr>
          <w:rFonts w:ascii="Calibri Light" w:hAnsi="Calibri Light" w:cs="Calibri Light"/>
          <w:sz w:val="20"/>
          <w:szCs w:val="20"/>
        </w:rPr>
        <w:t>e-commerce, GEMS Inspectors</w:t>
      </w:r>
      <w:r w:rsidR="00FB1ED6">
        <w:rPr>
          <w:rFonts w:ascii="Calibri Light" w:hAnsi="Calibri Light" w:cs="Calibri Light"/>
          <w:sz w:val="20"/>
          <w:szCs w:val="20"/>
        </w:rPr>
        <w:t xml:space="preserve"> increased </w:t>
      </w:r>
      <w:r w:rsidR="00C17BE3" w:rsidRPr="00C17BE3">
        <w:rPr>
          <w:rFonts w:ascii="Calibri Light" w:hAnsi="Calibri Light" w:cs="Calibri Light"/>
          <w:sz w:val="20"/>
          <w:szCs w:val="20"/>
        </w:rPr>
        <w:t xml:space="preserve">Online </w:t>
      </w:r>
      <w:r w:rsidR="00FB1ED6">
        <w:rPr>
          <w:rFonts w:ascii="Calibri Light" w:hAnsi="Calibri Light" w:cs="Calibri Light"/>
          <w:sz w:val="20"/>
          <w:szCs w:val="20"/>
        </w:rPr>
        <w:t>Market S</w:t>
      </w:r>
      <w:r w:rsidR="00C17BE3" w:rsidRPr="00C17BE3">
        <w:rPr>
          <w:rFonts w:ascii="Calibri Light" w:hAnsi="Calibri Light" w:cs="Calibri Light"/>
          <w:sz w:val="20"/>
          <w:szCs w:val="20"/>
        </w:rPr>
        <w:t xml:space="preserve">urveillance and </w:t>
      </w:r>
      <w:r w:rsidR="00FB1ED6">
        <w:rPr>
          <w:rFonts w:ascii="Calibri Light" w:hAnsi="Calibri Light" w:cs="Calibri Light"/>
          <w:sz w:val="20"/>
          <w:szCs w:val="20"/>
        </w:rPr>
        <w:t xml:space="preserve">it </w:t>
      </w:r>
      <w:r w:rsidR="00C17BE3" w:rsidRPr="00C17BE3">
        <w:rPr>
          <w:rFonts w:ascii="Calibri Light" w:hAnsi="Calibri Light" w:cs="Calibri Light"/>
          <w:sz w:val="20"/>
          <w:szCs w:val="20"/>
        </w:rPr>
        <w:t>will</w:t>
      </w:r>
      <w:r w:rsidR="00FB1ED6">
        <w:rPr>
          <w:rFonts w:ascii="Calibri Light" w:hAnsi="Calibri Light" w:cs="Calibri Light"/>
          <w:sz w:val="20"/>
          <w:szCs w:val="20"/>
        </w:rPr>
        <w:t xml:space="preserve"> continue to</w:t>
      </w:r>
      <w:r>
        <w:rPr>
          <w:rFonts w:ascii="Calibri Light" w:hAnsi="Calibri Light" w:cs="Calibri Light"/>
          <w:sz w:val="20"/>
          <w:szCs w:val="20"/>
        </w:rPr>
        <w:t xml:space="preserve"> be a focus during restrictions across Australia</w:t>
      </w:r>
      <w:r w:rsidR="00E65C72">
        <w:rPr>
          <w:rFonts w:ascii="Calibri Light" w:hAnsi="Calibri Light" w:cs="Calibri Light"/>
          <w:sz w:val="20"/>
          <w:szCs w:val="20"/>
        </w:rPr>
        <w:t>;</w:t>
      </w:r>
      <w:r w:rsidR="00FB1ED6">
        <w:rPr>
          <w:rFonts w:ascii="Calibri Light" w:hAnsi="Calibri Light" w:cs="Calibri Light"/>
          <w:sz w:val="20"/>
          <w:szCs w:val="20"/>
        </w:rPr>
        <w:t xml:space="preserve"> physical inspections</w:t>
      </w:r>
      <w:r>
        <w:rPr>
          <w:rFonts w:ascii="Calibri Light" w:hAnsi="Calibri Light" w:cs="Calibri Light"/>
          <w:sz w:val="20"/>
          <w:szCs w:val="20"/>
        </w:rPr>
        <w:t xml:space="preserve"> will return when restrictions are lifted</w:t>
      </w:r>
      <w:r w:rsidR="00C17BE3">
        <w:rPr>
          <w:rFonts w:ascii="Calibri Light" w:hAnsi="Calibri Light" w:cs="Calibri Light"/>
          <w:sz w:val="20"/>
          <w:szCs w:val="20"/>
        </w:rPr>
        <w:t>.</w:t>
      </w:r>
    </w:p>
    <w:p w14:paraId="2AB43228" w14:textId="77777777" w:rsidR="00C17BE3" w:rsidRPr="00120ED4" w:rsidRDefault="00C17BE3" w:rsidP="00120ED4">
      <w:pPr>
        <w:pStyle w:val="Heading2"/>
        <w:numPr>
          <w:ilvl w:val="0"/>
          <w:numId w:val="9"/>
        </w:numPr>
        <w:ind w:left="357" w:hanging="357"/>
        <w:rPr>
          <w:sz w:val="32"/>
          <w:szCs w:val="32"/>
        </w:rPr>
      </w:pPr>
      <w:r w:rsidRPr="00120ED4">
        <w:rPr>
          <w:sz w:val="32"/>
          <w:szCs w:val="32"/>
        </w:rPr>
        <w:t>Results</w:t>
      </w:r>
    </w:p>
    <w:p w14:paraId="5DF503F1" w14:textId="77777777" w:rsidR="00C17BE3" w:rsidRPr="00C17BE3" w:rsidRDefault="00152A20" w:rsidP="00C17BE3">
      <w:pPr>
        <w:pStyle w:val="BodyText1"/>
        <w:rPr>
          <w:rFonts w:ascii="Calibri Light" w:hAnsi="Calibri Light" w:cs="Calibri Light"/>
        </w:rPr>
      </w:pPr>
      <w:r>
        <w:rPr>
          <w:rFonts w:ascii="Calibri Light" w:hAnsi="Calibri Light" w:cs="Calibri Light"/>
        </w:rPr>
        <w:t>The following table</w:t>
      </w:r>
      <w:r w:rsidR="00C17BE3" w:rsidRPr="00C17BE3">
        <w:rPr>
          <w:rFonts w:ascii="Calibri Light" w:hAnsi="Calibri Light" w:cs="Calibri Light"/>
        </w:rPr>
        <w:t xml:space="preserve"> summarise</w:t>
      </w:r>
      <w:r w:rsidR="00853FE7">
        <w:rPr>
          <w:rFonts w:ascii="Calibri Light" w:hAnsi="Calibri Light" w:cs="Calibri Light"/>
        </w:rPr>
        <w:t>s</w:t>
      </w:r>
      <w:r w:rsidR="00C17BE3" w:rsidRPr="00C17BE3">
        <w:rPr>
          <w:rFonts w:ascii="Calibri Light" w:hAnsi="Calibri Light" w:cs="Calibri Light"/>
        </w:rPr>
        <w:t xml:space="preserve"> the key results.</w:t>
      </w:r>
    </w:p>
    <w:p w14:paraId="1BA52578" w14:textId="77777777" w:rsidR="00C17BE3" w:rsidRPr="00082810" w:rsidRDefault="00C17BE3" w:rsidP="00082810">
      <w:pPr>
        <w:pStyle w:val="Heading3"/>
        <w:rPr>
          <w:b/>
          <w:bCs/>
          <w:i w:val="0"/>
          <w:color w:val="005881"/>
          <w:sz w:val="28"/>
          <w:szCs w:val="28"/>
          <w:lang w:val="en-US"/>
        </w:rPr>
      </w:pPr>
      <w:r w:rsidRPr="00082810">
        <w:rPr>
          <w:b/>
          <w:bCs/>
          <w:i w:val="0"/>
          <w:color w:val="005881"/>
          <w:sz w:val="28"/>
          <w:szCs w:val="28"/>
          <w:lang w:val="en-US"/>
        </w:rPr>
        <w:t>4.1 Approved Registrations</w:t>
      </w:r>
      <w:r w:rsidR="00171BF5">
        <w:rPr>
          <w:b/>
          <w:bCs/>
          <w:i w:val="0"/>
          <w:color w:val="005881"/>
          <w:sz w:val="28"/>
          <w:szCs w:val="28"/>
          <w:lang w:val="en-US"/>
        </w:rPr>
        <w:t xml:space="preserve"> found during online inspections</w:t>
      </w:r>
    </w:p>
    <w:tbl>
      <w:tblPr>
        <w:tblW w:w="866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Table of &quot;Approved&quot; registrations."/>
        <w:tblDescription w:val="This table shows the number and percentage of products holding “Approved” registrations at the time of the market surveillance."/>
      </w:tblPr>
      <w:tblGrid>
        <w:gridCol w:w="3397"/>
        <w:gridCol w:w="1560"/>
        <w:gridCol w:w="1579"/>
        <w:gridCol w:w="2126"/>
      </w:tblGrid>
      <w:tr w:rsidR="00C17BE3" w14:paraId="72BC36C4" w14:textId="77777777" w:rsidTr="00C17BE3">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94BEB8"/>
            <w:noWrap/>
            <w:hideMark/>
          </w:tcPr>
          <w:p w14:paraId="299B3C2B" w14:textId="77777777" w:rsidR="00C17BE3" w:rsidRPr="00C17BE3" w:rsidRDefault="00C17BE3" w:rsidP="003B0071">
            <w:pPr>
              <w:spacing w:before="100" w:beforeAutospacing="1" w:after="100" w:afterAutospacing="1"/>
              <w:rPr>
                <w:rFonts w:ascii="Calibri Light" w:hAnsi="Calibri Light" w:cs="Calibri Light"/>
                <w:b/>
                <w:sz w:val="20"/>
                <w:szCs w:val="20"/>
              </w:rPr>
            </w:pPr>
            <w:r w:rsidRPr="00C17BE3">
              <w:rPr>
                <w:rFonts w:ascii="Calibri Light" w:hAnsi="Calibri Light" w:cs="Calibri Light"/>
                <w:b/>
                <w:sz w:val="20"/>
                <w:szCs w:val="20"/>
              </w:rPr>
              <w:t>GEMS Product</w:t>
            </w:r>
          </w:p>
        </w:tc>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94BEB8"/>
            <w:hideMark/>
          </w:tcPr>
          <w:p w14:paraId="436013B7" w14:textId="77777777" w:rsidR="00C17BE3" w:rsidRPr="00C17BE3" w:rsidRDefault="00C17BE3" w:rsidP="003B0071">
            <w:pPr>
              <w:spacing w:before="100" w:beforeAutospacing="1" w:after="100" w:afterAutospacing="1"/>
              <w:jc w:val="right"/>
              <w:rPr>
                <w:rFonts w:ascii="Calibri Light" w:hAnsi="Calibri Light" w:cs="Calibri Light"/>
                <w:b/>
                <w:sz w:val="20"/>
                <w:szCs w:val="20"/>
              </w:rPr>
            </w:pPr>
            <w:r w:rsidRPr="00C17BE3">
              <w:rPr>
                <w:rFonts w:ascii="Calibri Light" w:hAnsi="Calibri Light" w:cs="Calibri Light"/>
                <w:b/>
                <w:sz w:val="20"/>
                <w:szCs w:val="20"/>
              </w:rPr>
              <w:t>Total number inspected</w:t>
            </w:r>
          </w:p>
        </w:tc>
        <w:tc>
          <w:tcPr>
            <w:tcW w:w="1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94BEB8"/>
            <w:noWrap/>
            <w:hideMark/>
          </w:tcPr>
          <w:p w14:paraId="57E12201" w14:textId="77777777" w:rsidR="00C17BE3" w:rsidRPr="00C17BE3" w:rsidRDefault="00C17BE3" w:rsidP="003B0071">
            <w:pPr>
              <w:spacing w:before="100" w:beforeAutospacing="1" w:after="100" w:afterAutospacing="1"/>
              <w:jc w:val="right"/>
              <w:rPr>
                <w:rFonts w:ascii="Calibri Light" w:hAnsi="Calibri Light" w:cs="Calibri Light"/>
                <w:b/>
                <w:sz w:val="20"/>
                <w:szCs w:val="20"/>
              </w:rPr>
            </w:pPr>
            <w:r w:rsidRPr="00C17BE3">
              <w:rPr>
                <w:rFonts w:ascii="Calibri Light" w:hAnsi="Calibri Light" w:cs="Calibri Light"/>
                <w:b/>
                <w:sz w:val="20"/>
                <w:szCs w:val="20"/>
              </w:rPr>
              <w:t>Number Approved</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94BEB8"/>
            <w:noWrap/>
            <w:hideMark/>
          </w:tcPr>
          <w:p w14:paraId="72E267FC" w14:textId="77777777" w:rsidR="00C17BE3" w:rsidRPr="00C17BE3" w:rsidRDefault="00C17BE3" w:rsidP="003B0071">
            <w:pPr>
              <w:spacing w:before="100" w:beforeAutospacing="1" w:after="100" w:afterAutospacing="1"/>
              <w:jc w:val="right"/>
              <w:rPr>
                <w:rFonts w:ascii="Calibri Light" w:hAnsi="Calibri Light" w:cs="Calibri Light"/>
                <w:b/>
                <w:sz w:val="20"/>
                <w:szCs w:val="20"/>
              </w:rPr>
            </w:pPr>
            <w:r w:rsidRPr="00C17BE3">
              <w:rPr>
                <w:rFonts w:ascii="Calibri Light" w:hAnsi="Calibri Light" w:cs="Calibri Light"/>
                <w:b/>
                <w:sz w:val="20"/>
                <w:szCs w:val="20"/>
              </w:rPr>
              <w:t>% Percentage Approved</w:t>
            </w:r>
          </w:p>
        </w:tc>
      </w:tr>
      <w:tr w:rsidR="00C17BE3" w14:paraId="21B432B0" w14:textId="77777777" w:rsidTr="003B0071">
        <w:trPr>
          <w:trHeight w:val="265"/>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398DDFBC" w14:textId="77777777" w:rsidR="00C17BE3" w:rsidRPr="00C17BE3" w:rsidRDefault="00C17BE3" w:rsidP="003B0071">
            <w:pPr>
              <w:spacing w:before="100" w:beforeAutospacing="1" w:after="100" w:afterAutospacing="1"/>
              <w:rPr>
                <w:rFonts w:ascii="Calibri Light" w:hAnsi="Calibri Light" w:cs="Calibri Light"/>
                <w:color w:val="000000"/>
                <w:sz w:val="20"/>
                <w:szCs w:val="20"/>
              </w:rPr>
            </w:pPr>
            <w:r w:rsidRPr="00C17BE3">
              <w:rPr>
                <w:rFonts w:ascii="Calibri Light" w:hAnsi="Calibri Light" w:cs="Calibri Light"/>
                <w:color w:val="000000"/>
                <w:sz w:val="20"/>
                <w:szCs w:val="20"/>
              </w:rPr>
              <w:t xml:space="preserve">Air Conditioners </w:t>
            </w:r>
          </w:p>
        </w:tc>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CD03BF" w14:textId="77777777" w:rsidR="00C17BE3" w:rsidRPr="00C17BE3" w:rsidRDefault="004C6E39" w:rsidP="003B0071">
            <w:pPr>
              <w:spacing w:before="100" w:beforeAutospacing="1" w:after="100" w:afterAutospacing="1"/>
              <w:jc w:val="right"/>
              <w:rPr>
                <w:rFonts w:ascii="Calibri Light" w:hAnsi="Calibri Light" w:cs="Calibri Light"/>
                <w:color w:val="000000"/>
                <w:sz w:val="20"/>
                <w:szCs w:val="20"/>
              </w:rPr>
            </w:pPr>
            <w:r>
              <w:rPr>
                <w:rFonts w:ascii="Calibri Light" w:hAnsi="Calibri Light" w:cs="Calibri Light"/>
                <w:color w:val="000000"/>
                <w:sz w:val="20"/>
                <w:szCs w:val="20"/>
              </w:rPr>
              <w:t>307</w:t>
            </w:r>
          </w:p>
        </w:tc>
        <w:tc>
          <w:tcPr>
            <w:tcW w:w="1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5E155EB2" w14:textId="77777777" w:rsidR="00C17BE3" w:rsidRPr="00C17BE3" w:rsidRDefault="004C6E39" w:rsidP="003B0071">
            <w:pPr>
              <w:spacing w:before="100" w:beforeAutospacing="1" w:after="100" w:afterAutospacing="1"/>
              <w:jc w:val="right"/>
              <w:rPr>
                <w:rFonts w:ascii="Calibri Light" w:hAnsi="Calibri Light" w:cs="Calibri Light"/>
                <w:color w:val="000000"/>
                <w:sz w:val="20"/>
                <w:szCs w:val="20"/>
              </w:rPr>
            </w:pPr>
            <w:r>
              <w:rPr>
                <w:rFonts w:ascii="Calibri Light" w:hAnsi="Calibri Light" w:cs="Calibri Light"/>
                <w:color w:val="000000"/>
                <w:sz w:val="20"/>
                <w:szCs w:val="20"/>
              </w:rPr>
              <w:t>283</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74DEC839" w14:textId="77777777" w:rsidR="00C17BE3" w:rsidRPr="00C17BE3" w:rsidRDefault="00C17BE3" w:rsidP="003B0071">
            <w:pPr>
              <w:spacing w:before="100" w:beforeAutospacing="1" w:after="100" w:afterAutospacing="1"/>
              <w:jc w:val="right"/>
              <w:rPr>
                <w:rFonts w:ascii="Calibri Light" w:hAnsi="Calibri Light" w:cs="Calibri Light"/>
                <w:color w:val="000000"/>
                <w:sz w:val="20"/>
                <w:szCs w:val="20"/>
              </w:rPr>
            </w:pPr>
            <w:r w:rsidRPr="00C17BE3">
              <w:rPr>
                <w:rFonts w:ascii="Calibri Light" w:hAnsi="Calibri Light" w:cs="Calibri Light"/>
                <w:color w:val="000000"/>
                <w:sz w:val="20"/>
                <w:szCs w:val="20"/>
              </w:rPr>
              <w:t>92%</w:t>
            </w:r>
          </w:p>
        </w:tc>
      </w:tr>
      <w:tr w:rsidR="00C17BE3" w14:paraId="50BD69FE" w14:textId="77777777" w:rsidTr="003B0071">
        <w:trPr>
          <w:trHeight w:val="264"/>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190946B5" w14:textId="77777777" w:rsidR="00C17BE3" w:rsidRPr="00C17BE3" w:rsidRDefault="00C17BE3" w:rsidP="003B0071">
            <w:pPr>
              <w:spacing w:before="100" w:beforeAutospacing="1" w:after="100" w:afterAutospacing="1"/>
              <w:rPr>
                <w:rFonts w:ascii="Calibri Light" w:hAnsi="Calibri Light" w:cs="Calibri Light"/>
                <w:color w:val="000000"/>
                <w:sz w:val="20"/>
                <w:szCs w:val="20"/>
              </w:rPr>
            </w:pPr>
            <w:r w:rsidRPr="00C17BE3">
              <w:rPr>
                <w:rFonts w:ascii="Calibri Light" w:hAnsi="Calibri Light" w:cs="Calibri Light"/>
                <w:color w:val="000000"/>
                <w:sz w:val="20"/>
                <w:szCs w:val="20"/>
              </w:rPr>
              <w:t xml:space="preserve">Clothes Dryers </w:t>
            </w:r>
          </w:p>
        </w:tc>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EA4D25" w14:textId="77777777" w:rsidR="00C17BE3" w:rsidRPr="00C17BE3" w:rsidRDefault="004C6E39" w:rsidP="003B0071">
            <w:pPr>
              <w:spacing w:before="100" w:beforeAutospacing="1" w:after="100" w:afterAutospacing="1"/>
              <w:jc w:val="right"/>
              <w:rPr>
                <w:rFonts w:ascii="Calibri Light" w:hAnsi="Calibri Light" w:cs="Calibri Light"/>
                <w:color w:val="000000"/>
                <w:sz w:val="20"/>
                <w:szCs w:val="20"/>
              </w:rPr>
            </w:pPr>
            <w:r>
              <w:rPr>
                <w:rFonts w:ascii="Calibri Light" w:hAnsi="Calibri Light" w:cs="Calibri Light"/>
                <w:color w:val="000000"/>
                <w:sz w:val="20"/>
                <w:szCs w:val="20"/>
              </w:rPr>
              <w:t>324</w:t>
            </w:r>
          </w:p>
        </w:tc>
        <w:tc>
          <w:tcPr>
            <w:tcW w:w="1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1E9E518C" w14:textId="77777777" w:rsidR="00C17BE3" w:rsidRPr="00C17BE3" w:rsidRDefault="004C6E39" w:rsidP="003B0071">
            <w:pPr>
              <w:spacing w:before="100" w:beforeAutospacing="1" w:after="100" w:afterAutospacing="1"/>
              <w:jc w:val="right"/>
              <w:rPr>
                <w:rFonts w:ascii="Calibri Light" w:hAnsi="Calibri Light" w:cs="Calibri Light"/>
                <w:color w:val="000000"/>
                <w:sz w:val="20"/>
                <w:szCs w:val="20"/>
              </w:rPr>
            </w:pPr>
            <w:r>
              <w:rPr>
                <w:rFonts w:ascii="Calibri Light" w:hAnsi="Calibri Light" w:cs="Calibri Light"/>
                <w:color w:val="000000"/>
                <w:sz w:val="20"/>
                <w:szCs w:val="20"/>
              </w:rPr>
              <w:t>305</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3AAB17D0" w14:textId="77777777" w:rsidR="00C17BE3" w:rsidRPr="00C17BE3" w:rsidRDefault="004C6E39" w:rsidP="003B0071">
            <w:pPr>
              <w:spacing w:before="100" w:beforeAutospacing="1" w:after="100" w:afterAutospacing="1"/>
              <w:jc w:val="right"/>
              <w:rPr>
                <w:rFonts w:ascii="Calibri Light" w:hAnsi="Calibri Light" w:cs="Calibri Light"/>
                <w:color w:val="000000"/>
                <w:sz w:val="20"/>
                <w:szCs w:val="20"/>
              </w:rPr>
            </w:pPr>
            <w:r>
              <w:rPr>
                <w:rFonts w:ascii="Calibri Light" w:hAnsi="Calibri Light" w:cs="Calibri Light"/>
                <w:color w:val="000000"/>
                <w:sz w:val="20"/>
                <w:szCs w:val="20"/>
              </w:rPr>
              <w:t>94</w:t>
            </w:r>
            <w:r w:rsidR="00C17BE3" w:rsidRPr="00C17BE3">
              <w:rPr>
                <w:rFonts w:ascii="Calibri Light" w:hAnsi="Calibri Light" w:cs="Calibri Light"/>
                <w:color w:val="000000"/>
                <w:sz w:val="20"/>
                <w:szCs w:val="20"/>
              </w:rPr>
              <w:t>%</w:t>
            </w:r>
          </w:p>
        </w:tc>
      </w:tr>
      <w:tr w:rsidR="00C17BE3" w14:paraId="0F9D4C63" w14:textId="77777777" w:rsidTr="003B0071">
        <w:trPr>
          <w:trHeight w:val="264"/>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0D98108A" w14:textId="77777777" w:rsidR="00C17BE3" w:rsidRPr="00C17BE3" w:rsidRDefault="00C17BE3" w:rsidP="003B0071">
            <w:pPr>
              <w:spacing w:before="100" w:beforeAutospacing="1" w:after="100" w:afterAutospacing="1"/>
              <w:rPr>
                <w:rFonts w:ascii="Calibri Light" w:hAnsi="Calibri Light" w:cs="Calibri Light"/>
                <w:color w:val="000000"/>
                <w:sz w:val="20"/>
                <w:szCs w:val="20"/>
              </w:rPr>
            </w:pPr>
            <w:r w:rsidRPr="00C17BE3">
              <w:rPr>
                <w:rFonts w:ascii="Calibri Light" w:hAnsi="Calibri Light" w:cs="Calibri Light"/>
                <w:color w:val="000000"/>
                <w:sz w:val="20"/>
                <w:szCs w:val="20"/>
              </w:rPr>
              <w:t xml:space="preserve">Clothes Washing Machines </w:t>
            </w:r>
          </w:p>
        </w:tc>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BF3AC1" w14:textId="77777777" w:rsidR="00C17BE3" w:rsidRPr="00C17BE3" w:rsidRDefault="004C6E39" w:rsidP="003B0071">
            <w:pPr>
              <w:spacing w:before="100" w:beforeAutospacing="1" w:after="100" w:afterAutospacing="1"/>
              <w:jc w:val="right"/>
              <w:rPr>
                <w:rFonts w:ascii="Calibri Light" w:hAnsi="Calibri Light" w:cs="Calibri Light"/>
                <w:color w:val="000000"/>
                <w:sz w:val="20"/>
                <w:szCs w:val="20"/>
              </w:rPr>
            </w:pPr>
            <w:r>
              <w:rPr>
                <w:rFonts w:ascii="Calibri Light" w:hAnsi="Calibri Light" w:cs="Calibri Light"/>
                <w:color w:val="000000"/>
                <w:sz w:val="20"/>
                <w:szCs w:val="20"/>
              </w:rPr>
              <w:t>783</w:t>
            </w:r>
          </w:p>
        </w:tc>
        <w:tc>
          <w:tcPr>
            <w:tcW w:w="1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4C3DAF91" w14:textId="77777777" w:rsidR="00C17BE3" w:rsidRPr="00C17BE3" w:rsidRDefault="004C6E39" w:rsidP="003B0071">
            <w:pPr>
              <w:spacing w:before="100" w:beforeAutospacing="1" w:after="100" w:afterAutospacing="1"/>
              <w:jc w:val="right"/>
              <w:rPr>
                <w:rFonts w:ascii="Calibri Light" w:hAnsi="Calibri Light" w:cs="Calibri Light"/>
                <w:color w:val="000000"/>
                <w:sz w:val="20"/>
                <w:szCs w:val="20"/>
              </w:rPr>
            </w:pPr>
            <w:r>
              <w:rPr>
                <w:rFonts w:ascii="Calibri Light" w:hAnsi="Calibri Light" w:cs="Calibri Light"/>
                <w:color w:val="000000"/>
                <w:sz w:val="20"/>
                <w:szCs w:val="20"/>
              </w:rPr>
              <w:t>752</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75852304" w14:textId="77777777" w:rsidR="00C17BE3" w:rsidRPr="00C17BE3" w:rsidRDefault="004C6E39" w:rsidP="003B0071">
            <w:pPr>
              <w:spacing w:before="100" w:beforeAutospacing="1" w:after="100" w:afterAutospacing="1"/>
              <w:jc w:val="right"/>
              <w:rPr>
                <w:rFonts w:ascii="Calibri Light" w:hAnsi="Calibri Light" w:cs="Calibri Light"/>
                <w:color w:val="000000"/>
                <w:sz w:val="20"/>
                <w:szCs w:val="20"/>
              </w:rPr>
            </w:pPr>
            <w:r>
              <w:rPr>
                <w:rFonts w:ascii="Calibri Light" w:hAnsi="Calibri Light" w:cs="Calibri Light"/>
                <w:color w:val="000000"/>
                <w:sz w:val="20"/>
                <w:szCs w:val="20"/>
              </w:rPr>
              <w:t>96</w:t>
            </w:r>
            <w:r w:rsidR="00C17BE3" w:rsidRPr="00C17BE3">
              <w:rPr>
                <w:rFonts w:ascii="Calibri Light" w:hAnsi="Calibri Light" w:cs="Calibri Light"/>
                <w:color w:val="000000"/>
                <w:sz w:val="20"/>
                <w:szCs w:val="20"/>
              </w:rPr>
              <w:t>%</w:t>
            </w:r>
          </w:p>
        </w:tc>
      </w:tr>
      <w:tr w:rsidR="00C17BE3" w14:paraId="41E7C99B" w14:textId="77777777" w:rsidTr="003B0071">
        <w:trPr>
          <w:trHeight w:val="264"/>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2088363A" w14:textId="77777777" w:rsidR="00C17BE3" w:rsidRPr="00C17BE3" w:rsidRDefault="00C17BE3" w:rsidP="003B0071">
            <w:pPr>
              <w:spacing w:before="100" w:beforeAutospacing="1" w:after="100" w:afterAutospacing="1"/>
              <w:rPr>
                <w:rFonts w:ascii="Calibri Light" w:hAnsi="Calibri Light" w:cs="Calibri Light"/>
                <w:color w:val="000000"/>
                <w:sz w:val="20"/>
                <w:szCs w:val="20"/>
              </w:rPr>
            </w:pPr>
            <w:r w:rsidRPr="00C17BE3">
              <w:rPr>
                <w:rFonts w:ascii="Calibri Light" w:hAnsi="Calibri Light" w:cs="Calibri Light"/>
                <w:color w:val="000000"/>
                <w:sz w:val="20"/>
                <w:szCs w:val="20"/>
              </w:rPr>
              <w:t>Computer Monitors</w:t>
            </w:r>
          </w:p>
        </w:tc>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9514C1" w14:textId="77777777" w:rsidR="00C17BE3" w:rsidRPr="00C17BE3" w:rsidRDefault="004C6E39" w:rsidP="003B0071">
            <w:pPr>
              <w:spacing w:before="100" w:beforeAutospacing="1" w:after="100" w:afterAutospacing="1"/>
              <w:jc w:val="right"/>
              <w:rPr>
                <w:rFonts w:ascii="Calibri Light" w:hAnsi="Calibri Light" w:cs="Calibri Light"/>
                <w:color w:val="000000"/>
                <w:sz w:val="20"/>
                <w:szCs w:val="20"/>
              </w:rPr>
            </w:pPr>
            <w:r>
              <w:rPr>
                <w:rFonts w:ascii="Calibri Light" w:hAnsi="Calibri Light" w:cs="Calibri Light"/>
                <w:color w:val="000000"/>
                <w:sz w:val="20"/>
                <w:szCs w:val="20"/>
              </w:rPr>
              <w:t>59</w:t>
            </w:r>
          </w:p>
        </w:tc>
        <w:tc>
          <w:tcPr>
            <w:tcW w:w="1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064A071C" w14:textId="77777777" w:rsidR="00C17BE3" w:rsidRPr="00C17BE3" w:rsidRDefault="004C6E39" w:rsidP="003B0071">
            <w:pPr>
              <w:spacing w:before="100" w:beforeAutospacing="1" w:after="100" w:afterAutospacing="1"/>
              <w:jc w:val="right"/>
              <w:rPr>
                <w:rFonts w:ascii="Calibri Light" w:hAnsi="Calibri Light" w:cs="Calibri Light"/>
                <w:color w:val="000000"/>
                <w:sz w:val="20"/>
                <w:szCs w:val="20"/>
              </w:rPr>
            </w:pPr>
            <w:r>
              <w:rPr>
                <w:rFonts w:ascii="Calibri Light" w:hAnsi="Calibri Light" w:cs="Calibri Light"/>
                <w:color w:val="000000"/>
                <w:sz w:val="20"/>
                <w:szCs w:val="20"/>
              </w:rPr>
              <w:t>48</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60FF6C3A" w14:textId="77777777" w:rsidR="00C17BE3" w:rsidRPr="00C17BE3" w:rsidRDefault="004C6E39" w:rsidP="003B0071">
            <w:pPr>
              <w:spacing w:before="100" w:beforeAutospacing="1" w:after="100" w:afterAutospacing="1"/>
              <w:jc w:val="right"/>
              <w:rPr>
                <w:rFonts w:ascii="Calibri Light" w:hAnsi="Calibri Light" w:cs="Calibri Light"/>
                <w:color w:val="000000"/>
                <w:sz w:val="20"/>
                <w:szCs w:val="20"/>
              </w:rPr>
            </w:pPr>
            <w:r>
              <w:rPr>
                <w:rFonts w:ascii="Calibri Light" w:hAnsi="Calibri Light" w:cs="Calibri Light"/>
                <w:color w:val="000000"/>
                <w:sz w:val="20"/>
                <w:szCs w:val="20"/>
              </w:rPr>
              <w:t>81</w:t>
            </w:r>
            <w:r w:rsidR="00C17BE3" w:rsidRPr="00C17BE3">
              <w:rPr>
                <w:rFonts w:ascii="Calibri Light" w:hAnsi="Calibri Light" w:cs="Calibri Light"/>
                <w:color w:val="000000"/>
                <w:sz w:val="20"/>
                <w:szCs w:val="20"/>
              </w:rPr>
              <w:t>%</w:t>
            </w:r>
          </w:p>
        </w:tc>
      </w:tr>
      <w:tr w:rsidR="00C17BE3" w14:paraId="0F08093D" w14:textId="77777777" w:rsidTr="003B0071">
        <w:trPr>
          <w:trHeight w:val="265"/>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742E25A8" w14:textId="77777777" w:rsidR="00C17BE3" w:rsidRPr="00C17BE3" w:rsidRDefault="00C17BE3" w:rsidP="003B0071">
            <w:pPr>
              <w:spacing w:before="100" w:beforeAutospacing="1" w:after="100" w:afterAutospacing="1"/>
              <w:rPr>
                <w:rFonts w:ascii="Calibri Light" w:hAnsi="Calibri Light" w:cs="Calibri Light"/>
                <w:color w:val="000000"/>
                <w:sz w:val="20"/>
                <w:szCs w:val="20"/>
              </w:rPr>
            </w:pPr>
            <w:r w:rsidRPr="00C17BE3">
              <w:rPr>
                <w:rFonts w:ascii="Calibri Light" w:hAnsi="Calibri Light" w:cs="Calibri Light"/>
                <w:color w:val="000000"/>
                <w:sz w:val="20"/>
                <w:szCs w:val="20"/>
              </w:rPr>
              <w:t xml:space="preserve">Dishwashers </w:t>
            </w:r>
          </w:p>
        </w:tc>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67A2E1" w14:textId="77777777" w:rsidR="00C17BE3" w:rsidRPr="00C17BE3" w:rsidRDefault="004C6E39" w:rsidP="003B0071">
            <w:pPr>
              <w:spacing w:before="100" w:beforeAutospacing="1" w:after="100" w:afterAutospacing="1"/>
              <w:jc w:val="right"/>
              <w:rPr>
                <w:rFonts w:ascii="Calibri Light" w:hAnsi="Calibri Light" w:cs="Calibri Light"/>
                <w:color w:val="000000"/>
                <w:sz w:val="20"/>
                <w:szCs w:val="20"/>
              </w:rPr>
            </w:pPr>
            <w:r>
              <w:rPr>
                <w:rFonts w:ascii="Calibri Light" w:hAnsi="Calibri Light" w:cs="Calibri Light"/>
                <w:color w:val="000000"/>
                <w:sz w:val="20"/>
                <w:szCs w:val="20"/>
              </w:rPr>
              <w:t>500</w:t>
            </w:r>
          </w:p>
        </w:tc>
        <w:tc>
          <w:tcPr>
            <w:tcW w:w="1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07E06D87" w14:textId="77777777" w:rsidR="00C17BE3" w:rsidRPr="00C17BE3" w:rsidRDefault="004C6E39" w:rsidP="003B0071">
            <w:pPr>
              <w:spacing w:before="100" w:beforeAutospacing="1" w:after="100" w:afterAutospacing="1"/>
              <w:jc w:val="right"/>
              <w:rPr>
                <w:rFonts w:ascii="Calibri Light" w:hAnsi="Calibri Light" w:cs="Calibri Light"/>
                <w:color w:val="000000"/>
                <w:sz w:val="20"/>
                <w:szCs w:val="20"/>
              </w:rPr>
            </w:pPr>
            <w:r>
              <w:rPr>
                <w:rFonts w:ascii="Calibri Light" w:hAnsi="Calibri Light" w:cs="Calibri Light"/>
                <w:color w:val="000000"/>
                <w:sz w:val="20"/>
                <w:szCs w:val="20"/>
              </w:rPr>
              <w:t>489</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47D69B13" w14:textId="77777777" w:rsidR="00C17BE3" w:rsidRPr="00C17BE3" w:rsidRDefault="004C6E39" w:rsidP="003B0071">
            <w:pPr>
              <w:spacing w:before="100" w:beforeAutospacing="1" w:after="100" w:afterAutospacing="1"/>
              <w:jc w:val="right"/>
              <w:rPr>
                <w:rFonts w:ascii="Calibri Light" w:hAnsi="Calibri Light" w:cs="Calibri Light"/>
                <w:color w:val="000000"/>
                <w:sz w:val="20"/>
                <w:szCs w:val="20"/>
              </w:rPr>
            </w:pPr>
            <w:r>
              <w:rPr>
                <w:rFonts w:ascii="Calibri Light" w:hAnsi="Calibri Light" w:cs="Calibri Light"/>
                <w:color w:val="000000"/>
                <w:sz w:val="20"/>
                <w:szCs w:val="20"/>
              </w:rPr>
              <w:t>98</w:t>
            </w:r>
            <w:r w:rsidR="00C17BE3" w:rsidRPr="00C17BE3">
              <w:rPr>
                <w:rFonts w:ascii="Calibri Light" w:hAnsi="Calibri Light" w:cs="Calibri Light"/>
                <w:color w:val="000000"/>
                <w:sz w:val="20"/>
                <w:szCs w:val="20"/>
              </w:rPr>
              <w:t>%</w:t>
            </w:r>
          </w:p>
        </w:tc>
      </w:tr>
      <w:tr w:rsidR="00C17BE3" w14:paraId="5E233C8C" w14:textId="77777777" w:rsidTr="003B0071">
        <w:trPr>
          <w:trHeight w:val="264"/>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42571AC3" w14:textId="77777777" w:rsidR="00C17BE3" w:rsidRPr="00C17BE3" w:rsidRDefault="00C17BE3" w:rsidP="003B0071">
            <w:pPr>
              <w:spacing w:before="100" w:beforeAutospacing="1" w:after="100" w:afterAutospacing="1"/>
              <w:rPr>
                <w:rFonts w:ascii="Calibri Light" w:hAnsi="Calibri Light" w:cs="Calibri Light"/>
                <w:color w:val="000000"/>
                <w:sz w:val="20"/>
                <w:szCs w:val="20"/>
              </w:rPr>
            </w:pPr>
            <w:r w:rsidRPr="00C17BE3">
              <w:rPr>
                <w:rFonts w:ascii="Calibri Light" w:hAnsi="Calibri Light" w:cs="Calibri Light"/>
                <w:color w:val="000000"/>
                <w:sz w:val="20"/>
                <w:szCs w:val="20"/>
              </w:rPr>
              <w:t xml:space="preserve">Household Refrigerators/Freezers </w:t>
            </w:r>
          </w:p>
        </w:tc>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AA8E1F" w14:textId="77777777" w:rsidR="00C17BE3" w:rsidRPr="00C17BE3" w:rsidRDefault="004C6E39" w:rsidP="003B0071">
            <w:pPr>
              <w:spacing w:before="100" w:beforeAutospacing="1" w:after="100" w:afterAutospacing="1"/>
              <w:jc w:val="right"/>
              <w:rPr>
                <w:rFonts w:ascii="Calibri Light" w:hAnsi="Calibri Light" w:cs="Calibri Light"/>
                <w:color w:val="000000"/>
                <w:sz w:val="20"/>
                <w:szCs w:val="20"/>
              </w:rPr>
            </w:pPr>
            <w:r>
              <w:rPr>
                <w:rFonts w:ascii="Calibri Light" w:hAnsi="Calibri Light" w:cs="Calibri Light"/>
                <w:color w:val="000000"/>
                <w:sz w:val="20"/>
                <w:szCs w:val="20"/>
              </w:rPr>
              <w:t>1412</w:t>
            </w:r>
          </w:p>
        </w:tc>
        <w:tc>
          <w:tcPr>
            <w:tcW w:w="1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041B0897" w14:textId="77777777" w:rsidR="00C17BE3" w:rsidRPr="00C17BE3" w:rsidRDefault="004C6E39" w:rsidP="003B0071">
            <w:pPr>
              <w:spacing w:before="100" w:beforeAutospacing="1" w:after="100" w:afterAutospacing="1"/>
              <w:jc w:val="right"/>
              <w:rPr>
                <w:rFonts w:ascii="Calibri Light" w:hAnsi="Calibri Light" w:cs="Calibri Light"/>
                <w:color w:val="000000"/>
                <w:sz w:val="20"/>
                <w:szCs w:val="20"/>
              </w:rPr>
            </w:pPr>
            <w:r>
              <w:rPr>
                <w:rFonts w:ascii="Calibri Light" w:hAnsi="Calibri Light" w:cs="Calibri Light"/>
                <w:color w:val="000000"/>
                <w:sz w:val="20"/>
                <w:szCs w:val="20"/>
              </w:rPr>
              <w:t>1340</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1C254DB8" w14:textId="77777777" w:rsidR="00C17BE3" w:rsidRPr="00C17BE3" w:rsidRDefault="00C17BE3" w:rsidP="003B0071">
            <w:pPr>
              <w:spacing w:before="100" w:beforeAutospacing="1" w:after="100" w:afterAutospacing="1"/>
              <w:jc w:val="right"/>
              <w:rPr>
                <w:rFonts w:ascii="Calibri Light" w:hAnsi="Calibri Light" w:cs="Calibri Light"/>
                <w:color w:val="000000"/>
                <w:sz w:val="20"/>
                <w:szCs w:val="20"/>
              </w:rPr>
            </w:pPr>
            <w:r w:rsidRPr="00C17BE3">
              <w:rPr>
                <w:rFonts w:ascii="Calibri Light" w:hAnsi="Calibri Light" w:cs="Calibri Light"/>
                <w:color w:val="000000"/>
                <w:sz w:val="20"/>
                <w:szCs w:val="20"/>
              </w:rPr>
              <w:t>95%</w:t>
            </w:r>
          </w:p>
        </w:tc>
      </w:tr>
      <w:tr w:rsidR="00C17BE3" w14:paraId="4B722061" w14:textId="77777777" w:rsidTr="003B0071">
        <w:trPr>
          <w:trHeight w:val="264"/>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08D6A340" w14:textId="77777777" w:rsidR="00C17BE3" w:rsidRPr="00C17BE3" w:rsidRDefault="00C17BE3" w:rsidP="003B0071">
            <w:pPr>
              <w:spacing w:before="100" w:beforeAutospacing="1" w:after="100" w:afterAutospacing="1"/>
              <w:rPr>
                <w:rFonts w:ascii="Calibri Light" w:hAnsi="Calibri Light" w:cs="Calibri Light"/>
                <w:color w:val="000000"/>
                <w:sz w:val="20"/>
                <w:szCs w:val="20"/>
              </w:rPr>
            </w:pPr>
            <w:r w:rsidRPr="00C17BE3">
              <w:rPr>
                <w:rFonts w:ascii="Calibri Light" w:hAnsi="Calibri Light" w:cs="Calibri Light"/>
                <w:color w:val="000000"/>
                <w:sz w:val="20"/>
                <w:szCs w:val="20"/>
              </w:rPr>
              <w:t xml:space="preserve">Televisions </w:t>
            </w:r>
          </w:p>
        </w:tc>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41804E" w14:textId="77777777" w:rsidR="00C17BE3" w:rsidRPr="00C17BE3" w:rsidRDefault="004C6E39" w:rsidP="003B0071">
            <w:pPr>
              <w:spacing w:before="100" w:beforeAutospacing="1" w:after="100" w:afterAutospacing="1"/>
              <w:jc w:val="right"/>
              <w:rPr>
                <w:rFonts w:ascii="Calibri Light" w:hAnsi="Calibri Light" w:cs="Calibri Light"/>
                <w:color w:val="000000"/>
                <w:sz w:val="20"/>
                <w:szCs w:val="20"/>
              </w:rPr>
            </w:pPr>
            <w:r>
              <w:rPr>
                <w:rFonts w:ascii="Calibri Light" w:hAnsi="Calibri Light" w:cs="Calibri Light"/>
                <w:color w:val="000000"/>
                <w:sz w:val="20"/>
                <w:szCs w:val="20"/>
              </w:rPr>
              <w:t>673</w:t>
            </w:r>
          </w:p>
        </w:tc>
        <w:tc>
          <w:tcPr>
            <w:tcW w:w="1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44E3F0B3" w14:textId="77777777" w:rsidR="00C17BE3" w:rsidRPr="00C17BE3" w:rsidRDefault="004C6E39" w:rsidP="003B0071">
            <w:pPr>
              <w:spacing w:before="100" w:beforeAutospacing="1" w:after="100" w:afterAutospacing="1"/>
              <w:jc w:val="right"/>
              <w:rPr>
                <w:rFonts w:ascii="Calibri Light" w:hAnsi="Calibri Light" w:cs="Calibri Light"/>
                <w:color w:val="000000"/>
                <w:sz w:val="20"/>
                <w:szCs w:val="20"/>
              </w:rPr>
            </w:pPr>
            <w:r>
              <w:rPr>
                <w:rFonts w:ascii="Calibri Light" w:hAnsi="Calibri Light" w:cs="Calibri Light"/>
                <w:color w:val="000000"/>
                <w:sz w:val="20"/>
                <w:szCs w:val="20"/>
              </w:rPr>
              <w:t>658</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7795DDFD" w14:textId="77777777" w:rsidR="00C17BE3" w:rsidRPr="00C17BE3" w:rsidRDefault="004C6E39" w:rsidP="003B0071">
            <w:pPr>
              <w:spacing w:before="100" w:beforeAutospacing="1" w:after="100" w:afterAutospacing="1"/>
              <w:jc w:val="right"/>
              <w:rPr>
                <w:rFonts w:ascii="Calibri Light" w:hAnsi="Calibri Light" w:cs="Calibri Light"/>
                <w:color w:val="000000"/>
                <w:sz w:val="20"/>
                <w:szCs w:val="20"/>
              </w:rPr>
            </w:pPr>
            <w:r>
              <w:rPr>
                <w:rFonts w:ascii="Calibri Light" w:hAnsi="Calibri Light" w:cs="Calibri Light"/>
                <w:color w:val="000000"/>
                <w:sz w:val="20"/>
                <w:szCs w:val="20"/>
              </w:rPr>
              <w:t>98</w:t>
            </w:r>
            <w:r w:rsidR="00C17BE3" w:rsidRPr="00C17BE3">
              <w:rPr>
                <w:rFonts w:ascii="Calibri Light" w:hAnsi="Calibri Light" w:cs="Calibri Light"/>
                <w:color w:val="000000"/>
                <w:sz w:val="20"/>
                <w:szCs w:val="20"/>
              </w:rPr>
              <w:t>%</w:t>
            </w:r>
          </w:p>
        </w:tc>
      </w:tr>
      <w:tr w:rsidR="00C17BE3" w14:paraId="0118139E" w14:textId="77777777" w:rsidTr="00C17BE3">
        <w:trPr>
          <w:trHeight w:val="265"/>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94BEB8"/>
            <w:noWrap/>
            <w:hideMark/>
          </w:tcPr>
          <w:p w14:paraId="7451119C" w14:textId="77777777" w:rsidR="00C17BE3" w:rsidRPr="00C17BE3" w:rsidRDefault="00C17BE3" w:rsidP="003B0071">
            <w:pPr>
              <w:spacing w:before="100" w:beforeAutospacing="1" w:after="100" w:afterAutospacing="1"/>
              <w:rPr>
                <w:rFonts w:ascii="Calibri Light" w:hAnsi="Calibri Light" w:cs="Calibri Light"/>
                <w:b/>
                <w:sz w:val="20"/>
                <w:szCs w:val="20"/>
              </w:rPr>
            </w:pPr>
            <w:r w:rsidRPr="00C17BE3">
              <w:rPr>
                <w:rFonts w:ascii="Calibri Light" w:hAnsi="Calibri Light" w:cs="Calibri Light"/>
                <w:b/>
                <w:sz w:val="20"/>
                <w:szCs w:val="20"/>
              </w:rPr>
              <w:t>TOTAL</w:t>
            </w:r>
          </w:p>
        </w:tc>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94BEB8"/>
          </w:tcPr>
          <w:p w14:paraId="651D8ED9" w14:textId="77777777" w:rsidR="00C17BE3" w:rsidRPr="00C17BE3" w:rsidRDefault="004C6E39" w:rsidP="00853824">
            <w:pPr>
              <w:spacing w:before="100" w:beforeAutospacing="1" w:after="100" w:afterAutospacing="1"/>
              <w:jc w:val="right"/>
              <w:rPr>
                <w:rFonts w:ascii="Calibri Light" w:hAnsi="Calibri Light" w:cs="Calibri Light"/>
                <w:b/>
                <w:sz w:val="20"/>
                <w:szCs w:val="20"/>
              </w:rPr>
            </w:pPr>
            <w:r>
              <w:rPr>
                <w:rFonts w:ascii="Calibri Light" w:hAnsi="Calibri Light" w:cs="Calibri Light"/>
                <w:b/>
                <w:sz w:val="20"/>
                <w:szCs w:val="20"/>
              </w:rPr>
              <w:t>4058</w:t>
            </w:r>
          </w:p>
        </w:tc>
        <w:tc>
          <w:tcPr>
            <w:tcW w:w="1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94BEB8"/>
            <w:noWrap/>
          </w:tcPr>
          <w:p w14:paraId="39FDFA5E" w14:textId="77777777" w:rsidR="00C17BE3" w:rsidRPr="00C17BE3" w:rsidRDefault="004C6E39" w:rsidP="00853824">
            <w:pPr>
              <w:spacing w:before="100" w:beforeAutospacing="1" w:after="100" w:afterAutospacing="1"/>
              <w:jc w:val="right"/>
              <w:rPr>
                <w:rFonts w:ascii="Calibri Light" w:hAnsi="Calibri Light" w:cs="Calibri Light"/>
                <w:b/>
                <w:sz w:val="20"/>
                <w:szCs w:val="20"/>
              </w:rPr>
            </w:pPr>
            <w:r>
              <w:rPr>
                <w:rFonts w:ascii="Calibri Light" w:hAnsi="Calibri Light" w:cs="Calibri Light"/>
                <w:b/>
                <w:sz w:val="20"/>
                <w:szCs w:val="20"/>
              </w:rPr>
              <w:t>3875</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94BEB8"/>
            <w:noWrap/>
          </w:tcPr>
          <w:p w14:paraId="5F7AB253" w14:textId="77777777" w:rsidR="00C17BE3" w:rsidRPr="00C17BE3" w:rsidRDefault="004C6E39" w:rsidP="003B0071">
            <w:pPr>
              <w:spacing w:before="100" w:beforeAutospacing="1" w:after="100" w:afterAutospacing="1"/>
              <w:jc w:val="right"/>
              <w:rPr>
                <w:rFonts w:ascii="Calibri Light" w:hAnsi="Calibri Light" w:cs="Calibri Light"/>
                <w:b/>
                <w:sz w:val="20"/>
                <w:szCs w:val="20"/>
              </w:rPr>
            </w:pPr>
            <w:r>
              <w:rPr>
                <w:rFonts w:ascii="Calibri Light" w:hAnsi="Calibri Light" w:cs="Calibri Light"/>
                <w:b/>
                <w:sz w:val="20"/>
                <w:szCs w:val="20"/>
              </w:rPr>
              <w:t>95</w:t>
            </w:r>
            <w:r w:rsidR="00C17BE3" w:rsidRPr="00C17BE3">
              <w:rPr>
                <w:rFonts w:ascii="Calibri Light" w:hAnsi="Calibri Light" w:cs="Calibri Light"/>
                <w:b/>
                <w:sz w:val="20"/>
                <w:szCs w:val="20"/>
              </w:rPr>
              <w:t>%</w:t>
            </w:r>
          </w:p>
        </w:tc>
      </w:tr>
    </w:tbl>
    <w:p w14:paraId="13B5325F" w14:textId="77777777" w:rsidR="00C17BE3" w:rsidRPr="00C17BE3" w:rsidRDefault="00171BF5" w:rsidP="00C17BE3">
      <w:pPr>
        <w:rPr>
          <w:rFonts w:ascii="Calibri Light" w:hAnsi="Calibri Light" w:cs="Calibri Light"/>
          <w:sz w:val="20"/>
          <w:szCs w:val="20"/>
          <w:lang w:val="en-US"/>
        </w:rPr>
      </w:pPr>
      <w:r>
        <w:rPr>
          <w:rFonts w:ascii="Calibri Light" w:hAnsi="Calibri Light" w:cs="Calibri Light"/>
          <w:sz w:val="20"/>
          <w:szCs w:val="20"/>
          <w:lang w:val="en-US"/>
        </w:rPr>
        <w:t>Educational material was still sent out to all stakeholders including the requirements for correct labelling of GEMS Products.</w:t>
      </w:r>
    </w:p>
    <w:p w14:paraId="295A332B" w14:textId="77777777" w:rsidR="00D42D64" w:rsidRPr="00D42D64" w:rsidRDefault="00CA129E" w:rsidP="00D42D64">
      <w:pPr>
        <w:pStyle w:val="Heading2"/>
        <w:numPr>
          <w:ilvl w:val="0"/>
          <w:numId w:val="9"/>
        </w:numPr>
        <w:ind w:left="357" w:hanging="357"/>
        <w:rPr>
          <w:sz w:val="32"/>
          <w:szCs w:val="32"/>
        </w:rPr>
      </w:pPr>
      <w:r>
        <w:rPr>
          <w:sz w:val="32"/>
          <w:szCs w:val="32"/>
        </w:rPr>
        <w:t>Enforcement Responses</w:t>
      </w:r>
    </w:p>
    <w:p w14:paraId="0469B0A2" w14:textId="77777777" w:rsidR="00D42D64" w:rsidRPr="00D42D64" w:rsidRDefault="00D42D64" w:rsidP="00D42D64">
      <w:pPr>
        <w:pStyle w:val="BodyText1"/>
        <w:rPr>
          <w:rFonts w:ascii="Calibri Light" w:hAnsi="Calibri Light" w:cs="Calibri Light"/>
        </w:rPr>
      </w:pPr>
      <w:r w:rsidRPr="00D42D64">
        <w:rPr>
          <w:rFonts w:ascii="Calibri Light" w:hAnsi="Calibri Light" w:cs="Calibri Light"/>
        </w:rPr>
        <w:t xml:space="preserve">At the conclusion of each market surveillance activity, GEMS inspectors discuss the nature and extent of any potential issues with the relevant manager and ensure immediate actions are taken to address any non-compliance. Following an assessment of the data collected during the market surveillance activity, GEMS inspectors may undertake further engagement with registrants and suppliers to ensure compliance with GEMS registration and labelling requirements. </w:t>
      </w:r>
    </w:p>
    <w:p w14:paraId="65A9F4ED" w14:textId="77777777" w:rsidR="00D42D64" w:rsidRPr="00D42D64" w:rsidRDefault="00D42D64" w:rsidP="00D42D64">
      <w:pPr>
        <w:pStyle w:val="BodyText1"/>
        <w:rPr>
          <w:rFonts w:ascii="Calibri Light" w:hAnsi="Calibri Light" w:cs="Calibri Light"/>
        </w:rPr>
      </w:pPr>
      <w:r w:rsidRPr="00D42D64">
        <w:rPr>
          <w:rFonts w:ascii="Calibri Light" w:hAnsi="Calibri Light" w:cs="Calibri Light"/>
        </w:rPr>
        <w:lastRenderedPageBreak/>
        <w:t xml:space="preserve">Engagement, education and support will remain a key component of the GEMS Regulator’s compliance framework; however, enforcement action, in accordance with the </w:t>
      </w:r>
      <w:hyperlink r:id="rId17" w:history="1">
        <w:r w:rsidRPr="00D42D64">
          <w:rPr>
            <w:rStyle w:val="Hyperlink"/>
            <w:rFonts w:ascii="Calibri Light" w:hAnsi="Calibri Light" w:cs="Calibri Light"/>
          </w:rPr>
          <w:t>GEMS Compliance Policy</w:t>
        </w:r>
      </w:hyperlink>
      <w:r w:rsidRPr="00D42D64">
        <w:rPr>
          <w:rFonts w:ascii="Calibri Light" w:hAnsi="Calibri Light" w:cs="Calibri Light"/>
        </w:rPr>
        <w:t>, may be taken where contraventions of the GEMS Act are found.</w:t>
      </w:r>
    </w:p>
    <w:p w14:paraId="442627E3" w14:textId="77777777" w:rsidR="00D42D64" w:rsidRPr="00B447D6" w:rsidRDefault="00D42D64" w:rsidP="00CA129E">
      <w:pPr>
        <w:pStyle w:val="Heading2"/>
        <w:numPr>
          <w:ilvl w:val="0"/>
          <w:numId w:val="9"/>
        </w:numPr>
        <w:ind w:left="357" w:hanging="357"/>
      </w:pPr>
      <w:r w:rsidRPr="00CA129E">
        <w:rPr>
          <w:sz w:val="32"/>
          <w:szCs w:val="32"/>
        </w:rPr>
        <w:t>What you need to know</w:t>
      </w:r>
      <w:r w:rsidR="00171BF5">
        <w:rPr>
          <w:sz w:val="32"/>
          <w:szCs w:val="32"/>
        </w:rPr>
        <w:t xml:space="preserve"> to comply</w:t>
      </w:r>
    </w:p>
    <w:p w14:paraId="06D51452" w14:textId="77777777" w:rsidR="00D42D64" w:rsidRPr="00D42D64" w:rsidRDefault="00D42D64" w:rsidP="00D42D64">
      <w:pPr>
        <w:pStyle w:val="BodyText1"/>
        <w:rPr>
          <w:rFonts w:ascii="Calibri Light" w:hAnsi="Calibri Light" w:cs="Calibri Light"/>
        </w:rPr>
      </w:pPr>
      <w:r w:rsidRPr="00D42D64">
        <w:rPr>
          <w:rFonts w:ascii="Calibri Light" w:hAnsi="Calibri Light" w:cs="Calibri Light"/>
        </w:rPr>
        <w:t xml:space="preserve">The following information may assist registrants and suppliers comply with the GEMS Act’s registration and labelling requirements. </w:t>
      </w:r>
    </w:p>
    <w:p w14:paraId="377953FF" w14:textId="77777777" w:rsidR="00D42D64" w:rsidRPr="00082810" w:rsidRDefault="00CA129E" w:rsidP="00082810">
      <w:pPr>
        <w:pStyle w:val="Heading3"/>
        <w:rPr>
          <w:b/>
          <w:bCs/>
          <w:i w:val="0"/>
          <w:color w:val="005881"/>
          <w:sz w:val="28"/>
          <w:szCs w:val="28"/>
          <w:lang w:val="en-US"/>
        </w:rPr>
      </w:pPr>
      <w:r>
        <w:rPr>
          <w:b/>
          <w:bCs/>
          <w:i w:val="0"/>
          <w:color w:val="005881"/>
          <w:sz w:val="28"/>
          <w:szCs w:val="28"/>
          <w:lang w:val="en-US"/>
        </w:rPr>
        <w:t xml:space="preserve">6.1 </w:t>
      </w:r>
      <w:r w:rsidR="00D42D64" w:rsidRPr="00082810">
        <w:rPr>
          <w:b/>
          <w:bCs/>
          <w:i w:val="0"/>
          <w:color w:val="005881"/>
          <w:sz w:val="28"/>
          <w:szCs w:val="28"/>
          <w:lang w:val="en-US"/>
        </w:rPr>
        <w:t>Registration Compliance</w:t>
      </w:r>
    </w:p>
    <w:p w14:paraId="44983F0B" w14:textId="77777777" w:rsidR="00D42D64" w:rsidRPr="00D42D64" w:rsidRDefault="00D42D64" w:rsidP="00D42D64">
      <w:pPr>
        <w:pStyle w:val="BodyText1"/>
        <w:rPr>
          <w:rFonts w:ascii="Calibri Light" w:hAnsi="Calibri Light" w:cs="Calibri Light"/>
        </w:rPr>
      </w:pPr>
      <w:r w:rsidRPr="00D42D64">
        <w:rPr>
          <w:rFonts w:ascii="Calibri Light" w:hAnsi="Calibri Light" w:cs="Calibri Light"/>
        </w:rPr>
        <w:t>Under the GEMS Act, GEMS products can only be supplied or offered for supply, or used for a commercial purpose, if:</w:t>
      </w:r>
    </w:p>
    <w:p w14:paraId="1FB767EF" w14:textId="77777777" w:rsidR="00D42D64" w:rsidRPr="00D42D64" w:rsidRDefault="00D42D64" w:rsidP="00D42D64">
      <w:pPr>
        <w:pStyle w:val="Bullet1"/>
        <w:rPr>
          <w:rFonts w:ascii="Calibri Light" w:hAnsi="Calibri Light" w:cs="Calibri Light"/>
        </w:rPr>
      </w:pPr>
      <w:r w:rsidRPr="00D42D64">
        <w:rPr>
          <w:rFonts w:ascii="Calibri Light" w:hAnsi="Calibri Light" w:cs="Calibri Light"/>
        </w:rPr>
        <w:t>the model of the product is registered under the GEMS Act against the relevant determination; and</w:t>
      </w:r>
    </w:p>
    <w:p w14:paraId="5A1AF49E" w14:textId="77777777" w:rsidR="00D42D64" w:rsidRPr="00D42D64" w:rsidRDefault="00D42D64" w:rsidP="00D42D64">
      <w:pPr>
        <w:pStyle w:val="Bullet1"/>
        <w:rPr>
          <w:rFonts w:ascii="Calibri Light" w:hAnsi="Calibri Light" w:cs="Calibri Light"/>
        </w:rPr>
      </w:pPr>
      <w:r w:rsidRPr="00D42D64">
        <w:rPr>
          <w:rFonts w:ascii="Calibri Light" w:hAnsi="Calibri Light" w:cs="Calibri Light"/>
        </w:rPr>
        <w:t>the product complies with the determination; and</w:t>
      </w:r>
    </w:p>
    <w:p w14:paraId="57274576" w14:textId="77777777" w:rsidR="00D42D64" w:rsidRPr="00D42D64" w:rsidRDefault="00D42D64" w:rsidP="00D42D64">
      <w:pPr>
        <w:pStyle w:val="Bullet1"/>
        <w:rPr>
          <w:rFonts w:ascii="Calibri Light" w:hAnsi="Calibri Light" w:cs="Calibri Light"/>
        </w:rPr>
      </w:pPr>
      <w:proofErr w:type="gramStart"/>
      <w:r w:rsidRPr="00D42D64">
        <w:rPr>
          <w:rFonts w:ascii="Calibri Light" w:hAnsi="Calibri Light" w:cs="Calibri Light"/>
        </w:rPr>
        <w:t>the</w:t>
      </w:r>
      <w:proofErr w:type="gramEnd"/>
      <w:r w:rsidRPr="00D42D64">
        <w:rPr>
          <w:rFonts w:ascii="Calibri Light" w:hAnsi="Calibri Light" w:cs="Calibri Light"/>
        </w:rPr>
        <w:t xml:space="preserve"> supply, offer, or use complies with the determination.</w:t>
      </w:r>
    </w:p>
    <w:p w14:paraId="18A0A792" w14:textId="77777777" w:rsidR="00D42D64" w:rsidRPr="00D42D64" w:rsidRDefault="00D42D64" w:rsidP="00D42D64">
      <w:pPr>
        <w:pStyle w:val="BodyText1"/>
        <w:rPr>
          <w:rFonts w:ascii="Calibri Light" w:hAnsi="Calibri Light" w:cs="Calibri Light"/>
        </w:rPr>
      </w:pPr>
      <w:r w:rsidRPr="00D42D64">
        <w:rPr>
          <w:rFonts w:ascii="Calibri Light" w:hAnsi="Calibri Light" w:cs="Calibri Light"/>
        </w:rPr>
        <w:t>A supply includes a supply by way of sale, exchange, gift, lease, loan, hire, or hire</w:t>
      </w:r>
      <w:r w:rsidRPr="00D42D64">
        <w:rPr>
          <w:rFonts w:ascii="Cambria Math" w:eastAsia="MS Gothic" w:hAnsi="Cambria Math" w:cs="Cambria Math"/>
        </w:rPr>
        <w:t>‑</w:t>
      </w:r>
      <w:r w:rsidRPr="00D42D64">
        <w:rPr>
          <w:rFonts w:ascii="Calibri Light" w:hAnsi="Calibri Light" w:cs="Calibri Light"/>
        </w:rPr>
        <w:t>purchase; while offer to supply includes make available, expose, display, or advertise the product for supply</w:t>
      </w:r>
      <w:r w:rsidRPr="00D42D64">
        <w:rPr>
          <w:rStyle w:val="FootnoteReference"/>
          <w:rFonts w:ascii="Calibri Light" w:hAnsi="Calibri Light" w:cs="Calibri Light"/>
        </w:rPr>
        <w:footnoteReference w:id="1"/>
      </w:r>
      <w:r w:rsidRPr="00D42D64">
        <w:rPr>
          <w:rFonts w:ascii="Calibri Light" w:hAnsi="Calibri Light" w:cs="Calibri Light"/>
        </w:rPr>
        <w:t xml:space="preserve">.  Therefore, </w:t>
      </w:r>
      <w:r w:rsidRPr="00D42D64">
        <w:rPr>
          <w:rFonts w:ascii="Calibri Light" w:hAnsi="Calibri Light" w:cs="Calibri Light"/>
          <w:b/>
          <w:u w:val="single"/>
        </w:rPr>
        <w:t>all</w:t>
      </w:r>
      <w:r w:rsidRPr="00D42D64">
        <w:rPr>
          <w:rFonts w:ascii="Calibri Light" w:hAnsi="Calibri Light" w:cs="Calibri Light"/>
        </w:rPr>
        <w:t xml:space="preserve"> persons in the supply chain, whether they be retailers, importers, or manufacturers have an obligation under the GEMS Act not to supply an unregistered model of a GEMS product.  Manufacturers and importers are more likely to be responsible for initial supply of a model in Australia and therefore more likely to be the registrant.  However, any person in the supply chain may be the registrant. Information about the registration process can be found </w:t>
      </w:r>
      <w:hyperlink r:id="rId18" w:history="1">
        <w:r w:rsidRPr="00D42D64">
          <w:rPr>
            <w:rStyle w:val="Hyperlink"/>
            <w:rFonts w:ascii="Calibri Light" w:hAnsi="Calibri Light" w:cs="Calibri Light"/>
          </w:rPr>
          <w:t>here</w:t>
        </w:r>
      </w:hyperlink>
      <w:r w:rsidRPr="00D42D64">
        <w:rPr>
          <w:rFonts w:ascii="Calibri Light" w:hAnsi="Calibri Light" w:cs="Calibri Light"/>
        </w:rPr>
        <w:t>.</w:t>
      </w:r>
    </w:p>
    <w:p w14:paraId="66494E80" w14:textId="77777777" w:rsidR="00D42D64" w:rsidRPr="00CA129E" w:rsidRDefault="00D42D64" w:rsidP="00CA129E">
      <w:pPr>
        <w:pStyle w:val="Heading4"/>
        <w:rPr>
          <w:bCs/>
          <w:color w:val="005881"/>
          <w:sz w:val="24"/>
          <w:szCs w:val="28"/>
          <w:lang w:val="en-US"/>
        </w:rPr>
      </w:pPr>
      <w:r w:rsidRPr="00CA129E">
        <w:rPr>
          <w:bCs/>
          <w:color w:val="005881"/>
          <w:sz w:val="24"/>
          <w:szCs w:val="28"/>
          <w:lang w:val="en-US"/>
        </w:rPr>
        <w:t>How do I know if a model is registered?</w:t>
      </w:r>
    </w:p>
    <w:p w14:paraId="255562C3" w14:textId="77777777" w:rsidR="00D42D64" w:rsidRPr="00D42D64" w:rsidRDefault="00D42D64" w:rsidP="00D42D64">
      <w:pPr>
        <w:pStyle w:val="BodyText1"/>
        <w:rPr>
          <w:rFonts w:ascii="Calibri Light" w:hAnsi="Calibri Light" w:cs="Calibri Light"/>
        </w:rPr>
      </w:pPr>
      <w:r w:rsidRPr="00D42D64">
        <w:rPr>
          <w:rFonts w:ascii="Calibri Light" w:hAnsi="Calibri Light" w:cs="Calibri Light"/>
        </w:rPr>
        <w:t xml:space="preserve">To ensure models of GEMS products being supplied are registered as compliant with the relevant determination, suppliers can view the public </w:t>
      </w:r>
      <w:hyperlink r:id="rId19" w:history="1">
        <w:r w:rsidRPr="00D42D64">
          <w:rPr>
            <w:rStyle w:val="Hyperlink"/>
            <w:rFonts w:ascii="Calibri Light" w:hAnsi="Calibri Light" w:cs="Calibri Light"/>
          </w:rPr>
          <w:t>Registration Database</w:t>
        </w:r>
      </w:hyperlink>
      <w:r w:rsidRPr="00D42D64">
        <w:rPr>
          <w:rFonts w:ascii="Calibri Light" w:hAnsi="Calibri Light" w:cs="Calibri Light"/>
        </w:rPr>
        <w:t>. If suppliers are unsure a model is registered, they should ask their supplier for the ‘Approval Certificate’, also known as the ‘Notice of Registration under the GEMS Act’, or the GEMS registration number.</w:t>
      </w:r>
    </w:p>
    <w:p w14:paraId="57BA99A5" w14:textId="77777777" w:rsidR="00D42D64" w:rsidRPr="00082810" w:rsidRDefault="00CA129E" w:rsidP="00082810">
      <w:pPr>
        <w:pStyle w:val="Heading3"/>
        <w:rPr>
          <w:b/>
          <w:bCs/>
          <w:i w:val="0"/>
          <w:color w:val="005881"/>
          <w:sz w:val="28"/>
          <w:szCs w:val="28"/>
          <w:lang w:val="en-US"/>
        </w:rPr>
      </w:pPr>
      <w:r>
        <w:rPr>
          <w:b/>
          <w:bCs/>
          <w:i w:val="0"/>
          <w:color w:val="005881"/>
          <w:sz w:val="28"/>
          <w:szCs w:val="28"/>
          <w:lang w:val="en-US"/>
        </w:rPr>
        <w:t xml:space="preserve">6.2 </w:t>
      </w:r>
      <w:r w:rsidR="00D42D64" w:rsidRPr="00082810">
        <w:rPr>
          <w:b/>
          <w:bCs/>
          <w:i w:val="0"/>
          <w:color w:val="005881"/>
          <w:sz w:val="28"/>
          <w:szCs w:val="28"/>
          <w:lang w:val="en-US"/>
        </w:rPr>
        <w:t>Labelling Compliance</w:t>
      </w:r>
    </w:p>
    <w:p w14:paraId="2CA541BC" w14:textId="77777777" w:rsidR="00D42D64" w:rsidRPr="00D42D64" w:rsidRDefault="00D42D64" w:rsidP="00D42D64">
      <w:pPr>
        <w:pStyle w:val="BodyText1"/>
        <w:rPr>
          <w:rFonts w:ascii="Calibri Light" w:hAnsi="Calibri Light" w:cs="Calibri Light"/>
        </w:rPr>
      </w:pPr>
      <w:r w:rsidRPr="00D42D64">
        <w:rPr>
          <w:rFonts w:ascii="Calibri Light" w:hAnsi="Calibri Light" w:cs="Calibri Light"/>
        </w:rPr>
        <w:t>Section 16 of the GEMS Act states that a person must not supply, or offer to supply, a GEMS product if ‘a requirement of the GEMS determination is not complied with in supplying, or offering to supply, the product.’ A requirement to display an ERL, if applicable to that GEMS product, is covered by the relevant determination’s GEMS labelling requirements.</w:t>
      </w:r>
    </w:p>
    <w:p w14:paraId="5AD78743" w14:textId="77777777" w:rsidR="00D42D64" w:rsidRPr="00D42D64" w:rsidRDefault="00D42D64" w:rsidP="00D42D64">
      <w:pPr>
        <w:pStyle w:val="BodyText1"/>
        <w:rPr>
          <w:rFonts w:ascii="Calibri Light" w:hAnsi="Calibri Light" w:cs="Calibri Light"/>
        </w:rPr>
      </w:pPr>
      <w:r w:rsidRPr="00D42D64">
        <w:rPr>
          <w:rFonts w:ascii="Calibri Light" w:hAnsi="Calibri Light" w:cs="Calibri Light"/>
        </w:rPr>
        <w:t xml:space="preserve">Manufacturers and importers generally provide ERLs with each product supplied to retail stores. If an ERL is not provided, it is the retailer’s responsibility to obtain one from the manufacturer or importer and attach it in accordance with the relevant determination, prior to offering the product for supply. </w:t>
      </w:r>
    </w:p>
    <w:p w14:paraId="196CF780" w14:textId="77777777" w:rsidR="00D42D64" w:rsidRPr="00D42D64" w:rsidRDefault="00D42D64" w:rsidP="00D42D64">
      <w:pPr>
        <w:pStyle w:val="BodyText1"/>
        <w:rPr>
          <w:rFonts w:ascii="Calibri Light" w:hAnsi="Calibri Light" w:cs="Calibri Light"/>
        </w:rPr>
      </w:pPr>
      <w:r w:rsidRPr="00D42D64">
        <w:rPr>
          <w:rFonts w:ascii="Calibri Light" w:hAnsi="Calibri Light" w:cs="Calibri Light"/>
        </w:rPr>
        <w:t xml:space="preserve">Similarly, if an ERL is removed, the retailer must obtain another from the manufacturer or importer and attach it prior to continuing to offer the product for supply. </w:t>
      </w:r>
    </w:p>
    <w:p w14:paraId="045F9B08" w14:textId="77777777" w:rsidR="00D42D64" w:rsidRPr="00CA129E" w:rsidRDefault="00D42D64" w:rsidP="00CA129E">
      <w:pPr>
        <w:pStyle w:val="Heading2"/>
        <w:numPr>
          <w:ilvl w:val="0"/>
          <w:numId w:val="9"/>
        </w:numPr>
        <w:ind w:left="357" w:hanging="357"/>
        <w:rPr>
          <w:sz w:val="32"/>
          <w:szCs w:val="32"/>
        </w:rPr>
      </w:pPr>
      <w:r w:rsidRPr="00CA129E">
        <w:rPr>
          <w:sz w:val="32"/>
          <w:szCs w:val="32"/>
        </w:rPr>
        <w:t>Further Information</w:t>
      </w:r>
    </w:p>
    <w:p w14:paraId="62CB37DA" w14:textId="77777777" w:rsidR="00B32C02" w:rsidRPr="00082810" w:rsidRDefault="00D42D64" w:rsidP="00082810">
      <w:pPr>
        <w:pStyle w:val="BodyText1"/>
        <w:rPr>
          <w:rFonts w:ascii="Calibri Light" w:hAnsi="Calibri Light" w:cs="Calibri Light"/>
        </w:rPr>
      </w:pPr>
      <w:r w:rsidRPr="00D42D64">
        <w:rPr>
          <w:rFonts w:ascii="Calibri Light" w:hAnsi="Calibri Light" w:cs="Calibri Light"/>
        </w:rPr>
        <w:t xml:space="preserve">If you would like to contact the GEMS Regulator with information about suspected non-compliance or you would like further information, please contact us at </w:t>
      </w:r>
      <w:hyperlink r:id="rId20" w:history="1">
        <w:r w:rsidRPr="00D42D64">
          <w:rPr>
            <w:rStyle w:val="Hyperlink"/>
            <w:rFonts w:ascii="Calibri Light" w:hAnsi="Calibri Light" w:cs="Calibri Light"/>
          </w:rPr>
          <w:t>compliance@gems.gov.au</w:t>
        </w:r>
      </w:hyperlink>
      <w:r w:rsidRPr="00D42D64">
        <w:rPr>
          <w:rFonts w:ascii="Calibri Light" w:hAnsi="Calibri Light" w:cs="Calibri Light"/>
        </w:rPr>
        <w:t xml:space="preserve"> or visit </w:t>
      </w:r>
      <w:hyperlink r:id="rId21" w:history="1">
        <w:r w:rsidRPr="00D42D64">
          <w:rPr>
            <w:rStyle w:val="Hyperlink"/>
            <w:rFonts w:ascii="Calibri Light" w:hAnsi="Calibri Light" w:cs="Calibri Light"/>
          </w:rPr>
          <w:t>energyrating.gov.au</w:t>
        </w:r>
      </w:hyperlink>
      <w:r w:rsidRPr="00D42D64">
        <w:rPr>
          <w:rFonts w:ascii="Calibri Light" w:hAnsi="Calibri Light" w:cs="Calibri Light"/>
        </w:rPr>
        <w:t>.</w:t>
      </w:r>
    </w:p>
    <w:sectPr w:rsidR="00B32C02" w:rsidRPr="00082810" w:rsidSect="001A603F">
      <w:footerReference w:type="default" r:id="rId22"/>
      <w:headerReference w:type="first" r:id="rId23"/>
      <w:footerReference w:type="first" r:id="rId24"/>
      <w:type w:val="continuous"/>
      <w:pgSz w:w="11907" w:h="16840" w:code="9"/>
      <w:pgMar w:top="1588" w:right="1440" w:bottom="1134" w:left="1440" w:header="397"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1A3FE" w14:textId="77777777" w:rsidR="00A9689E" w:rsidRDefault="00A9689E" w:rsidP="00B907F2">
      <w:r>
        <w:separator/>
      </w:r>
    </w:p>
  </w:endnote>
  <w:endnote w:type="continuationSeparator" w:id="0">
    <w:p w14:paraId="04341048" w14:textId="77777777" w:rsidR="00A9689E" w:rsidRDefault="00A9689E" w:rsidP="00B9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93EB7" w14:textId="77777777" w:rsidR="003615A4" w:rsidRPr="00DD4174" w:rsidRDefault="003615A4" w:rsidP="003615A4">
    <w:pPr>
      <w:pStyle w:val="Footer"/>
      <w:jc w:val="left"/>
    </w:pPr>
    <w:r w:rsidRPr="003615A4">
      <w:rPr>
        <w:noProof/>
        <w:color w:val="808080" w:themeColor="background1" w:themeShade="80"/>
      </w:rPr>
      <w:fldChar w:fldCharType="begin"/>
    </w:r>
    <w:r w:rsidRPr="003615A4">
      <w:rPr>
        <w:noProof/>
        <w:color w:val="808080" w:themeColor="background1" w:themeShade="80"/>
      </w:rPr>
      <w:instrText xml:space="preserve"> FILENAME \* MERGEFORMAT </w:instrText>
    </w:r>
    <w:r w:rsidRPr="003615A4">
      <w:rPr>
        <w:noProof/>
        <w:color w:val="808080" w:themeColor="background1" w:themeShade="80"/>
      </w:rPr>
      <w:fldChar w:fldCharType="separate"/>
    </w:r>
    <w:r w:rsidR="00AF4BF7">
      <w:rPr>
        <w:noProof/>
        <w:color w:val="808080" w:themeColor="background1" w:themeShade="80"/>
      </w:rPr>
      <w:t>Market Surveillance Results 2020-21</w:t>
    </w:r>
    <w:r w:rsidRPr="003615A4">
      <w:rPr>
        <w:noProof/>
        <w:color w:val="808080" w:themeColor="background1" w:themeShade="80"/>
      </w:rPr>
      <w:fldChar w:fldCharType="end"/>
    </w:r>
    <w:r w:rsidRPr="003615A4">
      <w:rPr>
        <w:noProof/>
        <w:color w:val="808080" w:themeColor="background1" w:themeShade="80"/>
      </w:rPr>
      <w:t xml:space="preserve">20    </w:t>
    </w:r>
    <w:r w:rsidRPr="00DD4174">
      <w:tab/>
    </w:r>
    <w:r>
      <w:fldChar w:fldCharType="begin"/>
    </w:r>
    <w:r>
      <w:instrText xml:space="preserve"> PAGE   \* MERGEFORMAT </w:instrText>
    </w:r>
    <w:r>
      <w:fldChar w:fldCharType="separate"/>
    </w:r>
    <w:r w:rsidR="00D42D64">
      <w:rPr>
        <w:noProof/>
      </w:rPr>
      <w:t>10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56F3A" w14:textId="77777777" w:rsidR="003615A4" w:rsidRPr="00255555" w:rsidRDefault="003615A4" w:rsidP="00B907F2">
    <w:r w:rsidRPr="00255555">
      <w:t>G</w:t>
    </w:r>
    <w:r>
      <w:t>PO</w:t>
    </w:r>
    <w:r w:rsidRPr="00255555">
      <w:t xml:space="preserve"> 2013 Canberra ACT 2600 </w:t>
    </w:r>
    <w:r>
      <w:t>|</w:t>
    </w:r>
    <w:r w:rsidRPr="00255555">
      <w:t xml:space="preserve"> </w:t>
    </w:r>
    <w:r w:rsidRPr="00255555">
      <w:rPr>
        <w:b/>
      </w:rPr>
      <w:t>w</w:t>
    </w:r>
    <w:r>
      <w:rPr>
        <w:b/>
      </w:rPr>
      <w:t>w</w:t>
    </w:r>
    <w:r w:rsidRPr="00255555">
      <w:rPr>
        <w:b/>
      </w:rPr>
      <w:t>w.energyrating.gov.au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C3B49" w14:textId="792ADC02" w:rsidR="003615A4" w:rsidRPr="00274DE4" w:rsidRDefault="00AF4BF7" w:rsidP="00D94262">
    <w:pPr>
      <w:pStyle w:val="Footer"/>
      <w:rPr>
        <w:rFonts w:ascii="Arial" w:hAnsi="Arial" w:cs="Arial"/>
        <w:b/>
        <w:szCs w:val="16"/>
      </w:rPr>
    </w:pPr>
    <w:sdt>
      <w:sdtPr>
        <w:rPr>
          <w:rFonts w:asciiTheme="majorHAnsi" w:hAnsiTheme="majorHAnsi" w:cstheme="majorHAnsi"/>
          <w:b/>
          <w:szCs w:val="16"/>
        </w:rPr>
        <w:id w:val="-1393114227"/>
        <w:docPartObj>
          <w:docPartGallery w:val="Page Numbers (Bottom of Page)"/>
          <w:docPartUnique/>
        </w:docPartObj>
      </w:sdtPr>
      <w:sdtEndPr>
        <w:rPr>
          <w:rFonts w:ascii="Arial" w:hAnsi="Arial" w:cs="Arial"/>
          <w:b w:val="0"/>
          <w:noProof/>
        </w:rPr>
      </w:sdtEndPr>
      <w:sdtContent>
        <w:r w:rsidR="003615A4" w:rsidRPr="00081947">
          <w:rPr>
            <w:rFonts w:asciiTheme="majorHAnsi" w:hAnsiTheme="majorHAnsi" w:cstheme="majorHAnsi"/>
            <w:szCs w:val="16"/>
          </w:rPr>
          <w:t xml:space="preserve">GEMS </w:t>
        </w:r>
        <w:r w:rsidR="00D42D64">
          <w:rPr>
            <w:rFonts w:asciiTheme="majorHAnsi" w:hAnsiTheme="majorHAnsi" w:cstheme="majorHAnsi"/>
            <w:szCs w:val="16"/>
          </w:rPr>
          <w:t xml:space="preserve">Market Surveillance Results </w:t>
        </w:r>
        <w:r w:rsidR="001A7026">
          <w:rPr>
            <w:rFonts w:asciiTheme="majorHAnsi" w:hAnsiTheme="majorHAnsi" w:cstheme="majorHAnsi"/>
            <w:szCs w:val="16"/>
          </w:rPr>
          <w:t>2020-21</w:t>
        </w:r>
      </w:sdtContent>
    </w:sdt>
  </w:p>
  <w:p w14:paraId="0DBB3C49" w14:textId="77777777" w:rsidR="003615A4" w:rsidRPr="00482D16" w:rsidRDefault="00AF4BF7" w:rsidP="00082810">
    <w:pPr>
      <w:pStyle w:val="Footer"/>
      <w:jc w:val="right"/>
      <w:rPr>
        <w:rFonts w:ascii="Arial" w:hAnsi="Arial" w:cs="Arial"/>
        <w:b/>
        <w:sz w:val="18"/>
        <w:szCs w:val="18"/>
      </w:rPr>
    </w:pPr>
    <w:sdt>
      <w:sdtPr>
        <w:rPr>
          <w:rFonts w:ascii="Arial" w:hAnsi="Arial" w:cs="Arial"/>
          <w:b/>
          <w:sz w:val="18"/>
          <w:szCs w:val="18"/>
        </w:rPr>
        <w:id w:val="1723336351"/>
        <w:docPartObj>
          <w:docPartGallery w:val="Page Numbers (Bottom of Page)"/>
          <w:docPartUnique/>
        </w:docPartObj>
      </w:sdtPr>
      <w:sdtEndPr>
        <w:rPr>
          <w:noProof/>
        </w:rPr>
      </w:sdtEndPr>
      <w:sdtContent>
        <w:r w:rsidR="003615A4" w:rsidRPr="00FE1859">
          <w:rPr>
            <w:rFonts w:ascii="Arial" w:hAnsi="Arial" w:cs="Arial"/>
            <w:b/>
            <w:sz w:val="18"/>
            <w:szCs w:val="18"/>
          </w:rPr>
          <w:fldChar w:fldCharType="begin"/>
        </w:r>
        <w:r w:rsidR="003615A4" w:rsidRPr="00FE1859">
          <w:rPr>
            <w:rFonts w:ascii="Arial" w:hAnsi="Arial" w:cs="Arial"/>
            <w:sz w:val="18"/>
            <w:szCs w:val="18"/>
          </w:rPr>
          <w:instrText xml:space="preserve"> PAGE   \* MERGEFORMAT </w:instrText>
        </w:r>
        <w:r w:rsidR="003615A4" w:rsidRPr="00FE1859">
          <w:rPr>
            <w:rFonts w:ascii="Arial" w:hAnsi="Arial" w:cs="Arial"/>
            <w:b/>
            <w:sz w:val="18"/>
            <w:szCs w:val="18"/>
          </w:rPr>
          <w:fldChar w:fldCharType="separate"/>
        </w:r>
        <w:r w:rsidRPr="00AF4BF7">
          <w:rPr>
            <w:rFonts w:ascii="Arial" w:hAnsi="Arial" w:cs="Arial"/>
            <w:b/>
            <w:noProof/>
            <w:sz w:val="18"/>
            <w:szCs w:val="18"/>
          </w:rPr>
          <w:t>2</w:t>
        </w:r>
        <w:r w:rsidR="003615A4" w:rsidRPr="00FE1859">
          <w:rPr>
            <w:rFonts w:ascii="Arial" w:hAnsi="Arial" w:cs="Arial"/>
            <w:b/>
            <w:noProof/>
            <w:sz w:val="18"/>
            <w:szCs w:val="18"/>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2F633" w14:textId="77777777" w:rsidR="003615A4" w:rsidRPr="00C32B78" w:rsidRDefault="00AF4BF7" w:rsidP="00D94262">
    <w:pPr>
      <w:pStyle w:val="Footer"/>
      <w:rPr>
        <w:rFonts w:ascii="Arial" w:hAnsi="Arial" w:cs="Arial"/>
        <w:b/>
        <w:sz w:val="18"/>
        <w:szCs w:val="18"/>
      </w:rPr>
    </w:pPr>
    <w:sdt>
      <w:sdtPr>
        <w:rPr>
          <w:rFonts w:ascii="Arial" w:hAnsi="Arial" w:cs="Arial"/>
          <w:b/>
          <w:sz w:val="18"/>
          <w:szCs w:val="18"/>
        </w:rPr>
        <w:id w:val="-756974202"/>
        <w:docPartObj>
          <w:docPartGallery w:val="Page Numbers (Bottom of Page)"/>
          <w:docPartUnique/>
        </w:docPartObj>
      </w:sdtPr>
      <w:sdtEndPr>
        <w:rPr>
          <w:noProof/>
        </w:rPr>
      </w:sdtEndPr>
      <w:sdtContent>
        <w:r w:rsidR="003615A4" w:rsidRPr="00FE1859">
          <w:rPr>
            <w:rFonts w:ascii="Arial" w:hAnsi="Arial" w:cs="Arial"/>
            <w:b/>
            <w:sz w:val="18"/>
            <w:szCs w:val="18"/>
          </w:rPr>
          <w:fldChar w:fldCharType="begin"/>
        </w:r>
        <w:r w:rsidR="003615A4" w:rsidRPr="00FE1859">
          <w:rPr>
            <w:rFonts w:ascii="Arial" w:hAnsi="Arial" w:cs="Arial"/>
            <w:sz w:val="18"/>
            <w:szCs w:val="18"/>
          </w:rPr>
          <w:instrText xml:space="preserve"> PAGE   \* MERGEFORMAT </w:instrText>
        </w:r>
        <w:r w:rsidR="003615A4" w:rsidRPr="00FE1859">
          <w:rPr>
            <w:rFonts w:ascii="Arial" w:hAnsi="Arial" w:cs="Arial"/>
            <w:b/>
            <w:sz w:val="18"/>
            <w:szCs w:val="18"/>
          </w:rPr>
          <w:fldChar w:fldCharType="separate"/>
        </w:r>
        <w:r w:rsidR="0076497B" w:rsidRPr="0076497B">
          <w:rPr>
            <w:rFonts w:ascii="Arial" w:hAnsi="Arial" w:cs="Arial"/>
            <w:b/>
            <w:noProof/>
            <w:sz w:val="18"/>
            <w:szCs w:val="18"/>
          </w:rPr>
          <w:t>1</w:t>
        </w:r>
        <w:r w:rsidR="003615A4" w:rsidRPr="00FE1859">
          <w:rPr>
            <w:rFonts w:ascii="Arial" w:hAnsi="Arial" w:cs="Arial"/>
            <w:b/>
            <w:noProof/>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C7736" w14:textId="77777777" w:rsidR="00A9689E" w:rsidRPr="00987834" w:rsidRDefault="00A9689E" w:rsidP="00987834">
      <w:pPr>
        <w:pStyle w:val="Footer"/>
      </w:pPr>
    </w:p>
  </w:footnote>
  <w:footnote w:type="continuationSeparator" w:id="0">
    <w:p w14:paraId="72B114E1" w14:textId="77777777" w:rsidR="00A9689E" w:rsidRDefault="00A9689E" w:rsidP="00B907F2">
      <w:r>
        <w:continuationSeparator/>
      </w:r>
    </w:p>
  </w:footnote>
  <w:footnote w:id="1">
    <w:p w14:paraId="64D97F9A" w14:textId="77777777" w:rsidR="00D42D64" w:rsidRDefault="00D42D64" w:rsidP="00D42D64">
      <w:pPr>
        <w:pStyle w:val="FootnoteText"/>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7869B" w14:textId="77777777" w:rsidR="003615A4" w:rsidRDefault="003615A4" w:rsidP="00B907F2">
    <w:pPr>
      <w:pStyle w:val="Footer"/>
    </w:pPr>
    <w:r>
      <w:fldChar w:fldCharType="begin"/>
    </w:r>
    <w:r>
      <w:instrText xml:space="preserve"> DOCPROPERTY "ClassificationPty"  \* MERGEFORMAT </w:instrText>
    </w:r>
    <w:r>
      <w:fldChar w:fldCharType="end"/>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3323C" w14:textId="77777777" w:rsidR="003615A4" w:rsidRDefault="003615A4" w:rsidP="00B907F2">
    <w:pPr>
      <w:pStyle w:val="Footer"/>
    </w:pPr>
    <w:bookmarkStart w:id="0" w:name="ClassificationHeadBM"/>
    <w:r>
      <w:rPr>
        <w:b/>
        <w:noProof/>
        <w:sz w:val="8"/>
      </w:rPr>
      <w:drawing>
        <wp:anchor distT="0" distB="0" distL="114300" distR="114300" simplePos="0" relativeHeight="251659264" behindDoc="1" locked="0" layoutInCell="1" allowOverlap="1" wp14:anchorId="76EF71E2" wp14:editId="5AF0D99F">
          <wp:simplePos x="0" y="0"/>
          <wp:positionH relativeFrom="page">
            <wp:align>center</wp:align>
          </wp:positionH>
          <wp:positionV relativeFrom="paragraph">
            <wp:posOffset>-150725</wp:posOffset>
          </wp:positionV>
          <wp:extent cx="7330662" cy="1345915"/>
          <wp:effectExtent l="0" t="0" r="0" b="0"/>
          <wp:wrapNone/>
          <wp:docPr id="1" name="Picture 1" descr="This header shows the Australian Government and Greenhouse and Energy Minimum Standards Regulator logo." title="Ausstralian Government and GEMS Regulato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MS letterhead lockup.jpg"/>
                  <pic:cNvPicPr/>
                </pic:nvPicPr>
                <pic:blipFill>
                  <a:blip r:embed="rId1"/>
                  <a:stretch>
                    <a:fillRect/>
                  </a:stretch>
                </pic:blipFill>
                <pic:spPr>
                  <a:xfrm>
                    <a:off x="0" y="0"/>
                    <a:ext cx="7330662" cy="134591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DOCPROPERTY "ClassificationPty"  \* MERGEFORMAT </w:instrText>
    </w:r>
    <w:r>
      <w:fldChar w:fldCharType="end"/>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BA3D8" w14:textId="77777777" w:rsidR="003615A4" w:rsidRDefault="003615A4" w:rsidP="00B907F2">
    <w:pPr>
      <w:pStyle w:val="Footer"/>
    </w:pPr>
    <w:r>
      <w:fldChar w:fldCharType="begin"/>
    </w:r>
    <w:r>
      <w:instrText xml:space="preserve"> DOCPROPERTY "ClassificationPty"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37286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39527982"/>
    <w:lvl w:ilvl="0">
      <w:start w:val="1"/>
      <w:numFmt w:val="decimal"/>
      <w:lvlText w:val="%1."/>
      <w:lvlJc w:val="left"/>
      <w:pPr>
        <w:tabs>
          <w:tab w:val="num" w:pos="360"/>
        </w:tabs>
        <w:ind w:left="360" w:hanging="360"/>
      </w:pPr>
    </w:lvl>
  </w:abstractNum>
  <w:abstractNum w:abstractNumId="2"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45E2C63"/>
    <w:multiLevelType w:val="hybridMultilevel"/>
    <w:tmpl w:val="1958CD8C"/>
    <w:lvl w:ilvl="0" w:tplc="20AE2B42">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6831B6"/>
    <w:multiLevelType w:val="hybridMultilevel"/>
    <w:tmpl w:val="90B053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2325AE"/>
    <w:multiLevelType w:val="hybridMultilevel"/>
    <w:tmpl w:val="90B053D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745BC2"/>
    <w:multiLevelType w:val="multilevel"/>
    <w:tmpl w:val="E5E89F92"/>
    <w:numStyleLink w:val="BulletList"/>
  </w:abstractNum>
  <w:abstractNum w:abstractNumId="7" w15:restartNumberingAfterBreak="0">
    <w:nsid w:val="43F00102"/>
    <w:multiLevelType w:val="hybridMultilevel"/>
    <w:tmpl w:val="331036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6183D2B"/>
    <w:multiLevelType w:val="multilevel"/>
    <w:tmpl w:val="0C09001F"/>
    <w:lvl w:ilvl="0">
      <w:start w:val="1"/>
      <w:numFmt w:val="decimal"/>
      <w:lvlText w:val="%1."/>
      <w:lvlJc w:val="left"/>
      <w:pPr>
        <w:ind w:left="447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FE0C10"/>
    <w:multiLevelType w:val="hybridMultilevel"/>
    <w:tmpl w:val="F5045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1E779D"/>
    <w:multiLevelType w:val="hybridMultilevel"/>
    <w:tmpl w:val="90B053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905A4E"/>
    <w:multiLevelType w:val="hybridMultilevel"/>
    <w:tmpl w:val="90B053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8"/>
  </w:num>
  <w:num w:numId="5">
    <w:abstractNumId w:val="5"/>
  </w:num>
  <w:num w:numId="6">
    <w:abstractNumId w:val="4"/>
  </w:num>
  <w:num w:numId="7">
    <w:abstractNumId w:val="10"/>
  </w:num>
  <w:num w:numId="8">
    <w:abstractNumId w:val="11"/>
  </w:num>
  <w:num w:numId="9">
    <w:abstractNumId w:val="7"/>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49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84"/>
    <w:rsid w:val="00012602"/>
    <w:rsid w:val="00026968"/>
    <w:rsid w:val="00055E85"/>
    <w:rsid w:val="00081475"/>
    <w:rsid w:val="00081947"/>
    <w:rsid w:val="00082810"/>
    <w:rsid w:val="0009004A"/>
    <w:rsid w:val="000C18C7"/>
    <w:rsid w:val="000D6DA6"/>
    <w:rsid w:val="000E4933"/>
    <w:rsid w:val="000F2CEE"/>
    <w:rsid w:val="000F3943"/>
    <w:rsid w:val="0011165A"/>
    <w:rsid w:val="0011197E"/>
    <w:rsid w:val="00120ED4"/>
    <w:rsid w:val="00152A20"/>
    <w:rsid w:val="00171BF5"/>
    <w:rsid w:val="00192ED2"/>
    <w:rsid w:val="00196F35"/>
    <w:rsid w:val="001A603F"/>
    <w:rsid w:val="001A7026"/>
    <w:rsid w:val="001B04F8"/>
    <w:rsid w:val="001C61D8"/>
    <w:rsid w:val="001D2EA2"/>
    <w:rsid w:val="001D5B5C"/>
    <w:rsid w:val="001D631A"/>
    <w:rsid w:val="001E2A10"/>
    <w:rsid w:val="001F7193"/>
    <w:rsid w:val="00210689"/>
    <w:rsid w:val="0021095C"/>
    <w:rsid w:val="002155B4"/>
    <w:rsid w:val="00250328"/>
    <w:rsid w:val="00255555"/>
    <w:rsid w:val="00266808"/>
    <w:rsid w:val="00286C12"/>
    <w:rsid w:val="002B4DEF"/>
    <w:rsid w:val="002C4BC0"/>
    <w:rsid w:val="002E0FBC"/>
    <w:rsid w:val="003136D7"/>
    <w:rsid w:val="00313921"/>
    <w:rsid w:val="003258B9"/>
    <w:rsid w:val="00334F57"/>
    <w:rsid w:val="003405C8"/>
    <w:rsid w:val="003615A4"/>
    <w:rsid w:val="003A5092"/>
    <w:rsid w:val="003B41D6"/>
    <w:rsid w:val="003B53C0"/>
    <w:rsid w:val="003C374D"/>
    <w:rsid w:val="003D1496"/>
    <w:rsid w:val="003E48A9"/>
    <w:rsid w:val="0040062D"/>
    <w:rsid w:val="0042771B"/>
    <w:rsid w:val="00441502"/>
    <w:rsid w:val="00442546"/>
    <w:rsid w:val="0045063A"/>
    <w:rsid w:val="0045337F"/>
    <w:rsid w:val="00492458"/>
    <w:rsid w:val="004C6E39"/>
    <w:rsid w:val="004D3FAA"/>
    <w:rsid w:val="004D58AE"/>
    <w:rsid w:val="004E29B9"/>
    <w:rsid w:val="0051496D"/>
    <w:rsid w:val="00585E00"/>
    <w:rsid w:val="005B38D8"/>
    <w:rsid w:val="005C4336"/>
    <w:rsid w:val="005C721F"/>
    <w:rsid w:val="005D1098"/>
    <w:rsid w:val="005D2DD3"/>
    <w:rsid w:val="005D47A2"/>
    <w:rsid w:val="005E28D8"/>
    <w:rsid w:val="00605EE9"/>
    <w:rsid w:val="00633AFA"/>
    <w:rsid w:val="006350AF"/>
    <w:rsid w:val="00635ACF"/>
    <w:rsid w:val="00655DEC"/>
    <w:rsid w:val="00656FA5"/>
    <w:rsid w:val="00660F4B"/>
    <w:rsid w:val="00661A9A"/>
    <w:rsid w:val="00684773"/>
    <w:rsid w:val="00692817"/>
    <w:rsid w:val="006933C0"/>
    <w:rsid w:val="00696441"/>
    <w:rsid w:val="006A0F9A"/>
    <w:rsid w:val="006C0986"/>
    <w:rsid w:val="006F0042"/>
    <w:rsid w:val="006F7DFA"/>
    <w:rsid w:val="0072430B"/>
    <w:rsid w:val="007341FB"/>
    <w:rsid w:val="00742E68"/>
    <w:rsid w:val="00751E8F"/>
    <w:rsid w:val="0076085C"/>
    <w:rsid w:val="0076497B"/>
    <w:rsid w:val="00776AE9"/>
    <w:rsid w:val="007874FE"/>
    <w:rsid w:val="007B2E72"/>
    <w:rsid w:val="007B63E1"/>
    <w:rsid w:val="007B7FE0"/>
    <w:rsid w:val="007D5FF3"/>
    <w:rsid w:val="007E5CF0"/>
    <w:rsid w:val="007F565B"/>
    <w:rsid w:val="0081579F"/>
    <w:rsid w:val="008217D8"/>
    <w:rsid w:val="00823AE2"/>
    <w:rsid w:val="00836F5B"/>
    <w:rsid w:val="00853824"/>
    <w:rsid w:val="00853FE7"/>
    <w:rsid w:val="008938AF"/>
    <w:rsid w:val="008A5F84"/>
    <w:rsid w:val="008B16C7"/>
    <w:rsid w:val="008B59F4"/>
    <w:rsid w:val="008B61A7"/>
    <w:rsid w:val="008B63C1"/>
    <w:rsid w:val="00927471"/>
    <w:rsid w:val="00933169"/>
    <w:rsid w:val="0096517B"/>
    <w:rsid w:val="009716DF"/>
    <w:rsid w:val="00980345"/>
    <w:rsid w:val="00987834"/>
    <w:rsid w:val="00987BC4"/>
    <w:rsid w:val="009C0F01"/>
    <w:rsid w:val="009D1ADD"/>
    <w:rsid w:val="009D1BF5"/>
    <w:rsid w:val="009D4563"/>
    <w:rsid w:val="009F1163"/>
    <w:rsid w:val="00A04763"/>
    <w:rsid w:val="00A215BB"/>
    <w:rsid w:val="00A27CCD"/>
    <w:rsid w:val="00A43C60"/>
    <w:rsid w:val="00A5087A"/>
    <w:rsid w:val="00A5100A"/>
    <w:rsid w:val="00A6556A"/>
    <w:rsid w:val="00A75CEC"/>
    <w:rsid w:val="00A9689E"/>
    <w:rsid w:val="00AE39A6"/>
    <w:rsid w:val="00AF1F33"/>
    <w:rsid w:val="00AF4BF7"/>
    <w:rsid w:val="00B03CCF"/>
    <w:rsid w:val="00B32C02"/>
    <w:rsid w:val="00B75BB3"/>
    <w:rsid w:val="00B82911"/>
    <w:rsid w:val="00B907F2"/>
    <w:rsid w:val="00B92A93"/>
    <w:rsid w:val="00BA5A5F"/>
    <w:rsid w:val="00BA7908"/>
    <w:rsid w:val="00BC1CA9"/>
    <w:rsid w:val="00BC62EE"/>
    <w:rsid w:val="00BE3DD6"/>
    <w:rsid w:val="00BF4E06"/>
    <w:rsid w:val="00C03498"/>
    <w:rsid w:val="00C17BE3"/>
    <w:rsid w:val="00C30ACA"/>
    <w:rsid w:val="00CA119C"/>
    <w:rsid w:val="00CA129E"/>
    <w:rsid w:val="00CA305D"/>
    <w:rsid w:val="00CA603C"/>
    <w:rsid w:val="00CB5FAF"/>
    <w:rsid w:val="00CC7CA2"/>
    <w:rsid w:val="00CF7B39"/>
    <w:rsid w:val="00D004B5"/>
    <w:rsid w:val="00D113DB"/>
    <w:rsid w:val="00D12F23"/>
    <w:rsid w:val="00D1308E"/>
    <w:rsid w:val="00D1470C"/>
    <w:rsid w:val="00D17965"/>
    <w:rsid w:val="00D24BF9"/>
    <w:rsid w:val="00D34200"/>
    <w:rsid w:val="00D37ACC"/>
    <w:rsid w:val="00D42D64"/>
    <w:rsid w:val="00D438B3"/>
    <w:rsid w:val="00D454DC"/>
    <w:rsid w:val="00D656B2"/>
    <w:rsid w:val="00D719EA"/>
    <w:rsid w:val="00D75680"/>
    <w:rsid w:val="00D84492"/>
    <w:rsid w:val="00D878DD"/>
    <w:rsid w:val="00D939F6"/>
    <w:rsid w:val="00D94262"/>
    <w:rsid w:val="00D96D21"/>
    <w:rsid w:val="00DA4267"/>
    <w:rsid w:val="00DB1E3D"/>
    <w:rsid w:val="00DB71E8"/>
    <w:rsid w:val="00DC181E"/>
    <w:rsid w:val="00DD4174"/>
    <w:rsid w:val="00DE6592"/>
    <w:rsid w:val="00E06536"/>
    <w:rsid w:val="00E125A0"/>
    <w:rsid w:val="00E313DE"/>
    <w:rsid w:val="00E432A9"/>
    <w:rsid w:val="00E65C72"/>
    <w:rsid w:val="00EC3A17"/>
    <w:rsid w:val="00EF0373"/>
    <w:rsid w:val="00F56A66"/>
    <w:rsid w:val="00F7717E"/>
    <w:rsid w:val="00F8492E"/>
    <w:rsid w:val="00F94D91"/>
    <w:rsid w:val="00FB14FB"/>
    <w:rsid w:val="00FB1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5769080"/>
  <w15:docId w15:val="{FB3BECB9-CA61-436B-A23D-33783D9F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808"/>
    <w:pPr>
      <w:spacing w:before="120" w:after="120"/>
    </w:pPr>
    <w:rPr>
      <w:rFonts w:ascii="Calibri" w:hAnsi="Calibri" w:cs="Calibri"/>
      <w:sz w:val="22"/>
      <w:szCs w:val="22"/>
      <w:lang w:val="en-AU" w:eastAsia="en-AU"/>
    </w:rPr>
  </w:style>
  <w:style w:type="paragraph" w:styleId="Heading1">
    <w:name w:val="heading 1"/>
    <w:basedOn w:val="Normal"/>
    <w:next w:val="Normal"/>
    <w:qFormat/>
    <w:rsid w:val="00B907F2"/>
    <w:pPr>
      <w:outlineLvl w:val="0"/>
    </w:pPr>
    <w:rPr>
      <w:b/>
      <w:bCs/>
      <w:color w:val="005881"/>
      <w:sz w:val="32"/>
      <w:lang w:val="en-US"/>
    </w:rPr>
  </w:style>
  <w:style w:type="paragraph" w:styleId="Heading2">
    <w:name w:val="heading 2"/>
    <w:basedOn w:val="Normal"/>
    <w:next w:val="Normal"/>
    <w:qFormat/>
    <w:rsid w:val="00266808"/>
    <w:pPr>
      <w:outlineLvl w:val="1"/>
    </w:pPr>
    <w:rPr>
      <w:b/>
      <w:bCs/>
      <w:color w:val="005881"/>
      <w:sz w:val="28"/>
      <w:lang w:val="en-US"/>
    </w:rPr>
  </w:style>
  <w:style w:type="paragraph" w:styleId="Heading3">
    <w:name w:val="heading 3"/>
    <w:basedOn w:val="Normal"/>
    <w:next w:val="Normal"/>
    <w:pPr>
      <w:keepNext/>
      <w:outlineLvl w:val="2"/>
    </w:pPr>
    <w:rPr>
      <w:i/>
    </w:rPr>
  </w:style>
  <w:style w:type="paragraph" w:styleId="Heading4">
    <w:name w:val="heading 4"/>
    <w:basedOn w:val="Normal"/>
    <w:next w:val="Normal"/>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jc w:val="right"/>
    </w:pPr>
    <w:rPr>
      <w:sz w:val="20"/>
      <w:lang w:val="en-GB"/>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jc w:val="center"/>
    </w:pPr>
    <w:rPr>
      <w:sz w:val="20"/>
    </w:rPr>
  </w:style>
  <w:style w:type="character" w:styleId="PageNumber">
    <w:name w:val="page number"/>
    <w:basedOn w:val="DefaultParagraphFont"/>
  </w:style>
  <w:style w:type="paragraph" w:customStyle="1" w:styleId="NormalSpace">
    <w:name w:val="Normal + Space"/>
    <w:basedOn w:val="Normal"/>
  </w:style>
  <w:style w:type="character" w:styleId="Hyperlink">
    <w:name w:val="Hyperlink"/>
    <w:uiPriority w:val="99"/>
    <w:rsid w:val="00B03CCF"/>
    <w:rPr>
      <w:color w:val="0000FF"/>
      <w:u w:val="single"/>
    </w:rPr>
  </w:style>
  <w:style w:type="paragraph" w:styleId="BalloonText">
    <w:name w:val="Balloon Text"/>
    <w:basedOn w:val="Normal"/>
    <w:link w:val="BalloonTextChar"/>
    <w:rsid w:val="00313921"/>
    <w:rPr>
      <w:rFonts w:ascii="Tahoma" w:hAnsi="Tahoma" w:cs="Tahoma"/>
      <w:sz w:val="16"/>
      <w:szCs w:val="16"/>
    </w:rPr>
  </w:style>
  <w:style w:type="character" w:customStyle="1" w:styleId="BalloonTextChar">
    <w:name w:val="Balloon Text Char"/>
    <w:link w:val="BalloonText"/>
    <w:rsid w:val="00313921"/>
    <w:rPr>
      <w:rFonts w:ascii="Tahoma" w:hAnsi="Tahoma" w:cs="Tahoma"/>
      <w:sz w:val="16"/>
      <w:szCs w:val="16"/>
    </w:rPr>
  </w:style>
  <w:style w:type="character" w:customStyle="1" w:styleId="UnresolvedMention">
    <w:name w:val="Unresolved Mention"/>
    <w:basedOn w:val="DefaultParagraphFont"/>
    <w:uiPriority w:val="99"/>
    <w:semiHidden/>
    <w:unhideWhenUsed/>
    <w:rsid w:val="00CB5FAF"/>
    <w:rPr>
      <w:color w:val="605E5C"/>
      <w:shd w:val="clear" w:color="auto" w:fill="E1DFDD"/>
    </w:rPr>
  </w:style>
  <w:style w:type="character" w:styleId="Strong">
    <w:name w:val="Strong"/>
    <w:basedOn w:val="DefaultParagraphFont"/>
    <w:uiPriority w:val="22"/>
    <w:qFormat/>
    <w:rsid w:val="00CB5FAF"/>
    <w:rPr>
      <w:rFonts w:ascii="Arial" w:hAnsi="Arial"/>
      <w:b/>
      <w:bCs/>
      <w:i w:val="0"/>
    </w:rPr>
  </w:style>
  <w:style w:type="character" w:styleId="Emphasis">
    <w:name w:val="Emphasis"/>
    <w:basedOn w:val="DefaultParagraphFont"/>
    <w:qFormat/>
    <w:rsid w:val="00CB5FAF"/>
    <w:rPr>
      <w:rFonts w:ascii="Arial" w:hAnsi="Arial"/>
      <w:b w:val="0"/>
      <w:i/>
      <w:iCs/>
    </w:rPr>
  </w:style>
  <w:style w:type="character" w:customStyle="1" w:styleId="FooterChar">
    <w:name w:val="Footer Char"/>
    <w:basedOn w:val="DefaultParagraphFont"/>
    <w:link w:val="Footer"/>
    <w:uiPriority w:val="99"/>
    <w:rsid w:val="00DD4174"/>
    <w:rPr>
      <w:rFonts w:ascii="Arial" w:hAnsi="Arial"/>
      <w:lang w:val="en-AU" w:eastAsia="en-AU"/>
    </w:rPr>
  </w:style>
  <w:style w:type="paragraph" w:styleId="ListParagraph">
    <w:name w:val="List Paragraph"/>
    <w:basedOn w:val="Normal"/>
    <w:uiPriority w:val="72"/>
    <w:rsid w:val="00255555"/>
    <w:pPr>
      <w:ind w:left="720"/>
      <w:contextualSpacing/>
    </w:pPr>
  </w:style>
  <w:style w:type="table" w:styleId="TableGrid">
    <w:name w:val="Table Grid"/>
    <w:basedOn w:val="TableNormal"/>
    <w:rsid w:val="00B90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B907F2"/>
    <w:rPr>
      <w:sz w:val="16"/>
      <w:szCs w:val="16"/>
    </w:rPr>
  </w:style>
  <w:style w:type="paragraph" w:styleId="CommentText">
    <w:name w:val="annotation text"/>
    <w:basedOn w:val="Normal"/>
    <w:link w:val="CommentTextChar"/>
    <w:uiPriority w:val="99"/>
    <w:unhideWhenUsed/>
    <w:rsid w:val="00B907F2"/>
    <w:pPr>
      <w:spacing w:before="0" w:after="200"/>
    </w:pPr>
    <w:rPr>
      <w:rFonts w:ascii="Cambria" w:eastAsiaTheme="minorEastAsia" w:hAnsi="Cambria" w:cstheme="minorBidi"/>
      <w:sz w:val="20"/>
    </w:rPr>
  </w:style>
  <w:style w:type="character" w:customStyle="1" w:styleId="CommentTextChar">
    <w:name w:val="Comment Text Char"/>
    <w:basedOn w:val="DefaultParagraphFont"/>
    <w:link w:val="CommentText"/>
    <w:uiPriority w:val="99"/>
    <w:rsid w:val="00B907F2"/>
    <w:rPr>
      <w:rFonts w:ascii="Cambria" w:eastAsiaTheme="minorEastAsia" w:hAnsi="Cambria" w:cstheme="minorBidi"/>
      <w:lang w:val="en-AU" w:eastAsia="en-AU"/>
    </w:rPr>
  </w:style>
  <w:style w:type="paragraph" w:customStyle="1" w:styleId="TableText">
    <w:name w:val="Table Text"/>
    <w:basedOn w:val="Normal"/>
    <w:link w:val="TableTextChar"/>
    <w:qFormat/>
    <w:rsid w:val="00605EE9"/>
    <w:pPr>
      <w:spacing w:before="80" w:after="80"/>
    </w:pPr>
  </w:style>
  <w:style w:type="character" w:customStyle="1" w:styleId="TableTextChar">
    <w:name w:val="Table Text Char"/>
    <w:basedOn w:val="DefaultParagraphFont"/>
    <w:link w:val="TableText"/>
    <w:rsid w:val="00605EE9"/>
    <w:rPr>
      <w:rFonts w:ascii="Calibri" w:hAnsi="Calibri" w:cs="Calibri"/>
      <w:sz w:val="22"/>
      <w:szCs w:val="22"/>
      <w:lang w:val="en-AU" w:eastAsia="en-AU"/>
    </w:rPr>
  </w:style>
  <w:style w:type="paragraph" w:styleId="CommentSubject">
    <w:name w:val="annotation subject"/>
    <w:basedOn w:val="CommentText"/>
    <w:next w:val="CommentText"/>
    <w:link w:val="CommentSubjectChar"/>
    <w:semiHidden/>
    <w:unhideWhenUsed/>
    <w:rsid w:val="00D84492"/>
    <w:pPr>
      <w:spacing w:before="120" w:after="120"/>
    </w:pPr>
    <w:rPr>
      <w:rFonts w:ascii="Calibri" w:eastAsia="Times New Roman" w:hAnsi="Calibri" w:cs="Calibri"/>
      <w:b/>
      <w:bCs/>
      <w:szCs w:val="20"/>
    </w:rPr>
  </w:style>
  <w:style w:type="character" w:customStyle="1" w:styleId="CommentSubjectChar">
    <w:name w:val="Comment Subject Char"/>
    <w:basedOn w:val="CommentTextChar"/>
    <w:link w:val="CommentSubject"/>
    <w:semiHidden/>
    <w:rsid w:val="00D84492"/>
    <w:rPr>
      <w:rFonts w:ascii="Calibri" w:eastAsiaTheme="minorEastAsia" w:hAnsi="Calibri" w:cs="Calibri"/>
      <w:b/>
      <w:bCs/>
      <w:lang w:val="en-AU" w:eastAsia="en-AU"/>
    </w:rPr>
  </w:style>
  <w:style w:type="paragraph" w:customStyle="1" w:styleId="BodyText1">
    <w:name w:val="Body Text1"/>
    <w:basedOn w:val="Normal"/>
    <w:link w:val="BodyText1Char"/>
    <w:qFormat/>
    <w:rsid w:val="00C17BE3"/>
    <w:pPr>
      <w:spacing w:before="0" w:line="276" w:lineRule="auto"/>
    </w:pPr>
    <w:rPr>
      <w:rFonts w:ascii="Arial" w:eastAsiaTheme="minorEastAsia" w:hAnsi="Arial" w:cs="Arial"/>
      <w:sz w:val="20"/>
      <w:szCs w:val="20"/>
    </w:rPr>
  </w:style>
  <w:style w:type="character" w:customStyle="1" w:styleId="BodyText1Char">
    <w:name w:val="Body Text1 Char"/>
    <w:basedOn w:val="DefaultParagraphFont"/>
    <w:link w:val="BodyText1"/>
    <w:rsid w:val="00C17BE3"/>
    <w:rPr>
      <w:rFonts w:ascii="Arial" w:eastAsiaTheme="minorEastAsia" w:hAnsi="Arial" w:cs="Arial"/>
      <w:lang w:val="en-AU" w:eastAsia="en-AU"/>
    </w:rPr>
  </w:style>
  <w:style w:type="paragraph" w:customStyle="1" w:styleId="Bullet1">
    <w:name w:val="Bullet1"/>
    <w:basedOn w:val="ListParagraph"/>
    <w:link w:val="Bullet1Char"/>
    <w:qFormat/>
    <w:rsid w:val="00C17BE3"/>
    <w:pPr>
      <w:numPr>
        <w:numId w:val="10"/>
      </w:numPr>
      <w:spacing w:before="0" w:after="0" w:line="276" w:lineRule="auto"/>
      <w:ind w:left="714" w:hanging="357"/>
    </w:pPr>
    <w:rPr>
      <w:rFonts w:ascii="Arial" w:eastAsiaTheme="minorEastAsia" w:hAnsi="Arial" w:cs="Arial"/>
      <w:sz w:val="20"/>
      <w:szCs w:val="20"/>
    </w:rPr>
  </w:style>
  <w:style w:type="character" w:customStyle="1" w:styleId="Bullet1Char">
    <w:name w:val="Bullet1 Char"/>
    <w:basedOn w:val="DefaultParagraphFont"/>
    <w:link w:val="Bullet1"/>
    <w:rsid w:val="00C17BE3"/>
    <w:rPr>
      <w:rFonts w:ascii="Arial" w:eastAsiaTheme="minorEastAsia" w:hAnsi="Arial" w:cs="Arial"/>
      <w:lang w:val="en-AU" w:eastAsia="en-AU"/>
    </w:rPr>
  </w:style>
  <w:style w:type="numbering" w:customStyle="1" w:styleId="BulletList">
    <w:name w:val="Bullet List"/>
    <w:uiPriority w:val="99"/>
    <w:rsid w:val="0009004A"/>
    <w:pPr>
      <w:numPr>
        <w:numId w:val="11"/>
      </w:numPr>
    </w:pPr>
  </w:style>
  <w:style w:type="paragraph" w:styleId="ListBullet">
    <w:name w:val="List Bullet"/>
    <w:basedOn w:val="Normal"/>
    <w:uiPriority w:val="99"/>
    <w:unhideWhenUsed/>
    <w:qFormat/>
    <w:rsid w:val="0009004A"/>
    <w:pPr>
      <w:numPr>
        <w:numId w:val="12"/>
      </w:numPr>
      <w:spacing w:before="0" w:after="200" w:line="276" w:lineRule="auto"/>
    </w:pPr>
    <w:rPr>
      <w:rFonts w:asciiTheme="minorHAnsi" w:eastAsiaTheme="minorEastAsia" w:hAnsiTheme="minorHAnsi" w:cstheme="minorBidi"/>
    </w:rPr>
  </w:style>
  <w:style w:type="paragraph" w:styleId="ListBullet2">
    <w:name w:val="List Bullet 2"/>
    <w:basedOn w:val="Normal"/>
    <w:uiPriority w:val="99"/>
    <w:unhideWhenUsed/>
    <w:rsid w:val="0009004A"/>
    <w:pPr>
      <w:numPr>
        <w:ilvl w:val="1"/>
        <w:numId w:val="12"/>
      </w:numPr>
      <w:spacing w:before="0" w:after="200" w:line="276" w:lineRule="auto"/>
    </w:pPr>
    <w:rPr>
      <w:rFonts w:asciiTheme="minorHAnsi" w:eastAsiaTheme="minorEastAsia" w:hAnsiTheme="minorHAnsi" w:cstheme="minorBidi"/>
    </w:rPr>
  </w:style>
  <w:style w:type="paragraph" w:styleId="ListBullet3">
    <w:name w:val="List Bullet 3"/>
    <w:basedOn w:val="Normal"/>
    <w:uiPriority w:val="99"/>
    <w:unhideWhenUsed/>
    <w:rsid w:val="0009004A"/>
    <w:pPr>
      <w:numPr>
        <w:ilvl w:val="2"/>
        <w:numId w:val="12"/>
      </w:numPr>
      <w:spacing w:before="0" w:after="200" w:line="276" w:lineRule="auto"/>
    </w:pPr>
    <w:rPr>
      <w:rFonts w:asciiTheme="minorHAnsi" w:eastAsiaTheme="minorEastAsia" w:hAnsiTheme="minorHAnsi" w:cstheme="minorBidi"/>
    </w:rPr>
  </w:style>
  <w:style w:type="paragraph" w:styleId="ListBullet4">
    <w:name w:val="List Bullet 4"/>
    <w:basedOn w:val="Normal"/>
    <w:uiPriority w:val="99"/>
    <w:unhideWhenUsed/>
    <w:rsid w:val="0009004A"/>
    <w:pPr>
      <w:numPr>
        <w:ilvl w:val="3"/>
        <w:numId w:val="12"/>
      </w:numPr>
      <w:spacing w:before="0" w:after="200" w:line="276" w:lineRule="auto"/>
    </w:pPr>
    <w:rPr>
      <w:rFonts w:asciiTheme="minorHAnsi" w:eastAsiaTheme="minorEastAsia" w:hAnsiTheme="minorHAnsi" w:cstheme="minorBidi"/>
    </w:rPr>
  </w:style>
  <w:style w:type="paragraph" w:styleId="ListBullet5">
    <w:name w:val="List Bullet 5"/>
    <w:basedOn w:val="Normal"/>
    <w:uiPriority w:val="99"/>
    <w:unhideWhenUsed/>
    <w:rsid w:val="0009004A"/>
    <w:pPr>
      <w:numPr>
        <w:ilvl w:val="4"/>
        <w:numId w:val="12"/>
      </w:numPr>
      <w:spacing w:before="0" w:after="200" w:line="276" w:lineRule="auto"/>
    </w:pPr>
    <w:rPr>
      <w:rFonts w:asciiTheme="minorHAnsi" w:eastAsiaTheme="minorEastAsia" w:hAnsiTheme="minorHAnsi" w:cstheme="minorBidi"/>
    </w:rPr>
  </w:style>
  <w:style w:type="character" w:styleId="FootnoteReference">
    <w:name w:val="footnote reference"/>
    <w:uiPriority w:val="99"/>
    <w:unhideWhenUsed/>
    <w:rsid w:val="0009004A"/>
    <w:rPr>
      <w:vertAlign w:val="superscript"/>
    </w:rPr>
  </w:style>
  <w:style w:type="paragraph" w:styleId="FootnoteText">
    <w:name w:val="footnote text"/>
    <w:basedOn w:val="Normal"/>
    <w:link w:val="FootnoteTextChar"/>
    <w:uiPriority w:val="99"/>
    <w:unhideWhenUsed/>
    <w:rsid w:val="00D42D64"/>
    <w:pPr>
      <w:spacing w:before="0" w:after="0" w:line="276" w:lineRule="auto"/>
    </w:pPr>
    <w:rPr>
      <w:rFonts w:asciiTheme="minorHAnsi" w:eastAsiaTheme="minorEastAsia" w:hAnsiTheme="minorHAnsi" w:cstheme="minorBidi"/>
      <w:sz w:val="16"/>
    </w:rPr>
  </w:style>
  <w:style w:type="character" w:customStyle="1" w:styleId="FootnoteTextChar">
    <w:name w:val="Footnote Text Char"/>
    <w:basedOn w:val="DefaultParagraphFont"/>
    <w:link w:val="FootnoteText"/>
    <w:uiPriority w:val="99"/>
    <w:rsid w:val="00D42D64"/>
    <w:rPr>
      <w:rFonts w:asciiTheme="minorHAnsi" w:eastAsiaTheme="minorEastAsia" w:hAnsiTheme="minorHAnsi" w:cstheme="minorBidi"/>
      <w:sz w:val="16"/>
      <w:szCs w:val="22"/>
      <w:lang w:val="en-AU" w:eastAsia="en-AU"/>
    </w:rPr>
  </w:style>
  <w:style w:type="character" w:styleId="FollowedHyperlink">
    <w:name w:val="FollowedHyperlink"/>
    <w:basedOn w:val="DefaultParagraphFont"/>
    <w:semiHidden/>
    <w:unhideWhenUsed/>
    <w:rsid w:val="00661A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4545">
      <w:bodyDiv w:val="1"/>
      <w:marLeft w:val="0"/>
      <w:marRight w:val="0"/>
      <w:marTop w:val="0"/>
      <w:marBottom w:val="0"/>
      <w:divBdr>
        <w:top w:val="none" w:sz="0" w:space="0" w:color="auto"/>
        <w:left w:val="none" w:sz="0" w:space="0" w:color="auto"/>
        <w:bottom w:val="none" w:sz="0" w:space="0" w:color="auto"/>
        <w:right w:val="none" w:sz="0" w:space="0" w:color="auto"/>
      </w:divBdr>
    </w:div>
    <w:div w:id="559823238">
      <w:bodyDiv w:val="1"/>
      <w:marLeft w:val="0"/>
      <w:marRight w:val="0"/>
      <w:marTop w:val="0"/>
      <w:marBottom w:val="0"/>
      <w:divBdr>
        <w:top w:val="none" w:sz="0" w:space="0" w:color="auto"/>
        <w:left w:val="none" w:sz="0" w:space="0" w:color="auto"/>
        <w:bottom w:val="none" w:sz="0" w:space="0" w:color="auto"/>
        <w:right w:val="none" w:sz="0" w:space="0" w:color="auto"/>
      </w:divBdr>
    </w:div>
    <w:div w:id="18733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nergyrating.gov.au/suppliers/registr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nergyrating.gov.au/suppliers/complianc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nergyrating.gov.au/document/gems-compliance-policy-e3-progra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compliance@gem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reg.energyrating.gov.au/comparator/product_typ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eeR\AppData\Local\Temp\Temp1_GEMS%20Regulator%20Letter_template.dotx.zip\GEMS%20Regulator%20Lett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adb9bed2e36e4a93af574aeb444da63e xmlns="a36bd50b-1532-4c22-b385-5c082c960938">
      <Terms xmlns="http://schemas.microsoft.com/office/infopath/2007/PartnerControls">
        <TermInfo xmlns="http://schemas.microsoft.com/office/infopath/2007/PartnerControls">
          <TermName>Compliance</TermName>
          <TermId>c072f804-47ea-43fd-8652-288534f16b7e</TermId>
        </TermInfo>
      </Terms>
    </adb9bed2e36e4a93af574aeb444da63e>
    <n99e4c9942c6404eb103464a00e6097b xmlns="a36bd50b-1532-4c22-b385-5c082c960938">
      <Terms xmlns="http://schemas.microsoft.com/office/infopath/2007/PartnerControls">
        <TermInfo xmlns="http://schemas.microsoft.com/office/infopath/2007/PartnerControls">
          <TermName>2020-21</TermName>
          <TermId>fc8bd51e-588a-4169-a977-a72f113edbe3</TermId>
        </TermInfo>
      </Terms>
    </n99e4c9942c6404eb103464a00e6097b>
    <pe2555c81638466f9eb614edb9ecde52 xmlns="a36bd50b-1532-4c22-b385-5c082c960938">
      <Terms xmlns="http://schemas.microsoft.com/office/infopath/2007/PartnerControls">
        <TermInfo xmlns="http://schemas.microsoft.com/office/infopath/2007/PartnerControls">
          <TermName>Report</TermName>
          <TermId>116a9244-cef6-47ce-a9a5-088c9cf21292</TermId>
        </TermInfo>
      </Terms>
    </pe2555c81638466f9eb614edb9ecde52>
    <aa25a1a23adf4c92a153145de6afe324 xmlns="a36bd50b-1532-4c22-b385-5c082c960938">
      <Terms xmlns="http://schemas.microsoft.com/office/infopath/2007/PartnerControls">
        <TermInfo xmlns="http://schemas.microsoft.com/office/infopath/2007/PartnerControls">
          <TermName>OFFICIAL</TermName>
          <TermId>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Compliance Monitoring</TermName>
          <TermId>03f4d2e6-3ad5-439d-b6c7-0fb6c75d8579</TermId>
        </TermInfo>
      </Terms>
    </g7bcb40ba23249a78edca7d43a67c1c9>
    <TaxCatchAll xmlns="a36bd50b-1532-4c22-b385-5c082c960938">
      <Value>320</Value>
      <Value>61</Value>
      <Value>73</Value>
      <Value>745</Value>
      <Value>1</Value>
    </TaxCatchAll>
    <i78d807839a8455b89cd38510df6ee99 xmlns="d92934b5-032c-4da3-958e-788fdb9771c1">
      <Terms xmlns="http://schemas.microsoft.com/office/infopath/2007/PartnerControls"/>
    </i78d807839a8455b89cd38510df6ee99>
    <DocHub_CaseNumber xmlns="d92934b5-032c-4da3-958e-788fdb9771c1">GEMS Compliance Administration</DocHub_CaseNumber>
    <c7f2348e32c64783a961eaa12e03255f xmlns="d92934b5-032c-4da3-958e-788fdb9771c1">
      <Terms xmlns="http://schemas.microsoft.com/office/infopath/2007/PartnerControls"/>
    </c7f2348e32c64783a961eaa12e03255f>
    <Comments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98E6C3EAE1614F946F9A93062BA094" ma:contentTypeVersion="24" ma:contentTypeDescription="Create a new document." ma:contentTypeScope="" ma:versionID="d6ba2fcbd8f8d51a696d045fecb2154d">
  <xsd:schema xmlns:xsd="http://www.w3.org/2001/XMLSchema" xmlns:xs="http://www.w3.org/2001/XMLSchema" xmlns:p="http://schemas.microsoft.com/office/2006/metadata/properties" xmlns:ns1="http://schemas.microsoft.com/sharepoint/v3" xmlns:ns2="a36bd50b-1532-4c22-b385-5c082c960938" xmlns:ns3="d92934b5-032c-4da3-958e-788fdb9771c1" xmlns:ns4="http://schemas.microsoft.com/sharepoint/v4" xmlns:ns5="http://schemas.microsoft.com/sharepoint/v3/fields" targetNamespace="http://schemas.microsoft.com/office/2006/metadata/properties" ma:root="true" ma:fieldsID="dfdcc1cfe612f46751357a4086bb3190" ns1:_="" ns2:_="" ns3:_="" ns4:_="" ns5:_="">
    <xsd:import namespace="http://schemas.microsoft.com/sharepoint/v3"/>
    <xsd:import namespace="a36bd50b-1532-4c22-b385-5c082c960938"/>
    <xsd:import namespace="d92934b5-032c-4da3-958e-788fdb9771c1"/>
    <xsd:import namespace="http://schemas.microsoft.com/sharepoint/v4"/>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DocHub_CaseNumber" minOccurs="0"/>
                <xsd:element ref="ns3:i78d807839a8455b89cd38510df6ee99" minOccurs="0"/>
                <xsd:element ref="ns3:c7f2348e32c64783a961eaa12e03255f" minOccurs="0"/>
                <xsd:element ref="ns4:IconOverlay" minOccurs="0"/>
                <xsd:element ref="ns3:SharedWithUsers" minOccurs="0"/>
                <xsd:element ref="ns5: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2e8ca0a-ece4-4eeb-9587-75e521e14479}" ma:internalName="TaxCatchAll" ma:showField="CatchAllData" ma:web="d92934b5-032c-4da3-958e-788fdb9771c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7a04eba-df4a-46cb-bbde-98e4bc5c05e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2934b5-032c-4da3-958e-788fdb9771c1" elementFormDefault="qualified">
    <xsd:import namespace="http://schemas.microsoft.com/office/2006/documentManagement/types"/>
    <xsd:import namespace="http://schemas.microsoft.com/office/infopath/2007/PartnerControls"/>
    <xsd:element name="DocHub_CaseNumber" ma:index="23" nillable="true" ma:displayName="Case Number" ma:internalName="DocHub_CaseNumber">
      <xsd:simpleType>
        <xsd:restriction base="dms:Text">
          <xsd:maxLength value="255"/>
        </xsd:restriction>
      </xsd:simpleType>
    </xsd:element>
    <xsd:element name="i78d807839a8455b89cd38510df6ee99" ma:index="25" nillable="true" ma:taxonomy="true" ma:internalName="i78d807839a8455b89cd38510df6ee99" ma:taxonomyFieldName="DocHub_CBDGEMSProduct" ma:displayName="Product" ma:indexed="true" ma:default="" ma:fieldId="{278d8078-39a8-455b-89cd-38510df6ee99}" ma:sspId="fb0313f7-9433-48c0-866e-9e0bbee59a50" ma:termSetId="7514b026-a28d-441f-9407-3c89991ed892" ma:anchorId="00000000-0000-0000-0000-000000000000" ma:open="true" ma:isKeyword="false">
      <xsd:complexType>
        <xsd:sequence>
          <xsd:element ref="pc:Terms" minOccurs="0" maxOccurs="1"/>
        </xsd:sequence>
      </xsd:complexType>
    </xsd:element>
    <xsd:element name="c7f2348e32c64783a961eaa12e03255f" ma:index="27" nillable="true" ma:taxonomy="true" ma:internalName="c7f2348e32c64783a961eaa12e03255f" ma:taxonomyFieldName="DocHub_EnergySecurityEfficiencyEntity" ma:displayName="Entity" ma:indexed="true" ma:default="" ma:fieldId="{c7f2348e-32c6-4783-a961-eaa12e03255f}" ma:sspId="fb0313f7-9433-48c0-866e-9e0bbee59a50" ma:termSetId="c0e5d4e7-ee7e-42b1-b5b6-10b845306c17" ma:anchorId="00000000-0000-0000-0000-000000000000" ma:open="true" ma:isKeyword="fals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30" nillable="true" ma:displayName="Date &amp; Time" ma:description="The date on which this resource was created" ma:format="DateTime" ma:indexed="tru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AFD68-0C0C-44CD-8E9F-F83EEFF322DD}">
  <ds:schemaRefs>
    <ds:schemaRef ds:uri="a36bd50b-1532-4c22-b385-5c082c960938"/>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d92934b5-032c-4da3-958e-788fdb9771c1"/>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F5D884DB-72E8-438F-8C2E-C62484B4B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d92934b5-032c-4da3-958e-788fdb9771c1"/>
    <ds:schemaRef ds:uri="http://schemas.microsoft.com/sharepoint/v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FDC7B-34AF-4169-8DFE-B4294389553C}">
  <ds:schemaRefs>
    <ds:schemaRef ds:uri="http://schemas.microsoft.com/sharepoint/events"/>
  </ds:schemaRefs>
</ds:datastoreItem>
</file>

<file path=customXml/itemProps4.xml><?xml version="1.0" encoding="utf-8"?>
<ds:datastoreItem xmlns:ds="http://schemas.openxmlformats.org/officeDocument/2006/customXml" ds:itemID="{8A81F2C6-EBF7-4698-A2CF-06CC7A8B3283}">
  <ds:schemaRefs>
    <ds:schemaRef ds:uri="http://schemas.microsoft.com/office/2006/metadata/longProperties"/>
  </ds:schemaRefs>
</ds:datastoreItem>
</file>

<file path=customXml/itemProps5.xml><?xml version="1.0" encoding="utf-8"?>
<ds:datastoreItem xmlns:ds="http://schemas.openxmlformats.org/officeDocument/2006/customXml" ds:itemID="{866E5F82-E4E6-4A39-AEC8-CF746908DAE5}">
  <ds:schemaRefs>
    <ds:schemaRef ds:uri="http://schemas.microsoft.com/sharepoint/v3/contenttype/forms"/>
  </ds:schemaRefs>
</ds:datastoreItem>
</file>

<file path=customXml/itemProps6.xml><?xml version="1.0" encoding="utf-8"?>
<ds:datastoreItem xmlns:ds="http://schemas.openxmlformats.org/officeDocument/2006/customXml" ds:itemID="{1A4B9406-4E07-4028-BBC5-D5E6C0BA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GEMS Regulator Letter_template</Template>
  <TotalTime>3</TotalTime>
  <Pages>2</Pages>
  <Words>779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Market Survelillance Results 2020-21</vt:lpstr>
    </vt:vector>
  </TitlesOfParts>
  <Company>Department of Industry and Science</Company>
  <LinksUpToDate>false</LinksUpToDate>
  <CharactersWithSpaces>5441</CharactersWithSpaces>
  <SharedDoc>false</SharedDoc>
  <HyperlinkBase/>
  <HLinks>
    <vt:vector size="12" baseType="variant">
      <vt:variant>
        <vt:i4>5963880</vt:i4>
      </vt:variant>
      <vt:variant>
        <vt:i4>0</vt:i4>
      </vt:variant>
      <vt:variant>
        <vt:i4>0</vt:i4>
      </vt:variant>
      <vt:variant>
        <vt:i4>5</vt:i4>
      </vt:variant>
      <vt:variant>
        <vt:lpwstr>http://www.innovation.gov.au/</vt:lpwstr>
      </vt:variant>
      <vt:variant>
        <vt:lpwstr/>
      </vt:variant>
      <vt:variant>
        <vt:i4>6488165</vt:i4>
      </vt:variant>
      <vt:variant>
        <vt:i4>2049</vt:i4>
      </vt:variant>
      <vt:variant>
        <vt:i4>1025</vt:i4>
      </vt:variant>
      <vt:variant>
        <vt:i4>1</vt:i4>
      </vt:variant>
      <vt:variant>
        <vt:lpwstr>DIICCSRTE_3 line_stacked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Survelillance Results 2020-21</dc:title>
  <dc:subject>Compliance</dc:subject>
  <dc:creator>GEMS Regulator</dc:creator>
  <cp:keywords>Compliance</cp:keywords>
  <dc:description/>
  <cp:lastModifiedBy>Brooks, Prue</cp:lastModifiedBy>
  <cp:revision>3</cp:revision>
  <cp:lastPrinted>2022-04-08T06:55:00Z</cp:lastPrinted>
  <dcterms:created xsi:type="dcterms:W3CDTF">2022-04-08T06:54:00Z</dcterms:created>
  <dcterms:modified xsi:type="dcterms:W3CDTF">2022-04-08T06:55:00Z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r8>3.1</vt:r8>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File Number">
    <vt:lpwstr/>
  </property>
  <property fmtid="{D5CDD505-2E9C-101B-9397-08002B2CF9AE}" pid="7" name="Document Category">
    <vt:lpwstr>Forms/Templates</vt:lpwstr>
  </property>
  <property fmtid="{D5CDD505-2E9C-101B-9397-08002B2CF9AE}" pid="8" name="ContentType">
    <vt:lpwstr>Intranet Document</vt:lpwstr>
  </property>
  <property fmtid="{D5CDD505-2E9C-101B-9397-08002B2CF9AE}" pid="9" name="PublishingContact">
    <vt:lpwstr/>
  </property>
  <property fmtid="{D5CDD505-2E9C-101B-9397-08002B2CF9AE}" pid="10" name="display_urn:schemas-microsoft-com:office:office#Editor">
    <vt:lpwstr>Gardiner, Amy</vt:lpwstr>
  </property>
  <property fmtid="{D5CDD505-2E9C-101B-9397-08002B2CF9AE}" pid="11" name="xd_Signature">
    <vt:lpwstr/>
  </property>
  <property fmtid="{D5CDD505-2E9C-101B-9397-08002B2CF9AE}" pid="12" name="TemplateUrl">
    <vt:lpwstr/>
  </property>
  <property fmtid="{D5CDD505-2E9C-101B-9397-08002B2CF9AE}" pid="13" name="xd_ProgID">
    <vt:lpwstr/>
  </property>
  <property fmtid="{D5CDD505-2E9C-101B-9397-08002B2CF9AE}" pid="14" name="PublishingStartDate">
    <vt:lpwstr/>
  </property>
  <property fmtid="{D5CDD505-2E9C-101B-9397-08002B2CF9AE}" pid="15" name="PublishingExpirationDate">
    <vt:lpwstr/>
  </property>
  <property fmtid="{D5CDD505-2E9C-101B-9397-08002B2CF9AE}" pid="16" name="display_urn:schemas-microsoft-com:office:office#Author">
    <vt:lpwstr>Gardiner, Amy</vt:lpwstr>
  </property>
  <property fmtid="{D5CDD505-2E9C-101B-9397-08002B2CF9AE}" pid="17" name="ContentTypeId">
    <vt:lpwstr>0x0101009798E6C3EAE1614F946F9A93062BA094</vt:lpwstr>
  </property>
  <property fmtid="{D5CDD505-2E9C-101B-9397-08002B2CF9AE}" pid="18" name="RecordPoint_WorkflowType">
    <vt:lpwstr>ActiveSubmitStub</vt:lpwstr>
  </property>
  <property fmtid="{D5CDD505-2E9C-101B-9397-08002B2CF9AE}" pid="19" name="RecordPoint_ActiveItemListId">
    <vt:lpwstr>{2292419f-6140-4806-8b65-9045d0c6d5a9}</vt:lpwstr>
  </property>
  <property fmtid="{D5CDD505-2E9C-101B-9397-08002B2CF9AE}" pid="20" name="RecordPoint_ActiveItemUniqueId">
    <vt:lpwstr>{5b346599-bc28-43cf-b20e-12bb5a2e5a14}</vt:lpwstr>
  </property>
  <property fmtid="{D5CDD505-2E9C-101B-9397-08002B2CF9AE}" pid="21" name="RecordPoint_ActiveItemWebId">
    <vt:lpwstr>{7f8fbf13-1c02-4ddf-ad5c-9013fd1a2fbc}</vt:lpwstr>
  </property>
  <property fmtid="{D5CDD505-2E9C-101B-9397-08002B2CF9AE}" pid="22" name="RecordPoint_ActiveItemSiteId">
    <vt:lpwstr>{5d5943af-3559-4aa8-b232-61db5aa26396}</vt:lpwstr>
  </property>
  <property fmtid="{D5CDD505-2E9C-101B-9397-08002B2CF9AE}" pid="23" name="RecordPoint_RecordNumberSubmitted">
    <vt:lpwstr>002561969</vt:lpwstr>
  </property>
  <property fmtid="{D5CDD505-2E9C-101B-9397-08002B2CF9AE}" pid="24" name="RecordPoint_SubmissionCompleted">
    <vt:lpwstr>2018-12-09T01:34:12.8628632+11:00</vt:lpwstr>
  </property>
  <property fmtid="{D5CDD505-2E9C-101B-9397-08002B2CF9AE}" pid="25" name="DocHub_Year">
    <vt:lpwstr>320;#2020-21|fc8bd51e-588a-4169-a977-a72f113edbe3</vt:lpwstr>
  </property>
  <property fmtid="{D5CDD505-2E9C-101B-9397-08002B2CF9AE}" pid="26" name="DocHub_DocumentType">
    <vt:lpwstr>73;#Report|116a9244-cef6-47ce-a9a5-088c9cf21292</vt:lpwstr>
  </property>
  <property fmtid="{D5CDD505-2E9C-101B-9397-08002B2CF9AE}" pid="27" name="DocHub_EnergySecurityEfficiencyEntity">
    <vt:lpwstr/>
  </property>
  <property fmtid="{D5CDD505-2E9C-101B-9397-08002B2CF9AE}" pid="28" name="DocHub_SecurityClassification">
    <vt:lpwstr>1;#OFFICIAL|6106d03b-a1a0-4e30-9d91-d5e9fb4314f9</vt:lpwstr>
  </property>
  <property fmtid="{D5CDD505-2E9C-101B-9397-08002B2CF9AE}" pid="29" name="DocHub_CBDGEMSProduct">
    <vt:lpwstr/>
  </property>
  <property fmtid="{D5CDD505-2E9C-101B-9397-08002B2CF9AE}" pid="30" name="DocHub_Keywords">
    <vt:lpwstr>745;#Compliance|c072f804-47ea-43fd-8652-288534f16b7e</vt:lpwstr>
  </property>
  <property fmtid="{D5CDD505-2E9C-101B-9397-08002B2CF9AE}" pid="31" name="DocHub_WorkActivity">
    <vt:lpwstr>61;#Compliance Monitoring|03f4d2e6-3ad5-439d-b6c7-0fb6c75d8579</vt:lpwstr>
  </property>
</Properties>
</file>