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A034E" w14:textId="77777777" w:rsidR="00A22AB1" w:rsidRDefault="008E332E" w:rsidP="00B279BE">
      <w:pPr>
        <w:spacing w:after="0"/>
      </w:pPr>
      <w:r>
        <w:rPr>
          <w:noProof/>
          <w:lang w:val="en-AU" w:eastAsia="en-AU"/>
        </w:rPr>
        <mc:AlternateContent>
          <mc:Choice Requires="wps">
            <w:drawing>
              <wp:anchor distT="0" distB="0" distL="114300" distR="114300" simplePos="0" relativeHeight="251655168" behindDoc="0" locked="0" layoutInCell="1" allowOverlap="1" wp14:anchorId="6A078145" wp14:editId="3CF72A3B">
                <wp:simplePos x="0" y="0"/>
                <wp:positionH relativeFrom="column">
                  <wp:posOffset>-396562</wp:posOffset>
                </wp:positionH>
                <wp:positionV relativeFrom="paragraph">
                  <wp:posOffset>2165350</wp:posOffset>
                </wp:positionV>
                <wp:extent cx="6000750" cy="2076450"/>
                <wp:effectExtent l="0" t="0" r="0" b="0"/>
                <wp:wrapNone/>
                <wp:docPr id="12" name="Rectangle 6"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2076450"/>
                        </a:xfrm>
                        <a:prstGeom prst="rect">
                          <a:avLst/>
                        </a:prstGeom>
                        <a:solidFill>
                          <a:srgbClr val="E8D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A6537" id="Rectangle 6" o:spid="_x0000_s1026" alt="&quot;&quot;" style="position:absolute;margin-left:-31.25pt;margin-top:170.5pt;width:472.5pt;height:16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" fillcolor="#e8dafa" stroked="f"/>
            </w:pict>
          </mc:Fallback>
        </mc:AlternateContent>
      </w:r>
      <w:r>
        <w:rPr>
          <w:noProof/>
          <w:lang w:val="en-AU" w:eastAsia="en-AU"/>
        </w:rPr>
        <mc:AlternateContent>
          <mc:Choice Requires="wps">
            <w:drawing>
              <wp:anchor distT="0" distB="0" distL="114300" distR="114300" simplePos="0" relativeHeight="251656192" behindDoc="0" locked="0" layoutInCell="1" allowOverlap="1" wp14:anchorId="711BDE11" wp14:editId="55231AB3">
                <wp:simplePos x="0" y="0"/>
                <wp:positionH relativeFrom="column">
                  <wp:posOffset>-361950</wp:posOffset>
                </wp:positionH>
                <wp:positionV relativeFrom="paragraph">
                  <wp:posOffset>2114550</wp:posOffset>
                </wp:positionV>
                <wp:extent cx="5772150" cy="219837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19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C64A5" w14:textId="77777777" w:rsidR="00141A3C" w:rsidRDefault="00141A3C" w:rsidP="00A07FE8">
                            <w:pPr>
                              <w:pStyle w:val="Title"/>
                              <w:rPr>
                                <w:lang w:val="en-GB"/>
                              </w:rPr>
                            </w:pPr>
                            <w:r>
                              <w:t>Department of Industry</w:t>
                            </w:r>
                            <w:r>
                              <w:rPr>
                                <w:lang w:val="en-GB"/>
                              </w:rPr>
                              <w:t xml:space="preserve"> and Science</w:t>
                            </w:r>
                          </w:p>
                          <w:p w14:paraId="327DF292" w14:textId="77777777" w:rsidR="00141A3C" w:rsidRPr="000117EE" w:rsidRDefault="00141A3C" w:rsidP="00A07FE8">
                            <w:pPr>
                              <w:pStyle w:val="Title"/>
                              <w:rPr>
                                <w:color w:val="auto"/>
                                <w:lang w:val="en-GB"/>
                              </w:rPr>
                            </w:pPr>
                            <w:r w:rsidRPr="00A07FE8">
                              <w:rPr>
                                <w:sz w:val="36"/>
                                <w:szCs w:val="36"/>
                                <w:lang w:val="en-GB"/>
                              </w:rPr>
                              <w:t>On behalf of the E3 Committee</w:t>
                            </w:r>
                            <w:r>
                              <w:br/>
                            </w:r>
                            <w:r>
                              <w:rPr>
                                <w:color w:val="auto"/>
                                <w:lang w:val="en-GB"/>
                              </w:rPr>
                              <w:t>Greenhouse and Energy Minimum Standards (</w:t>
                            </w:r>
                            <w:r w:rsidRPr="009F7FF9">
                              <w:rPr>
                                <w:color w:val="auto"/>
                              </w:rPr>
                              <w:t>GEMS</w:t>
                            </w:r>
                            <w:r>
                              <w:rPr>
                                <w:color w:val="auto"/>
                                <w:lang w:val="en-GB"/>
                              </w:rPr>
                              <w:t>)</w:t>
                            </w:r>
                            <w:r w:rsidRPr="009F7FF9">
                              <w:rPr>
                                <w:color w:val="auto"/>
                              </w:rPr>
                              <w:t xml:space="preserve"> Review </w:t>
                            </w:r>
                            <w:r>
                              <w:rPr>
                                <w:color w:val="auto"/>
                                <w:lang w:val="en-AU"/>
                              </w:rPr>
                              <w:t xml:space="preserve">2015 </w:t>
                            </w:r>
                            <w:r>
                              <w:rPr>
                                <w:color w:val="auto"/>
                                <w:lang w:val="en-GB"/>
                              </w:rPr>
                              <w:t>Report</w:t>
                            </w:r>
                          </w:p>
                          <w:p w14:paraId="24CFA2C8" w14:textId="77777777" w:rsidR="00141A3C" w:rsidRPr="00631667" w:rsidRDefault="00141A3C" w:rsidP="000117EE">
                            <w:pPr>
                              <w:pStyle w:val="Title"/>
                              <w:jc w:val="left"/>
                              <w:rPr>
                                <w:color w:val="auto"/>
                                <w:lang w:val="en-GB"/>
                              </w:rPr>
                            </w:pPr>
                            <w:r>
                              <w:rPr>
                                <w:color w:val="auto"/>
                              </w:rPr>
                              <w:t>F</w:t>
                            </w:r>
                            <w:r>
                              <w:rPr>
                                <w:color w:val="auto"/>
                                <w:lang w:val="en-GB"/>
                              </w:rPr>
                              <w:t>INAL DRAFT</w:t>
                            </w:r>
                          </w:p>
                          <w:p w14:paraId="4CA4A108" w14:textId="77777777" w:rsidR="00141A3C" w:rsidRPr="007F2F3F" w:rsidRDefault="00141A3C" w:rsidP="000117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1BDE11" id="_x0000_t202" coordsize="21600,21600" o:spt="202" path="m,l,21600r21600,l21600,xe">
                <v:stroke joinstyle="miter"/>
                <v:path gradientshapeok="t" o:connecttype="rect"/>
              </v:shapetype>
              <v:shape id="Text Box 2" o:spid="_x0000_s1026" type="#_x0000_t202" style="position:absolute;margin-left:-28.5pt;margin-top:166.5pt;width:454.5pt;height:173.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" filled="f" stroked="f">
                <v:textbox>
                  <w:txbxContent>
                    <w:p w14:paraId="6C0C64A5" w14:textId="77777777" w:rsidR="00141A3C" w:rsidRDefault="00141A3C" w:rsidP="00A07FE8">
                      <w:pPr>
                        <w:pStyle w:val="Title"/>
                        <w:rPr>
                          <w:lang w:val="en-GB"/>
                        </w:rPr>
                      </w:pPr>
                      <w:r>
                        <w:t>Department of Industry</w:t>
                      </w:r>
                      <w:r>
                        <w:rPr>
                          <w:lang w:val="en-GB"/>
                        </w:rPr>
                        <w:t xml:space="preserve"> and Science</w:t>
                      </w:r>
                    </w:p>
                    <w:p w14:paraId="327DF292" w14:textId="77777777" w:rsidR="00141A3C" w:rsidRPr="000117EE" w:rsidRDefault="00141A3C" w:rsidP="00A07FE8">
                      <w:pPr>
                        <w:pStyle w:val="Title"/>
                        <w:rPr>
                          <w:color w:val="auto"/>
                          <w:lang w:val="en-GB"/>
                        </w:rPr>
                      </w:pPr>
                      <w:r w:rsidRPr="00A07FE8">
                        <w:rPr>
                          <w:sz w:val="36"/>
                          <w:szCs w:val="36"/>
                          <w:lang w:val="en-GB"/>
                        </w:rPr>
                        <w:t>On behalf of the E3 Committee</w:t>
                      </w:r>
                      <w:r>
                        <w:br/>
                      </w:r>
                      <w:r>
                        <w:rPr>
                          <w:color w:val="auto"/>
                          <w:lang w:val="en-GB"/>
                        </w:rPr>
                        <w:t>Greenhouse and Energy Minimum Standards (</w:t>
                      </w:r>
                      <w:r w:rsidRPr="009F7FF9">
                        <w:rPr>
                          <w:color w:val="auto"/>
                        </w:rPr>
                        <w:t>GEMS</w:t>
                      </w:r>
                      <w:r>
                        <w:rPr>
                          <w:color w:val="auto"/>
                          <w:lang w:val="en-GB"/>
                        </w:rPr>
                        <w:t>)</w:t>
                      </w:r>
                      <w:r w:rsidRPr="009F7FF9">
                        <w:rPr>
                          <w:color w:val="auto"/>
                        </w:rPr>
                        <w:t xml:space="preserve"> Review </w:t>
                      </w:r>
                      <w:r>
                        <w:rPr>
                          <w:color w:val="auto"/>
                          <w:lang w:val="en-AU"/>
                        </w:rPr>
                        <w:t xml:space="preserve">2015 </w:t>
                      </w:r>
                      <w:r>
                        <w:rPr>
                          <w:color w:val="auto"/>
                          <w:lang w:val="en-GB"/>
                        </w:rPr>
                        <w:t>Report</w:t>
                      </w:r>
                    </w:p>
                    <w:p w14:paraId="24CFA2C8" w14:textId="77777777" w:rsidR="00141A3C" w:rsidRPr="00631667" w:rsidRDefault="00141A3C" w:rsidP="000117EE">
                      <w:pPr>
                        <w:pStyle w:val="Title"/>
                        <w:jc w:val="left"/>
                        <w:rPr>
                          <w:color w:val="auto"/>
                          <w:lang w:val="en-GB"/>
                        </w:rPr>
                      </w:pPr>
                      <w:r>
                        <w:rPr>
                          <w:color w:val="auto"/>
                        </w:rPr>
                        <w:t>F</w:t>
                      </w:r>
                      <w:r>
                        <w:rPr>
                          <w:color w:val="auto"/>
                          <w:lang w:val="en-GB"/>
                        </w:rPr>
                        <w:t>INAL DRAFT</w:t>
                      </w:r>
                    </w:p>
                    <w:p w14:paraId="4CA4A108" w14:textId="77777777" w:rsidR="00141A3C" w:rsidRPr="007F2F3F" w:rsidRDefault="00141A3C" w:rsidP="000117EE"/>
                  </w:txbxContent>
                </v:textbox>
              </v:shape>
            </w:pict>
          </mc:Fallback>
        </mc:AlternateContent>
      </w:r>
      <w:r>
        <w:rPr>
          <w:noProof/>
          <w:lang w:val="en-AU" w:eastAsia="en-AU"/>
        </w:rPr>
        <w:drawing>
          <wp:anchor distT="0" distB="0" distL="114300" distR="114300" simplePos="0" relativeHeight="251660288" behindDoc="1" locked="0" layoutInCell="1" allowOverlap="1" wp14:anchorId="3EC42DDA" wp14:editId="071FE275">
            <wp:simplePos x="0" y="0"/>
            <wp:positionH relativeFrom="page">
              <wp:posOffset>-19050</wp:posOffset>
            </wp:positionH>
            <wp:positionV relativeFrom="page">
              <wp:posOffset>-38100</wp:posOffset>
            </wp:positionV>
            <wp:extent cx="7639050" cy="10782300"/>
            <wp:effectExtent l="0" t="0" r="0" b="0"/>
            <wp:wrapNone/>
            <wp:docPr id="10"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build Cov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39050" cy="1078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5A0C">
        <w:br w:type="page"/>
      </w:r>
    </w:p>
    <w:p w14:paraId="6E7D9209" w14:textId="77777777" w:rsidR="00A22AB1" w:rsidRDefault="00A22AB1" w:rsidP="009F4031">
      <w:pPr>
        <w:pStyle w:val="Footer"/>
        <w:spacing w:line="276" w:lineRule="auto"/>
      </w:pPr>
    </w:p>
    <w:p w14:paraId="62586724" w14:textId="77777777" w:rsidR="00A22AB1" w:rsidRDefault="00A22AB1" w:rsidP="009F4031">
      <w:pPr>
        <w:pStyle w:val="Footer"/>
        <w:spacing w:line="276" w:lineRule="auto"/>
      </w:pPr>
    </w:p>
    <w:p w14:paraId="7479C44A" w14:textId="77777777" w:rsidR="00A22AB1" w:rsidRDefault="00A22AB1" w:rsidP="009F4031">
      <w:pPr>
        <w:pStyle w:val="Footer"/>
        <w:spacing w:line="276" w:lineRule="auto"/>
      </w:pPr>
    </w:p>
    <w:tbl>
      <w:tblPr>
        <w:tblW w:w="0" w:type="auto"/>
        <w:tblInd w:w="978" w:type="dxa"/>
        <w:tblLook w:val="04A0" w:firstRow="1" w:lastRow="0" w:firstColumn="1" w:lastColumn="0" w:noHBand="0" w:noVBand="1"/>
      </w:tblPr>
      <w:tblGrid>
        <w:gridCol w:w="3520"/>
        <w:gridCol w:w="3567"/>
      </w:tblGrid>
      <w:tr w:rsidR="00A22AB1" w:rsidRPr="00434CF4" w14:paraId="42F22C61" w14:textId="77777777" w:rsidTr="00434CF4">
        <w:tc>
          <w:tcPr>
            <w:tcW w:w="3520" w:type="dxa"/>
            <w:shd w:val="clear" w:color="auto" w:fill="auto"/>
          </w:tcPr>
          <w:p w14:paraId="7E6C4084" w14:textId="77777777" w:rsidR="00A22AB1" w:rsidRPr="00FC302F" w:rsidRDefault="00A22AB1" w:rsidP="00FC302F">
            <w:pPr>
              <w:rPr>
                <w:b/>
              </w:rPr>
            </w:pPr>
            <w:r w:rsidRPr="00FC302F">
              <w:rPr>
                <w:b/>
              </w:rPr>
              <w:t>Report Name</w:t>
            </w:r>
          </w:p>
        </w:tc>
        <w:tc>
          <w:tcPr>
            <w:tcW w:w="3567" w:type="dxa"/>
            <w:shd w:val="clear" w:color="auto" w:fill="auto"/>
          </w:tcPr>
          <w:p w14:paraId="19F40F0D" w14:textId="77777777" w:rsidR="00A22AB1" w:rsidRPr="00434CF4" w:rsidRDefault="00D510EA" w:rsidP="00FC302F">
            <w:r w:rsidRPr="00434CF4">
              <w:t xml:space="preserve">GEMS Review </w:t>
            </w:r>
            <w:r w:rsidR="000C1ADA">
              <w:t xml:space="preserve">– final report </w:t>
            </w:r>
          </w:p>
        </w:tc>
      </w:tr>
      <w:tr w:rsidR="00A22AB1" w:rsidRPr="00434CF4" w14:paraId="3DF0C581" w14:textId="77777777" w:rsidTr="00434CF4">
        <w:tc>
          <w:tcPr>
            <w:tcW w:w="3520" w:type="dxa"/>
            <w:shd w:val="clear" w:color="auto" w:fill="auto"/>
          </w:tcPr>
          <w:p w14:paraId="5F9D6A17" w14:textId="77777777" w:rsidR="00A22AB1" w:rsidRPr="00FC302F" w:rsidRDefault="00192DAA" w:rsidP="00FC302F">
            <w:pPr>
              <w:rPr>
                <w:b/>
              </w:rPr>
            </w:pPr>
            <w:r w:rsidRPr="00FC302F">
              <w:rPr>
                <w:b/>
              </w:rPr>
              <w:t>Prepare</w:t>
            </w:r>
            <w:r w:rsidR="009D1129" w:rsidRPr="00FC302F">
              <w:rPr>
                <w:b/>
              </w:rPr>
              <w:t>d</w:t>
            </w:r>
            <w:r w:rsidRPr="00FC302F">
              <w:rPr>
                <w:b/>
              </w:rPr>
              <w:t xml:space="preserve"> for</w:t>
            </w:r>
          </w:p>
        </w:tc>
        <w:tc>
          <w:tcPr>
            <w:tcW w:w="3567" w:type="dxa"/>
            <w:shd w:val="clear" w:color="auto" w:fill="auto"/>
          </w:tcPr>
          <w:p w14:paraId="34FBE0ED" w14:textId="77777777" w:rsidR="00A22AB1" w:rsidRPr="00434CF4" w:rsidRDefault="00D510EA" w:rsidP="00FC302F">
            <w:r w:rsidRPr="00434CF4">
              <w:rPr>
                <w:noProof/>
              </w:rPr>
              <w:t>Department of Industry</w:t>
            </w:r>
            <w:r w:rsidR="00D63A08">
              <w:rPr>
                <w:noProof/>
              </w:rPr>
              <w:t xml:space="preserve"> and Science</w:t>
            </w:r>
            <w:r w:rsidR="00182AFF">
              <w:rPr>
                <w:noProof/>
              </w:rPr>
              <w:t xml:space="preserve">, on behalf of </w:t>
            </w:r>
            <w:r w:rsidR="00D367AC">
              <w:rPr>
                <w:noProof/>
              </w:rPr>
              <w:t xml:space="preserve">the </w:t>
            </w:r>
            <w:r w:rsidR="00182AFF">
              <w:rPr>
                <w:noProof/>
              </w:rPr>
              <w:t>E3 Committee</w:t>
            </w:r>
          </w:p>
        </w:tc>
      </w:tr>
      <w:tr w:rsidR="00A22AB1" w:rsidRPr="00434CF4" w14:paraId="1A3071BF" w14:textId="77777777" w:rsidTr="00434CF4">
        <w:tc>
          <w:tcPr>
            <w:tcW w:w="3520" w:type="dxa"/>
            <w:shd w:val="clear" w:color="auto" w:fill="auto"/>
          </w:tcPr>
          <w:p w14:paraId="58D5C4CC" w14:textId="77777777" w:rsidR="00A22AB1" w:rsidRPr="00FC302F" w:rsidRDefault="00A22AB1" w:rsidP="00FC302F">
            <w:pPr>
              <w:rPr>
                <w:b/>
              </w:rPr>
            </w:pPr>
            <w:r w:rsidRPr="00FC302F">
              <w:rPr>
                <w:b/>
              </w:rPr>
              <w:t>Authors</w:t>
            </w:r>
          </w:p>
        </w:tc>
        <w:tc>
          <w:tcPr>
            <w:tcW w:w="3567" w:type="dxa"/>
            <w:shd w:val="clear" w:color="auto" w:fill="auto"/>
          </w:tcPr>
          <w:p w14:paraId="1BEBA545" w14:textId="77777777" w:rsidR="00B95D60" w:rsidRDefault="00436553" w:rsidP="00FC302F">
            <w:r>
              <w:t>David Kenington</w:t>
            </w:r>
          </w:p>
          <w:p w14:paraId="3A3015C5" w14:textId="77777777" w:rsidR="00B55308" w:rsidRPr="00434CF4" w:rsidRDefault="00B55308" w:rsidP="00FC302F">
            <w:r>
              <w:t>Rachel Clarkson</w:t>
            </w:r>
          </w:p>
          <w:p w14:paraId="61BFE7E7" w14:textId="77777777" w:rsidR="009A6A5C" w:rsidRPr="00434CF4" w:rsidRDefault="009A6A5C" w:rsidP="00FC302F"/>
        </w:tc>
      </w:tr>
      <w:tr w:rsidR="00A22AB1" w:rsidRPr="00434CF4" w14:paraId="10793EE2" w14:textId="77777777" w:rsidTr="00434CF4">
        <w:tc>
          <w:tcPr>
            <w:tcW w:w="3520" w:type="dxa"/>
            <w:shd w:val="clear" w:color="auto" w:fill="auto"/>
          </w:tcPr>
          <w:p w14:paraId="4F886448" w14:textId="77777777" w:rsidR="00A22AB1" w:rsidRPr="00FC302F" w:rsidRDefault="009D1129" w:rsidP="00FC302F">
            <w:pPr>
              <w:rPr>
                <w:b/>
              </w:rPr>
            </w:pPr>
            <w:r w:rsidRPr="00FC302F">
              <w:rPr>
                <w:b/>
              </w:rPr>
              <w:t>Approved by</w:t>
            </w:r>
          </w:p>
        </w:tc>
        <w:tc>
          <w:tcPr>
            <w:tcW w:w="3567" w:type="dxa"/>
            <w:shd w:val="clear" w:color="auto" w:fill="auto"/>
          </w:tcPr>
          <w:p w14:paraId="3E7C0B54" w14:textId="77777777" w:rsidR="00A22AB1" w:rsidRDefault="00B95D60" w:rsidP="00FC302F">
            <w:r w:rsidRPr="00434CF4">
              <w:t>David Kenington</w:t>
            </w:r>
            <w:r w:rsidR="00436553">
              <w:t xml:space="preserve"> </w:t>
            </w:r>
            <w:r w:rsidR="00FC302F">
              <w:t>/ Michelle McGuire</w:t>
            </w:r>
          </w:p>
          <w:p w14:paraId="37CB61F1" w14:textId="77777777" w:rsidR="00436553" w:rsidRPr="00434CF4" w:rsidRDefault="00436553" w:rsidP="00FC302F"/>
        </w:tc>
      </w:tr>
      <w:tr w:rsidR="00A22AB1" w:rsidRPr="00434CF4" w14:paraId="05A13DF2" w14:textId="77777777" w:rsidTr="00434CF4">
        <w:tc>
          <w:tcPr>
            <w:tcW w:w="3520" w:type="dxa"/>
            <w:shd w:val="clear" w:color="auto" w:fill="auto"/>
          </w:tcPr>
          <w:p w14:paraId="166E1FE6" w14:textId="77777777" w:rsidR="00A22AB1" w:rsidRPr="00FC302F" w:rsidRDefault="00A22AB1" w:rsidP="00FC302F">
            <w:pPr>
              <w:rPr>
                <w:b/>
              </w:rPr>
            </w:pPr>
            <w:r w:rsidRPr="00FC302F">
              <w:rPr>
                <w:b/>
              </w:rPr>
              <w:t>Date</w:t>
            </w:r>
          </w:p>
        </w:tc>
        <w:tc>
          <w:tcPr>
            <w:tcW w:w="3567" w:type="dxa"/>
            <w:shd w:val="clear" w:color="auto" w:fill="auto"/>
          </w:tcPr>
          <w:p w14:paraId="19CA6C16" w14:textId="77777777" w:rsidR="00A22AB1" w:rsidRPr="00434CF4" w:rsidRDefault="00007B30" w:rsidP="00007B30">
            <w:r>
              <w:t xml:space="preserve">15 June </w:t>
            </w:r>
            <w:r w:rsidR="00AC2901">
              <w:t>201</w:t>
            </w:r>
            <w:r w:rsidR="00631667">
              <w:t>5</w:t>
            </w:r>
          </w:p>
        </w:tc>
      </w:tr>
      <w:tr w:rsidR="00A22AB1" w:rsidRPr="00434CF4" w14:paraId="79877BA2" w14:textId="77777777" w:rsidTr="00434CF4">
        <w:tc>
          <w:tcPr>
            <w:tcW w:w="3520" w:type="dxa"/>
            <w:shd w:val="clear" w:color="auto" w:fill="auto"/>
          </w:tcPr>
          <w:p w14:paraId="15D21800" w14:textId="77777777" w:rsidR="00A22AB1" w:rsidRPr="00FC302F" w:rsidRDefault="00A22AB1" w:rsidP="00FC302F">
            <w:pPr>
              <w:rPr>
                <w:b/>
              </w:rPr>
            </w:pPr>
            <w:r w:rsidRPr="00FC302F">
              <w:rPr>
                <w:b/>
              </w:rPr>
              <w:t>Version</w:t>
            </w:r>
          </w:p>
        </w:tc>
        <w:tc>
          <w:tcPr>
            <w:tcW w:w="3567" w:type="dxa"/>
            <w:shd w:val="clear" w:color="auto" w:fill="auto"/>
          </w:tcPr>
          <w:p w14:paraId="37EF7C7C" w14:textId="77777777" w:rsidR="00A22AB1" w:rsidRPr="00434CF4" w:rsidRDefault="009D1129" w:rsidP="00FC302F">
            <w:r w:rsidRPr="00434CF4">
              <w:t>Version 1.</w:t>
            </w:r>
            <w:r w:rsidR="00997283">
              <w:t>5</w:t>
            </w:r>
            <w:r w:rsidR="00490867" w:rsidRPr="00434CF4">
              <w:t xml:space="preserve"> </w:t>
            </w:r>
          </w:p>
        </w:tc>
      </w:tr>
    </w:tbl>
    <w:p w14:paraId="5D9EE6D8" w14:textId="77777777" w:rsidR="00D31B95" w:rsidRDefault="008E332E" w:rsidP="00B279BE">
      <w:pPr>
        <w:pStyle w:val="Footer"/>
        <w:spacing w:after="240" w:line="276" w:lineRule="auto"/>
      </w:pPr>
      <w:r>
        <w:rPr>
          <w:noProof/>
          <w:lang w:val="en-AU" w:eastAsia="en-AU"/>
        </w:rPr>
        <w:drawing>
          <wp:anchor distT="0" distB="0" distL="114300" distR="114300" simplePos="0" relativeHeight="251657216" behindDoc="0" locked="0" layoutInCell="1" allowOverlap="1" wp14:anchorId="6D3F694F" wp14:editId="34B7EE7E">
            <wp:simplePos x="0" y="0"/>
            <wp:positionH relativeFrom="column">
              <wp:posOffset>271145</wp:posOffset>
            </wp:positionH>
            <wp:positionV relativeFrom="paragraph">
              <wp:posOffset>6369050</wp:posOffset>
            </wp:positionV>
            <wp:extent cx="3717290" cy="693420"/>
            <wp:effectExtent l="0" t="0" r="0" b="0"/>
            <wp:wrapNone/>
            <wp:docPr id="9" name="Picture 1" descr="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7290" cy="693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AC303" w14:textId="77777777" w:rsidR="00D31B95" w:rsidRDefault="008E332E" w:rsidP="009F4031">
      <w:pPr>
        <w:pStyle w:val="Footer"/>
        <w:spacing w:line="276" w:lineRule="auto"/>
        <w:jc w:val="center"/>
      </w:pPr>
      <w:r>
        <w:rPr>
          <w:noProof/>
          <w:lang w:val="en-AU" w:eastAsia="en-AU"/>
        </w:rPr>
        <w:drawing>
          <wp:inline distT="0" distB="0" distL="0" distR="0" wp14:anchorId="0F4515BE" wp14:editId="685FD5D0">
            <wp:extent cx="1910715" cy="955040"/>
            <wp:effectExtent l="0" t="0" r="0" b="0"/>
            <wp:docPr id="1" name="Picture 16" descr="Databui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tabuild Logo with transparency.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0715" cy="955040"/>
                    </a:xfrm>
                    <a:prstGeom prst="rect">
                      <a:avLst/>
                    </a:prstGeom>
                    <a:noFill/>
                    <a:ln>
                      <a:noFill/>
                    </a:ln>
                  </pic:spPr>
                </pic:pic>
              </a:graphicData>
            </a:graphic>
          </wp:inline>
        </w:drawing>
      </w:r>
    </w:p>
    <w:p w14:paraId="1BE81C10" w14:textId="77777777" w:rsidR="00D31B95" w:rsidRDefault="00D31B95" w:rsidP="009F4031">
      <w:pPr>
        <w:pStyle w:val="Footer"/>
        <w:spacing w:line="276" w:lineRule="auto"/>
        <w:jc w:val="center"/>
      </w:pPr>
    </w:p>
    <w:p w14:paraId="328960B7" w14:textId="77777777" w:rsidR="00D31B95" w:rsidRPr="00DB55DE" w:rsidRDefault="00E15207" w:rsidP="009F4031">
      <w:pPr>
        <w:spacing w:after="0"/>
        <w:jc w:val="center"/>
        <w:rPr>
          <w:color w:val="7F7F7F"/>
        </w:rPr>
      </w:pPr>
      <w:r>
        <w:rPr>
          <w:color w:val="7F7F7F"/>
        </w:rPr>
        <w:t>Databuild</w:t>
      </w:r>
      <w:r w:rsidR="00D31B95" w:rsidRPr="00DB55DE">
        <w:rPr>
          <w:color w:val="7F7F7F"/>
        </w:rPr>
        <w:t xml:space="preserve">, </w:t>
      </w:r>
      <w:r>
        <w:rPr>
          <w:color w:val="7F7F7F"/>
        </w:rPr>
        <w:t>Suite 1308</w:t>
      </w:r>
      <w:r w:rsidR="00D31B95" w:rsidRPr="00DB55DE">
        <w:rPr>
          <w:color w:val="7F7F7F"/>
        </w:rPr>
        <w:t>,</w:t>
      </w:r>
      <w:r>
        <w:rPr>
          <w:color w:val="7F7F7F"/>
        </w:rPr>
        <w:t xml:space="preserve"> 109 Pitt Street</w:t>
      </w:r>
      <w:r w:rsidR="00D31B95" w:rsidRPr="00DB55DE">
        <w:rPr>
          <w:color w:val="7F7F7F"/>
        </w:rPr>
        <w:t>,</w:t>
      </w:r>
      <w:r>
        <w:rPr>
          <w:color w:val="7F7F7F"/>
        </w:rPr>
        <w:t xml:space="preserve"> Sydney,</w:t>
      </w:r>
      <w:r w:rsidR="00D31B95" w:rsidRPr="00DB55DE">
        <w:rPr>
          <w:color w:val="7F7F7F"/>
        </w:rPr>
        <w:t xml:space="preserve"> </w:t>
      </w:r>
      <w:r>
        <w:rPr>
          <w:color w:val="7F7F7F"/>
        </w:rPr>
        <w:t>NSW 2000</w:t>
      </w:r>
      <w:r w:rsidR="00D31B95" w:rsidRPr="00DB55DE">
        <w:rPr>
          <w:color w:val="7F7F7F"/>
        </w:rPr>
        <w:t xml:space="preserve"> | +</w:t>
      </w:r>
      <w:r>
        <w:rPr>
          <w:color w:val="7F7F7F"/>
        </w:rPr>
        <w:t>61</w:t>
      </w:r>
      <w:r w:rsidR="00D31B95" w:rsidRPr="00DB55DE">
        <w:rPr>
          <w:color w:val="7F7F7F"/>
        </w:rPr>
        <w:t xml:space="preserve"> (0) </w:t>
      </w:r>
      <w:r>
        <w:rPr>
          <w:color w:val="7F7F7F"/>
        </w:rPr>
        <w:t>2</w:t>
      </w:r>
      <w:r w:rsidR="00D31B95" w:rsidRPr="00DB55DE">
        <w:rPr>
          <w:color w:val="7F7F7F"/>
        </w:rPr>
        <w:t xml:space="preserve"> </w:t>
      </w:r>
      <w:r>
        <w:rPr>
          <w:color w:val="7F7F7F"/>
        </w:rPr>
        <w:t>8437</w:t>
      </w:r>
      <w:r w:rsidR="00D31B95" w:rsidRPr="00DB55DE">
        <w:rPr>
          <w:color w:val="7F7F7F"/>
        </w:rPr>
        <w:t xml:space="preserve"> </w:t>
      </w:r>
      <w:r>
        <w:rPr>
          <w:color w:val="7F7F7F"/>
        </w:rPr>
        <w:t>3504</w:t>
      </w:r>
    </w:p>
    <w:p w14:paraId="5B500A38" w14:textId="77777777" w:rsidR="00DB55DE" w:rsidRDefault="00191947" w:rsidP="009F4031">
      <w:pPr>
        <w:spacing w:after="0"/>
        <w:jc w:val="center"/>
      </w:pPr>
      <w:r>
        <w:rPr>
          <w:color w:val="7F7F7F"/>
        </w:rPr>
        <w:t>research@data-build.com.au</w:t>
      </w:r>
      <w:r w:rsidR="00D31B95" w:rsidRPr="00DB55DE">
        <w:rPr>
          <w:color w:val="7F7F7F"/>
        </w:rPr>
        <w:t xml:space="preserve"> | </w:t>
      </w:r>
      <w:r w:rsidR="00D31B95" w:rsidRPr="00DB55DE">
        <w:rPr>
          <w:color w:val="7F7F7F"/>
          <w:u w:val="single"/>
        </w:rPr>
        <w:t>www.data-build.co</w:t>
      </w:r>
      <w:r>
        <w:rPr>
          <w:color w:val="7F7F7F"/>
          <w:u w:val="single"/>
        </w:rPr>
        <w:t>m.a</w:t>
      </w:r>
      <w:r w:rsidR="00BC44DC">
        <w:rPr>
          <w:color w:val="7F7F7F"/>
          <w:u w:val="single"/>
        </w:rPr>
        <w:t>u</w:t>
      </w:r>
    </w:p>
    <w:p w14:paraId="28A4F9F6" w14:textId="77777777" w:rsidR="00DB55DE" w:rsidRPr="00DB55DE" w:rsidRDefault="00DB55DE" w:rsidP="009F4031">
      <w:pPr>
        <w:spacing w:after="0"/>
        <w:jc w:val="center"/>
        <w:rPr>
          <w:color w:val="7F7F7F"/>
        </w:rPr>
      </w:pPr>
      <w:r w:rsidRPr="00DB55DE">
        <w:rPr>
          <w:color w:val="7F7F7F"/>
        </w:rPr>
        <w:t>Consider the environment. Please do not print this document or related</w:t>
      </w:r>
    </w:p>
    <w:p w14:paraId="5C161042" w14:textId="77777777" w:rsidR="00996A09" w:rsidRDefault="00DB55DE" w:rsidP="00B279BE">
      <w:pPr>
        <w:spacing w:after="0"/>
        <w:jc w:val="center"/>
      </w:pPr>
      <w:r w:rsidRPr="00DB55DE">
        <w:rPr>
          <w:color w:val="7F7F7F"/>
        </w:rPr>
        <w:t>documents unless necessary, or print in black and white if possible.</w:t>
      </w:r>
    </w:p>
    <w:p w14:paraId="557A8F2A" w14:textId="77777777" w:rsidR="00436553" w:rsidRDefault="00436553" w:rsidP="009F4031">
      <w:pPr>
        <w:spacing w:after="0"/>
      </w:pPr>
    </w:p>
    <w:p w14:paraId="59D31A45" w14:textId="77777777" w:rsidR="00436553" w:rsidRDefault="00436553" w:rsidP="009F4031">
      <w:pPr>
        <w:spacing w:after="0"/>
      </w:pPr>
    </w:p>
    <w:p w14:paraId="12A3A502" w14:textId="77777777" w:rsidR="00F51748" w:rsidRPr="00CD2AA9" w:rsidRDefault="00FC302F" w:rsidP="009F4031">
      <w:pPr>
        <w:spacing w:after="0"/>
        <w:rPr>
          <w:b/>
          <w:sz w:val="32"/>
        </w:rPr>
      </w:pPr>
      <w:bookmarkStart w:id="0" w:name="_Toc397519969"/>
      <w:r>
        <w:rPr>
          <w:b/>
          <w:color w:val="7030A0"/>
          <w:sz w:val="32"/>
        </w:rPr>
        <w:br w:type="page"/>
      </w:r>
      <w:r w:rsidR="00C00C24" w:rsidRPr="00CD2AA9">
        <w:rPr>
          <w:b/>
          <w:color w:val="7030A0"/>
          <w:sz w:val="32"/>
        </w:rPr>
        <w:lastRenderedPageBreak/>
        <w:t>Contents</w:t>
      </w:r>
      <w:bookmarkEnd w:id="0"/>
    </w:p>
    <w:p w14:paraId="2AFDEC55" w14:textId="77777777" w:rsidR="005E7515" w:rsidRPr="004E7F3B" w:rsidRDefault="00331CD9">
      <w:pPr>
        <w:pStyle w:val="TOC1"/>
        <w:tabs>
          <w:tab w:val="left" w:pos="440"/>
          <w:tab w:val="right" w:leader="dot" w:pos="9016"/>
        </w:tabs>
        <w:rPr>
          <w:noProof/>
          <w:szCs w:val="22"/>
          <w:lang w:val="en-AU" w:eastAsia="en-AU"/>
        </w:rPr>
      </w:pPr>
      <w:r>
        <w:fldChar w:fldCharType="begin"/>
      </w:r>
      <w:r w:rsidR="00C00C24">
        <w:instrText xml:space="preserve"> TOC \o "1-3" \h \z \u </w:instrText>
      </w:r>
      <w:r>
        <w:fldChar w:fldCharType="separate"/>
      </w:r>
      <w:hyperlink w:anchor="_Toc422298352" w:history="1">
        <w:r w:rsidR="005E7515" w:rsidRPr="00C04338">
          <w:rPr>
            <w:rStyle w:val="Hyperlink"/>
            <w:noProof/>
          </w:rPr>
          <w:t>1</w:t>
        </w:r>
        <w:r w:rsidR="005E7515" w:rsidRPr="004E7F3B">
          <w:rPr>
            <w:noProof/>
            <w:szCs w:val="22"/>
            <w:lang w:val="en-AU" w:eastAsia="en-AU"/>
          </w:rPr>
          <w:tab/>
        </w:r>
        <w:r w:rsidR="005E7515" w:rsidRPr="00C04338">
          <w:rPr>
            <w:rStyle w:val="Hyperlink"/>
            <w:noProof/>
          </w:rPr>
          <w:t>Glossary</w:t>
        </w:r>
        <w:r w:rsidR="005E7515">
          <w:rPr>
            <w:noProof/>
            <w:webHidden/>
          </w:rPr>
          <w:tab/>
        </w:r>
        <w:r w:rsidR="005E7515">
          <w:rPr>
            <w:noProof/>
            <w:webHidden/>
          </w:rPr>
          <w:fldChar w:fldCharType="begin"/>
        </w:r>
        <w:r w:rsidR="005E7515">
          <w:rPr>
            <w:noProof/>
            <w:webHidden/>
          </w:rPr>
          <w:instrText xml:space="preserve"> PAGEREF _Toc422298352 \h </w:instrText>
        </w:r>
        <w:r w:rsidR="005E7515">
          <w:rPr>
            <w:noProof/>
            <w:webHidden/>
          </w:rPr>
        </w:r>
        <w:r w:rsidR="005E7515">
          <w:rPr>
            <w:noProof/>
            <w:webHidden/>
          </w:rPr>
          <w:fldChar w:fldCharType="separate"/>
        </w:r>
        <w:r w:rsidR="005E7515">
          <w:rPr>
            <w:noProof/>
            <w:webHidden/>
          </w:rPr>
          <w:t>6</w:t>
        </w:r>
        <w:r w:rsidR="005E7515">
          <w:rPr>
            <w:noProof/>
            <w:webHidden/>
          </w:rPr>
          <w:fldChar w:fldCharType="end"/>
        </w:r>
      </w:hyperlink>
    </w:p>
    <w:p w14:paraId="6A6051F7" w14:textId="77777777" w:rsidR="005E7515" w:rsidRPr="004E7F3B" w:rsidRDefault="002B0E45">
      <w:pPr>
        <w:pStyle w:val="TOC1"/>
        <w:tabs>
          <w:tab w:val="left" w:pos="440"/>
          <w:tab w:val="right" w:leader="dot" w:pos="9016"/>
        </w:tabs>
        <w:rPr>
          <w:noProof/>
          <w:szCs w:val="22"/>
          <w:lang w:val="en-AU" w:eastAsia="en-AU"/>
        </w:rPr>
      </w:pPr>
      <w:hyperlink w:anchor="_Toc422298353" w:history="1">
        <w:r w:rsidR="005E7515" w:rsidRPr="00C04338">
          <w:rPr>
            <w:rStyle w:val="Hyperlink"/>
            <w:noProof/>
          </w:rPr>
          <w:t>2</w:t>
        </w:r>
        <w:r w:rsidR="005E7515" w:rsidRPr="004E7F3B">
          <w:rPr>
            <w:noProof/>
            <w:szCs w:val="22"/>
            <w:lang w:val="en-AU" w:eastAsia="en-AU"/>
          </w:rPr>
          <w:tab/>
        </w:r>
        <w:r w:rsidR="005E7515" w:rsidRPr="00C04338">
          <w:rPr>
            <w:rStyle w:val="Hyperlink"/>
            <w:noProof/>
          </w:rPr>
          <w:t>Executive Summary</w:t>
        </w:r>
        <w:r w:rsidR="005E7515">
          <w:rPr>
            <w:noProof/>
            <w:webHidden/>
          </w:rPr>
          <w:tab/>
        </w:r>
        <w:r w:rsidR="005E7515">
          <w:rPr>
            <w:noProof/>
            <w:webHidden/>
          </w:rPr>
          <w:fldChar w:fldCharType="begin"/>
        </w:r>
        <w:r w:rsidR="005E7515">
          <w:rPr>
            <w:noProof/>
            <w:webHidden/>
          </w:rPr>
          <w:instrText xml:space="preserve"> PAGEREF _Toc422298353 \h </w:instrText>
        </w:r>
        <w:r w:rsidR="005E7515">
          <w:rPr>
            <w:noProof/>
            <w:webHidden/>
          </w:rPr>
        </w:r>
        <w:r w:rsidR="005E7515">
          <w:rPr>
            <w:noProof/>
            <w:webHidden/>
          </w:rPr>
          <w:fldChar w:fldCharType="separate"/>
        </w:r>
        <w:r w:rsidR="005E7515">
          <w:rPr>
            <w:noProof/>
            <w:webHidden/>
          </w:rPr>
          <w:t>7</w:t>
        </w:r>
        <w:r w:rsidR="005E7515">
          <w:rPr>
            <w:noProof/>
            <w:webHidden/>
          </w:rPr>
          <w:fldChar w:fldCharType="end"/>
        </w:r>
      </w:hyperlink>
    </w:p>
    <w:p w14:paraId="0C356FD0" w14:textId="77777777" w:rsidR="005E7515" w:rsidRPr="004E7F3B" w:rsidRDefault="002B0E45">
      <w:pPr>
        <w:pStyle w:val="TOC2"/>
        <w:tabs>
          <w:tab w:val="left" w:pos="880"/>
          <w:tab w:val="right" w:leader="dot" w:pos="9016"/>
        </w:tabs>
        <w:rPr>
          <w:noProof/>
          <w:szCs w:val="22"/>
          <w:lang w:val="en-AU" w:eastAsia="en-AU"/>
        </w:rPr>
      </w:pPr>
      <w:hyperlink w:anchor="_Toc422298354" w:history="1">
        <w:r w:rsidR="005E7515" w:rsidRPr="00C04338">
          <w:rPr>
            <w:rStyle w:val="Hyperlink"/>
            <w:noProof/>
          </w:rPr>
          <w:t>2.1</w:t>
        </w:r>
        <w:r w:rsidR="005E7515" w:rsidRPr="004E7F3B">
          <w:rPr>
            <w:noProof/>
            <w:szCs w:val="22"/>
            <w:lang w:val="en-AU" w:eastAsia="en-AU"/>
          </w:rPr>
          <w:tab/>
        </w:r>
        <w:r w:rsidR="005E7515" w:rsidRPr="00C04338">
          <w:rPr>
            <w:rStyle w:val="Hyperlink"/>
            <w:noProof/>
          </w:rPr>
          <w:t>Introduction</w:t>
        </w:r>
        <w:r w:rsidR="005E7515">
          <w:rPr>
            <w:noProof/>
            <w:webHidden/>
          </w:rPr>
          <w:tab/>
        </w:r>
        <w:r w:rsidR="005E7515">
          <w:rPr>
            <w:noProof/>
            <w:webHidden/>
          </w:rPr>
          <w:fldChar w:fldCharType="begin"/>
        </w:r>
        <w:r w:rsidR="005E7515">
          <w:rPr>
            <w:noProof/>
            <w:webHidden/>
          </w:rPr>
          <w:instrText xml:space="preserve"> PAGEREF _Toc422298354 \h </w:instrText>
        </w:r>
        <w:r w:rsidR="005E7515">
          <w:rPr>
            <w:noProof/>
            <w:webHidden/>
          </w:rPr>
        </w:r>
        <w:r w:rsidR="005E7515">
          <w:rPr>
            <w:noProof/>
            <w:webHidden/>
          </w:rPr>
          <w:fldChar w:fldCharType="separate"/>
        </w:r>
        <w:r w:rsidR="005E7515">
          <w:rPr>
            <w:noProof/>
            <w:webHidden/>
          </w:rPr>
          <w:t>7</w:t>
        </w:r>
        <w:r w:rsidR="005E7515">
          <w:rPr>
            <w:noProof/>
            <w:webHidden/>
          </w:rPr>
          <w:fldChar w:fldCharType="end"/>
        </w:r>
      </w:hyperlink>
    </w:p>
    <w:p w14:paraId="790F346F" w14:textId="77777777" w:rsidR="005E7515" w:rsidRPr="004E7F3B" w:rsidRDefault="002B0E45">
      <w:pPr>
        <w:pStyle w:val="TOC2"/>
        <w:tabs>
          <w:tab w:val="left" w:pos="880"/>
          <w:tab w:val="right" w:leader="dot" w:pos="9016"/>
        </w:tabs>
        <w:rPr>
          <w:noProof/>
          <w:szCs w:val="22"/>
          <w:lang w:val="en-AU" w:eastAsia="en-AU"/>
        </w:rPr>
      </w:pPr>
      <w:hyperlink w:anchor="_Toc422298355" w:history="1">
        <w:r w:rsidR="005E7515" w:rsidRPr="00C04338">
          <w:rPr>
            <w:rStyle w:val="Hyperlink"/>
            <w:noProof/>
          </w:rPr>
          <w:t>2.2</w:t>
        </w:r>
        <w:r w:rsidR="005E7515" w:rsidRPr="004E7F3B">
          <w:rPr>
            <w:noProof/>
            <w:szCs w:val="22"/>
            <w:lang w:val="en-AU" w:eastAsia="en-AU"/>
          </w:rPr>
          <w:tab/>
        </w:r>
        <w:r w:rsidR="005E7515" w:rsidRPr="00C04338">
          <w:rPr>
            <w:rStyle w:val="Hyperlink"/>
            <w:noProof/>
          </w:rPr>
          <w:t>Findings:  The case for policy intervention, types of intervention, scheme design and administration</w:t>
        </w:r>
        <w:r w:rsidR="005E7515">
          <w:rPr>
            <w:noProof/>
            <w:webHidden/>
          </w:rPr>
          <w:tab/>
        </w:r>
        <w:r w:rsidR="005E7515">
          <w:rPr>
            <w:noProof/>
            <w:webHidden/>
          </w:rPr>
          <w:fldChar w:fldCharType="begin"/>
        </w:r>
        <w:r w:rsidR="005E7515">
          <w:rPr>
            <w:noProof/>
            <w:webHidden/>
          </w:rPr>
          <w:instrText xml:space="preserve"> PAGEREF _Toc422298355 \h </w:instrText>
        </w:r>
        <w:r w:rsidR="005E7515">
          <w:rPr>
            <w:noProof/>
            <w:webHidden/>
          </w:rPr>
        </w:r>
        <w:r w:rsidR="005E7515">
          <w:rPr>
            <w:noProof/>
            <w:webHidden/>
          </w:rPr>
          <w:fldChar w:fldCharType="separate"/>
        </w:r>
        <w:r w:rsidR="005E7515">
          <w:rPr>
            <w:noProof/>
            <w:webHidden/>
          </w:rPr>
          <w:t>8</w:t>
        </w:r>
        <w:r w:rsidR="005E7515">
          <w:rPr>
            <w:noProof/>
            <w:webHidden/>
          </w:rPr>
          <w:fldChar w:fldCharType="end"/>
        </w:r>
      </w:hyperlink>
    </w:p>
    <w:p w14:paraId="575B772A" w14:textId="77777777" w:rsidR="005E7515" w:rsidRPr="004E7F3B" w:rsidRDefault="002B0E45">
      <w:pPr>
        <w:pStyle w:val="TOC2"/>
        <w:tabs>
          <w:tab w:val="left" w:pos="880"/>
          <w:tab w:val="right" w:leader="dot" w:pos="9016"/>
        </w:tabs>
        <w:rPr>
          <w:noProof/>
          <w:szCs w:val="22"/>
          <w:lang w:val="en-AU" w:eastAsia="en-AU"/>
        </w:rPr>
      </w:pPr>
      <w:hyperlink w:anchor="_Toc422298356" w:history="1">
        <w:r w:rsidR="005E7515" w:rsidRPr="00C04338">
          <w:rPr>
            <w:rStyle w:val="Hyperlink"/>
            <w:noProof/>
          </w:rPr>
          <w:t>2.3</w:t>
        </w:r>
        <w:r w:rsidR="005E7515" w:rsidRPr="004E7F3B">
          <w:rPr>
            <w:noProof/>
            <w:szCs w:val="22"/>
            <w:lang w:val="en-AU" w:eastAsia="en-AU"/>
          </w:rPr>
          <w:tab/>
        </w:r>
        <w:r w:rsidR="005E7515" w:rsidRPr="00C04338">
          <w:rPr>
            <w:rStyle w:val="Hyperlink"/>
            <w:noProof/>
          </w:rPr>
          <w:t>Findings:  Meeting IGA, GEMS and E3 objectives, impacts on consumers and industry</w:t>
        </w:r>
        <w:r w:rsidR="005E7515">
          <w:rPr>
            <w:noProof/>
            <w:webHidden/>
          </w:rPr>
          <w:tab/>
        </w:r>
        <w:r w:rsidR="005E7515">
          <w:rPr>
            <w:noProof/>
            <w:webHidden/>
          </w:rPr>
          <w:fldChar w:fldCharType="begin"/>
        </w:r>
        <w:r w:rsidR="005E7515">
          <w:rPr>
            <w:noProof/>
            <w:webHidden/>
          </w:rPr>
          <w:instrText xml:space="preserve"> PAGEREF _Toc422298356 \h </w:instrText>
        </w:r>
        <w:r w:rsidR="005E7515">
          <w:rPr>
            <w:noProof/>
            <w:webHidden/>
          </w:rPr>
        </w:r>
        <w:r w:rsidR="005E7515">
          <w:rPr>
            <w:noProof/>
            <w:webHidden/>
          </w:rPr>
          <w:fldChar w:fldCharType="separate"/>
        </w:r>
        <w:r w:rsidR="005E7515">
          <w:rPr>
            <w:noProof/>
            <w:webHidden/>
          </w:rPr>
          <w:t>9</w:t>
        </w:r>
        <w:r w:rsidR="005E7515">
          <w:rPr>
            <w:noProof/>
            <w:webHidden/>
          </w:rPr>
          <w:fldChar w:fldCharType="end"/>
        </w:r>
      </w:hyperlink>
    </w:p>
    <w:p w14:paraId="6AF77560" w14:textId="77777777" w:rsidR="005E7515" w:rsidRPr="004E7F3B" w:rsidRDefault="002B0E45">
      <w:pPr>
        <w:pStyle w:val="TOC2"/>
        <w:tabs>
          <w:tab w:val="left" w:pos="880"/>
          <w:tab w:val="right" w:leader="dot" w:pos="9016"/>
        </w:tabs>
        <w:rPr>
          <w:noProof/>
          <w:szCs w:val="22"/>
          <w:lang w:val="en-AU" w:eastAsia="en-AU"/>
        </w:rPr>
      </w:pPr>
      <w:hyperlink w:anchor="_Toc422298357" w:history="1">
        <w:r w:rsidR="005E7515" w:rsidRPr="00C04338">
          <w:rPr>
            <w:rStyle w:val="Hyperlink"/>
            <w:noProof/>
          </w:rPr>
          <w:t>2.4</w:t>
        </w:r>
        <w:r w:rsidR="005E7515" w:rsidRPr="004E7F3B">
          <w:rPr>
            <w:noProof/>
            <w:szCs w:val="22"/>
            <w:lang w:val="en-AU" w:eastAsia="en-AU"/>
          </w:rPr>
          <w:tab/>
        </w:r>
        <w:r w:rsidR="005E7515" w:rsidRPr="00C04338">
          <w:rPr>
            <w:rStyle w:val="Hyperlink"/>
            <w:noProof/>
          </w:rPr>
          <w:t>Findings:  Program processes – the IGA, GEMS Act, program administration and funding</w:t>
        </w:r>
        <w:r w:rsidR="005E7515">
          <w:rPr>
            <w:noProof/>
            <w:webHidden/>
          </w:rPr>
          <w:tab/>
        </w:r>
        <w:r w:rsidR="005E7515">
          <w:rPr>
            <w:noProof/>
            <w:webHidden/>
          </w:rPr>
          <w:fldChar w:fldCharType="begin"/>
        </w:r>
        <w:r w:rsidR="005E7515">
          <w:rPr>
            <w:noProof/>
            <w:webHidden/>
          </w:rPr>
          <w:instrText xml:space="preserve"> PAGEREF _Toc422298357 \h </w:instrText>
        </w:r>
        <w:r w:rsidR="005E7515">
          <w:rPr>
            <w:noProof/>
            <w:webHidden/>
          </w:rPr>
        </w:r>
        <w:r w:rsidR="005E7515">
          <w:rPr>
            <w:noProof/>
            <w:webHidden/>
          </w:rPr>
          <w:fldChar w:fldCharType="separate"/>
        </w:r>
        <w:r w:rsidR="005E7515">
          <w:rPr>
            <w:noProof/>
            <w:webHidden/>
          </w:rPr>
          <w:t>9</w:t>
        </w:r>
        <w:r w:rsidR="005E7515">
          <w:rPr>
            <w:noProof/>
            <w:webHidden/>
          </w:rPr>
          <w:fldChar w:fldCharType="end"/>
        </w:r>
      </w:hyperlink>
    </w:p>
    <w:p w14:paraId="325ECC07" w14:textId="77777777" w:rsidR="005E7515" w:rsidRPr="004E7F3B" w:rsidRDefault="002B0E45">
      <w:pPr>
        <w:pStyle w:val="TOC2"/>
        <w:tabs>
          <w:tab w:val="left" w:pos="880"/>
          <w:tab w:val="right" w:leader="dot" w:pos="9016"/>
        </w:tabs>
        <w:rPr>
          <w:noProof/>
          <w:szCs w:val="22"/>
          <w:lang w:val="en-AU" w:eastAsia="en-AU"/>
        </w:rPr>
      </w:pPr>
      <w:hyperlink w:anchor="_Toc422298358" w:history="1">
        <w:r w:rsidR="005E7515" w:rsidRPr="00C04338">
          <w:rPr>
            <w:rStyle w:val="Hyperlink"/>
            <w:noProof/>
          </w:rPr>
          <w:t>2.5</w:t>
        </w:r>
        <w:r w:rsidR="005E7515" w:rsidRPr="004E7F3B">
          <w:rPr>
            <w:noProof/>
            <w:szCs w:val="22"/>
            <w:lang w:val="en-AU" w:eastAsia="en-AU"/>
          </w:rPr>
          <w:tab/>
        </w:r>
        <w:r w:rsidR="005E7515" w:rsidRPr="00C04338">
          <w:rPr>
            <w:rStyle w:val="Hyperlink"/>
            <w:noProof/>
          </w:rPr>
          <w:t>Recommendations</w:t>
        </w:r>
        <w:r w:rsidR="005E7515">
          <w:rPr>
            <w:noProof/>
            <w:webHidden/>
          </w:rPr>
          <w:tab/>
        </w:r>
        <w:r w:rsidR="005E7515">
          <w:rPr>
            <w:noProof/>
            <w:webHidden/>
          </w:rPr>
          <w:fldChar w:fldCharType="begin"/>
        </w:r>
        <w:r w:rsidR="005E7515">
          <w:rPr>
            <w:noProof/>
            <w:webHidden/>
          </w:rPr>
          <w:instrText xml:space="preserve"> PAGEREF _Toc422298358 \h </w:instrText>
        </w:r>
        <w:r w:rsidR="005E7515">
          <w:rPr>
            <w:noProof/>
            <w:webHidden/>
          </w:rPr>
        </w:r>
        <w:r w:rsidR="005E7515">
          <w:rPr>
            <w:noProof/>
            <w:webHidden/>
          </w:rPr>
          <w:fldChar w:fldCharType="separate"/>
        </w:r>
        <w:r w:rsidR="005E7515">
          <w:rPr>
            <w:noProof/>
            <w:webHidden/>
          </w:rPr>
          <w:t>11</w:t>
        </w:r>
        <w:r w:rsidR="005E7515">
          <w:rPr>
            <w:noProof/>
            <w:webHidden/>
          </w:rPr>
          <w:fldChar w:fldCharType="end"/>
        </w:r>
      </w:hyperlink>
    </w:p>
    <w:p w14:paraId="79C5EE99" w14:textId="77777777" w:rsidR="005E7515" w:rsidRPr="004E7F3B" w:rsidRDefault="002B0E45">
      <w:pPr>
        <w:pStyle w:val="TOC3"/>
        <w:tabs>
          <w:tab w:val="left" w:pos="1320"/>
          <w:tab w:val="right" w:leader="dot" w:pos="9016"/>
        </w:tabs>
        <w:rPr>
          <w:noProof/>
          <w:szCs w:val="22"/>
          <w:lang w:val="en-AU" w:eastAsia="en-AU"/>
        </w:rPr>
      </w:pPr>
      <w:hyperlink w:anchor="_Toc422298359" w:history="1">
        <w:r w:rsidR="005E7515" w:rsidRPr="00C04338">
          <w:rPr>
            <w:rStyle w:val="Hyperlink"/>
            <w:noProof/>
          </w:rPr>
          <w:t>2.5.1</w:t>
        </w:r>
        <w:r w:rsidR="005E7515" w:rsidRPr="004E7F3B">
          <w:rPr>
            <w:noProof/>
            <w:szCs w:val="22"/>
            <w:lang w:val="en-AU" w:eastAsia="en-AU"/>
          </w:rPr>
          <w:tab/>
        </w:r>
        <w:r w:rsidR="005E7515" w:rsidRPr="00C04338">
          <w:rPr>
            <w:rStyle w:val="Hyperlink"/>
            <w:noProof/>
          </w:rPr>
          <w:t>Program design</w:t>
        </w:r>
        <w:r w:rsidR="005E7515">
          <w:rPr>
            <w:noProof/>
            <w:webHidden/>
          </w:rPr>
          <w:tab/>
        </w:r>
        <w:r w:rsidR="005E7515">
          <w:rPr>
            <w:noProof/>
            <w:webHidden/>
          </w:rPr>
          <w:fldChar w:fldCharType="begin"/>
        </w:r>
        <w:r w:rsidR="005E7515">
          <w:rPr>
            <w:noProof/>
            <w:webHidden/>
          </w:rPr>
          <w:instrText xml:space="preserve"> PAGEREF _Toc422298359 \h </w:instrText>
        </w:r>
        <w:r w:rsidR="005E7515">
          <w:rPr>
            <w:noProof/>
            <w:webHidden/>
          </w:rPr>
        </w:r>
        <w:r w:rsidR="005E7515">
          <w:rPr>
            <w:noProof/>
            <w:webHidden/>
          </w:rPr>
          <w:fldChar w:fldCharType="separate"/>
        </w:r>
        <w:r w:rsidR="005E7515">
          <w:rPr>
            <w:noProof/>
            <w:webHidden/>
          </w:rPr>
          <w:t>11</w:t>
        </w:r>
        <w:r w:rsidR="005E7515">
          <w:rPr>
            <w:noProof/>
            <w:webHidden/>
          </w:rPr>
          <w:fldChar w:fldCharType="end"/>
        </w:r>
      </w:hyperlink>
    </w:p>
    <w:p w14:paraId="395F5D6B" w14:textId="77777777" w:rsidR="005E7515" w:rsidRPr="004E7F3B" w:rsidRDefault="002B0E45">
      <w:pPr>
        <w:pStyle w:val="TOC3"/>
        <w:tabs>
          <w:tab w:val="left" w:pos="1320"/>
          <w:tab w:val="right" w:leader="dot" w:pos="9016"/>
        </w:tabs>
        <w:rPr>
          <w:noProof/>
          <w:szCs w:val="22"/>
          <w:lang w:val="en-AU" w:eastAsia="en-AU"/>
        </w:rPr>
      </w:pPr>
      <w:hyperlink w:anchor="_Toc422298360" w:history="1">
        <w:r w:rsidR="005E7515" w:rsidRPr="00C04338">
          <w:rPr>
            <w:rStyle w:val="Hyperlink"/>
            <w:noProof/>
          </w:rPr>
          <w:t>2.5.2</w:t>
        </w:r>
        <w:r w:rsidR="005E7515" w:rsidRPr="004E7F3B">
          <w:rPr>
            <w:noProof/>
            <w:szCs w:val="22"/>
            <w:lang w:val="en-AU" w:eastAsia="en-AU"/>
          </w:rPr>
          <w:tab/>
        </w:r>
        <w:r w:rsidR="005E7515" w:rsidRPr="00C04338">
          <w:rPr>
            <w:rStyle w:val="Hyperlink"/>
            <w:noProof/>
          </w:rPr>
          <w:t>Delivering IGA, GEMS and E3 objectives</w:t>
        </w:r>
        <w:r w:rsidR="005E7515">
          <w:rPr>
            <w:noProof/>
            <w:webHidden/>
          </w:rPr>
          <w:tab/>
        </w:r>
        <w:r w:rsidR="005E7515">
          <w:rPr>
            <w:noProof/>
            <w:webHidden/>
          </w:rPr>
          <w:fldChar w:fldCharType="begin"/>
        </w:r>
        <w:r w:rsidR="005E7515">
          <w:rPr>
            <w:noProof/>
            <w:webHidden/>
          </w:rPr>
          <w:instrText xml:space="preserve"> PAGEREF _Toc422298360 \h </w:instrText>
        </w:r>
        <w:r w:rsidR="005E7515">
          <w:rPr>
            <w:noProof/>
            <w:webHidden/>
          </w:rPr>
        </w:r>
        <w:r w:rsidR="005E7515">
          <w:rPr>
            <w:noProof/>
            <w:webHidden/>
          </w:rPr>
          <w:fldChar w:fldCharType="separate"/>
        </w:r>
        <w:r w:rsidR="005E7515">
          <w:rPr>
            <w:noProof/>
            <w:webHidden/>
          </w:rPr>
          <w:t>12</w:t>
        </w:r>
        <w:r w:rsidR="005E7515">
          <w:rPr>
            <w:noProof/>
            <w:webHidden/>
          </w:rPr>
          <w:fldChar w:fldCharType="end"/>
        </w:r>
      </w:hyperlink>
    </w:p>
    <w:p w14:paraId="1A8F92D6" w14:textId="77777777" w:rsidR="005E7515" w:rsidRPr="004E7F3B" w:rsidRDefault="002B0E45">
      <w:pPr>
        <w:pStyle w:val="TOC3"/>
        <w:tabs>
          <w:tab w:val="left" w:pos="1320"/>
          <w:tab w:val="right" w:leader="dot" w:pos="9016"/>
        </w:tabs>
        <w:rPr>
          <w:noProof/>
          <w:szCs w:val="22"/>
          <w:lang w:val="en-AU" w:eastAsia="en-AU"/>
        </w:rPr>
      </w:pPr>
      <w:hyperlink w:anchor="_Toc422298361" w:history="1">
        <w:r w:rsidR="005E7515" w:rsidRPr="00C04338">
          <w:rPr>
            <w:rStyle w:val="Hyperlink"/>
            <w:noProof/>
          </w:rPr>
          <w:t>2.5.3</w:t>
        </w:r>
        <w:r w:rsidR="005E7515" w:rsidRPr="004E7F3B">
          <w:rPr>
            <w:noProof/>
            <w:szCs w:val="22"/>
            <w:lang w:val="en-AU" w:eastAsia="en-AU"/>
          </w:rPr>
          <w:tab/>
        </w:r>
        <w:r w:rsidR="005E7515" w:rsidRPr="00C04338">
          <w:rPr>
            <w:rStyle w:val="Hyperlink"/>
            <w:noProof/>
          </w:rPr>
          <w:t>Opportunities to reduce burden and improve outcomes</w:t>
        </w:r>
        <w:r w:rsidR="005E7515">
          <w:rPr>
            <w:noProof/>
            <w:webHidden/>
          </w:rPr>
          <w:tab/>
        </w:r>
        <w:r w:rsidR="005E7515">
          <w:rPr>
            <w:noProof/>
            <w:webHidden/>
          </w:rPr>
          <w:fldChar w:fldCharType="begin"/>
        </w:r>
        <w:r w:rsidR="005E7515">
          <w:rPr>
            <w:noProof/>
            <w:webHidden/>
          </w:rPr>
          <w:instrText xml:space="preserve"> PAGEREF _Toc422298361 \h </w:instrText>
        </w:r>
        <w:r w:rsidR="005E7515">
          <w:rPr>
            <w:noProof/>
            <w:webHidden/>
          </w:rPr>
        </w:r>
        <w:r w:rsidR="005E7515">
          <w:rPr>
            <w:noProof/>
            <w:webHidden/>
          </w:rPr>
          <w:fldChar w:fldCharType="separate"/>
        </w:r>
        <w:r w:rsidR="005E7515">
          <w:rPr>
            <w:noProof/>
            <w:webHidden/>
          </w:rPr>
          <w:t>12</w:t>
        </w:r>
        <w:r w:rsidR="005E7515">
          <w:rPr>
            <w:noProof/>
            <w:webHidden/>
          </w:rPr>
          <w:fldChar w:fldCharType="end"/>
        </w:r>
      </w:hyperlink>
    </w:p>
    <w:p w14:paraId="1100E1BA" w14:textId="77777777" w:rsidR="005E7515" w:rsidRPr="004E7F3B" w:rsidRDefault="002B0E45">
      <w:pPr>
        <w:pStyle w:val="TOC1"/>
        <w:tabs>
          <w:tab w:val="left" w:pos="440"/>
          <w:tab w:val="right" w:leader="dot" w:pos="9016"/>
        </w:tabs>
        <w:rPr>
          <w:noProof/>
          <w:szCs w:val="22"/>
          <w:lang w:val="en-AU" w:eastAsia="en-AU"/>
        </w:rPr>
      </w:pPr>
      <w:hyperlink w:anchor="_Toc422298362" w:history="1">
        <w:r w:rsidR="005E7515" w:rsidRPr="00C04338">
          <w:rPr>
            <w:rStyle w:val="Hyperlink"/>
            <w:noProof/>
          </w:rPr>
          <w:t>3</w:t>
        </w:r>
        <w:r w:rsidR="005E7515" w:rsidRPr="004E7F3B">
          <w:rPr>
            <w:noProof/>
            <w:szCs w:val="22"/>
            <w:lang w:val="en-AU" w:eastAsia="en-AU"/>
          </w:rPr>
          <w:tab/>
        </w:r>
        <w:r w:rsidR="005E7515" w:rsidRPr="00C04338">
          <w:rPr>
            <w:rStyle w:val="Hyperlink"/>
            <w:noProof/>
          </w:rPr>
          <w:t>Introduction and objectives</w:t>
        </w:r>
        <w:r w:rsidR="005E7515">
          <w:rPr>
            <w:noProof/>
            <w:webHidden/>
          </w:rPr>
          <w:tab/>
        </w:r>
        <w:r w:rsidR="005E7515">
          <w:rPr>
            <w:noProof/>
            <w:webHidden/>
          </w:rPr>
          <w:fldChar w:fldCharType="begin"/>
        </w:r>
        <w:r w:rsidR="005E7515">
          <w:rPr>
            <w:noProof/>
            <w:webHidden/>
          </w:rPr>
          <w:instrText xml:space="preserve"> PAGEREF _Toc422298362 \h </w:instrText>
        </w:r>
        <w:r w:rsidR="005E7515">
          <w:rPr>
            <w:noProof/>
            <w:webHidden/>
          </w:rPr>
        </w:r>
        <w:r w:rsidR="005E7515">
          <w:rPr>
            <w:noProof/>
            <w:webHidden/>
          </w:rPr>
          <w:fldChar w:fldCharType="separate"/>
        </w:r>
        <w:r w:rsidR="005E7515">
          <w:rPr>
            <w:noProof/>
            <w:webHidden/>
          </w:rPr>
          <w:t>16</w:t>
        </w:r>
        <w:r w:rsidR="005E7515">
          <w:rPr>
            <w:noProof/>
            <w:webHidden/>
          </w:rPr>
          <w:fldChar w:fldCharType="end"/>
        </w:r>
      </w:hyperlink>
    </w:p>
    <w:p w14:paraId="69E06912" w14:textId="77777777" w:rsidR="005E7515" w:rsidRPr="004E7F3B" w:rsidRDefault="002B0E45">
      <w:pPr>
        <w:pStyle w:val="TOC2"/>
        <w:tabs>
          <w:tab w:val="left" w:pos="880"/>
          <w:tab w:val="right" w:leader="dot" w:pos="9016"/>
        </w:tabs>
        <w:rPr>
          <w:noProof/>
          <w:szCs w:val="22"/>
          <w:lang w:val="en-AU" w:eastAsia="en-AU"/>
        </w:rPr>
      </w:pPr>
      <w:hyperlink w:anchor="_Toc422298363" w:history="1">
        <w:r w:rsidR="005E7515" w:rsidRPr="00C04338">
          <w:rPr>
            <w:rStyle w:val="Hyperlink"/>
            <w:noProof/>
          </w:rPr>
          <w:t>3.1</w:t>
        </w:r>
        <w:r w:rsidR="005E7515" w:rsidRPr="004E7F3B">
          <w:rPr>
            <w:noProof/>
            <w:szCs w:val="22"/>
            <w:lang w:val="en-AU" w:eastAsia="en-AU"/>
          </w:rPr>
          <w:tab/>
        </w:r>
        <w:r w:rsidR="005E7515" w:rsidRPr="00C04338">
          <w:rPr>
            <w:rStyle w:val="Hyperlink"/>
            <w:noProof/>
          </w:rPr>
          <w:t>Introduction</w:t>
        </w:r>
        <w:r w:rsidR="005E7515">
          <w:rPr>
            <w:noProof/>
            <w:webHidden/>
          </w:rPr>
          <w:tab/>
        </w:r>
        <w:r w:rsidR="005E7515">
          <w:rPr>
            <w:noProof/>
            <w:webHidden/>
          </w:rPr>
          <w:fldChar w:fldCharType="begin"/>
        </w:r>
        <w:r w:rsidR="005E7515">
          <w:rPr>
            <w:noProof/>
            <w:webHidden/>
          </w:rPr>
          <w:instrText xml:space="preserve"> PAGEREF _Toc422298363 \h </w:instrText>
        </w:r>
        <w:r w:rsidR="005E7515">
          <w:rPr>
            <w:noProof/>
            <w:webHidden/>
          </w:rPr>
        </w:r>
        <w:r w:rsidR="005E7515">
          <w:rPr>
            <w:noProof/>
            <w:webHidden/>
          </w:rPr>
          <w:fldChar w:fldCharType="separate"/>
        </w:r>
        <w:r w:rsidR="005E7515">
          <w:rPr>
            <w:noProof/>
            <w:webHidden/>
          </w:rPr>
          <w:t>16</w:t>
        </w:r>
        <w:r w:rsidR="005E7515">
          <w:rPr>
            <w:noProof/>
            <w:webHidden/>
          </w:rPr>
          <w:fldChar w:fldCharType="end"/>
        </w:r>
      </w:hyperlink>
    </w:p>
    <w:p w14:paraId="612BC2D6" w14:textId="77777777" w:rsidR="005E7515" w:rsidRPr="004E7F3B" w:rsidRDefault="002B0E45">
      <w:pPr>
        <w:pStyle w:val="TOC3"/>
        <w:tabs>
          <w:tab w:val="left" w:pos="1320"/>
          <w:tab w:val="right" w:leader="dot" w:pos="9016"/>
        </w:tabs>
        <w:rPr>
          <w:noProof/>
          <w:szCs w:val="22"/>
          <w:lang w:val="en-AU" w:eastAsia="en-AU"/>
        </w:rPr>
      </w:pPr>
      <w:hyperlink w:anchor="_Toc422298364" w:history="1">
        <w:r w:rsidR="005E7515" w:rsidRPr="00C04338">
          <w:rPr>
            <w:rStyle w:val="Hyperlink"/>
            <w:noProof/>
          </w:rPr>
          <w:t>3.1.1</w:t>
        </w:r>
        <w:r w:rsidR="005E7515" w:rsidRPr="004E7F3B">
          <w:rPr>
            <w:noProof/>
            <w:szCs w:val="22"/>
            <w:lang w:val="en-AU" w:eastAsia="en-AU"/>
          </w:rPr>
          <w:tab/>
        </w:r>
        <w:r w:rsidR="005E7515" w:rsidRPr="00C04338">
          <w:rPr>
            <w:rStyle w:val="Hyperlink"/>
            <w:noProof/>
          </w:rPr>
          <w:t>Introduction to standards and labelling programs</w:t>
        </w:r>
        <w:r w:rsidR="005E7515">
          <w:rPr>
            <w:noProof/>
            <w:webHidden/>
          </w:rPr>
          <w:tab/>
        </w:r>
        <w:r w:rsidR="005E7515">
          <w:rPr>
            <w:noProof/>
            <w:webHidden/>
          </w:rPr>
          <w:fldChar w:fldCharType="begin"/>
        </w:r>
        <w:r w:rsidR="005E7515">
          <w:rPr>
            <w:noProof/>
            <w:webHidden/>
          </w:rPr>
          <w:instrText xml:space="preserve"> PAGEREF _Toc422298364 \h </w:instrText>
        </w:r>
        <w:r w:rsidR="005E7515">
          <w:rPr>
            <w:noProof/>
            <w:webHidden/>
          </w:rPr>
        </w:r>
        <w:r w:rsidR="005E7515">
          <w:rPr>
            <w:noProof/>
            <w:webHidden/>
          </w:rPr>
          <w:fldChar w:fldCharType="separate"/>
        </w:r>
        <w:r w:rsidR="005E7515">
          <w:rPr>
            <w:noProof/>
            <w:webHidden/>
          </w:rPr>
          <w:t>16</w:t>
        </w:r>
        <w:r w:rsidR="005E7515">
          <w:rPr>
            <w:noProof/>
            <w:webHidden/>
          </w:rPr>
          <w:fldChar w:fldCharType="end"/>
        </w:r>
      </w:hyperlink>
    </w:p>
    <w:p w14:paraId="66DE69C6" w14:textId="77777777" w:rsidR="005E7515" w:rsidRPr="004E7F3B" w:rsidRDefault="002B0E45">
      <w:pPr>
        <w:pStyle w:val="TOC3"/>
        <w:tabs>
          <w:tab w:val="left" w:pos="1320"/>
          <w:tab w:val="right" w:leader="dot" w:pos="9016"/>
        </w:tabs>
        <w:rPr>
          <w:noProof/>
          <w:szCs w:val="22"/>
          <w:lang w:val="en-AU" w:eastAsia="en-AU"/>
        </w:rPr>
      </w:pPr>
      <w:hyperlink w:anchor="_Toc422298365" w:history="1">
        <w:r w:rsidR="005E7515" w:rsidRPr="00C04338">
          <w:rPr>
            <w:rStyle w:val="Hyperlink"/>
            <w:noProof/>
          </w:rPr>
          <w:t>3.1.2</w:t>
        </w:r>
        <w:r w:rsidR="005E7515" w:rsidRPr="004E7F3B">
          <w:rPr>
            <w:noProof/>
            <w:szCs w:val="22"/>
            <w:lang w:val="en-AU" w:eastAsia="en-AU"/>
          </w:rPr>
          <w:tab/>
        </w:r>
        <w:r w:rsidR="005E7515" w:rsidRPr="00C04338">
          <w:rPr>
            <w:rStyle w:val="Hyperlink"/>
            <w:noProof/>
          </w:rPr>
          <w:t>Background</w:t>
        </w:r>
        <w:r w:rsidR="005E7515">
          <w:rPr>
            <w:noProof/>
            <w:webHidden/>
          </w:rPr>
          <w:tab/>
        </w:r>
        <w:r w:rsidR="005E7515">
          <w:rPr>
            <w:noProof/>
            <w:webHidden/>
          </w:rPr>
          <w:fldChar w:fldCharType="begin"/>
        </w:r>
        <w:r w:rsidR="005E7515">
          <w:rPr>
            <w:noProof/>
            <w:webHidden/>
          </w:rPr>
          <w:instrText xml:space="preserve"> PAGEREF _Toc422298365 \h </w:instrText>
        </w:r>
        <w:r w:rsidR="005E7515">
          <w:rPr>
            <w:noProof/>
            <w:webHidden/>
          </w:rPr>
        </w:r>
        <w:r w:rsidR="005E7515">
          <w:rPr>
            <w:noProof/>
            <w:webHidden/>
          </w:rPr>
          <w:fldChar w:fldCharType="separate"/>
        </w:r>
        <w:r w:rsidR="005E7515">
          <w:rPr>
            <w:noProof/>
            <w:webHidden/>
          </w:rPr>
          <w:t>17</w:t>
        </w:r>
        <w:r w:rsidR="005E7515">
          <w:rPr>
            <w:noProof/>
            <w:webHidden/>
          </w:rPr>
          <w:fldChar w:fldCharType="end"/>
        </w:r>
      </w:hyperlink>
    </w:p>
    <w:p w14:paraId="7D8CCF8E" w14:textId="77777777" w:rsidR="005E7515" w:rsidRPr="004E7F3B" w:rsidRDefault="002B0E45">
      <w:pPr>
        <w:pStyle w:val="TOC3"/>
        <w:tabs>
          <w:tab w:val="left" w:pos="1320"/>
          <w:tab w:val="right" w:leader="dot" w:pos="9016"/>
        </w:tabs>
        <w:rPr>
          <w:noProof/>
          <w:szCs w:val="22"/>
          <w:lang w:val="en-AU" w:eastAsia="en-AU"/>
        </w:rPr>
      </w:pPr>
      <w:hyperlink w:anchor="_Toc422298366" w:history="1">
        <w:r w:rsidR="005E7515" w:rsidRPr="00C04338">
          <w:rPr>
            <w:rStyle w:val="Hyperlink"/>
            <w:noProof/>
          </w:rPr>
          <w:t>3.1.3</w:t>
        </w:r>
        <w:r w:rsidR="005E7515" w:rsidRPr="004E7F3B">
          <w:rPr>
            <w:noProof/>
            <w:szCs w:val="22"/>
            <w:lang w:val="en-AU" w:eastAsia="en-AU"/>
          </w:rPr>
          <w:tab/>
        </w:r>
        <w:r w:rsidR="005E7515" w:rsidRPr="00C04338">
          <w:rPr>
            <w:rStyle w:val="Hyperlink"/>
            <w:noProof/>
          </w:rPr>
          <w:t>Framework within which GEMS operates</w:t>
        </w:r>
        <w:r w:rsidR="005E7515">
          <w:rPr>
            <w:noProof/>
            <w:webHidden/>
          </w:rPr>
          <w:tab/>
        </w:r>
        <w:r w:rsidR="005E7515">
          <w:rPr>
            <w:noProof/>
            <w:webHidden/>
          </w:rPr>
          <w:fldChar w:fldCharType="begin"/>
        </w:r>
        <w:r w:rsidR="005E7515">
          <w:rPr>
            <w:noProof/>
            <w:webHidden/>
          </w:rPr>
          <w:instrText xml:space="preserve"> PAGEREF _Toc422298366 \h </w:instrText>
        </w:r>
        <w:r w:rsidR="005E7515">
          <w:rPr>
            <w:noProof/>
            <w:webHidden/>
          </w:rPr>
        </w:r>
        <w:r w:rsidR="005E7515">
          <w:rPr>
            <w:noProof/>
            <w:webHidden/>
          </w:rPr>
          <w:fldChar w:fldCharType="separate"/>
        </w:r>
        <w:r w:rsidR="005E7515">
          <w:rPr>
            <w:noProof/>
            <w:webHidden/>
          </w:rPr>
          <w:t>19</w:t>
        </w:r>
        <w:r w:rsidR="005E7515">
          <w:rPr>
            <w:noProof/>
            <w:webHidden/>
          </w:rPr>
          <w:fldChar w:fldCharType="end"/>
        </w:r>
      </w:hyperlink>
    </w:p>
    <w:p w14:paraId="1E0379BE" w14:textId="77777777" w:rsidR="005E7515" w:rsidRPr="004E7F3B" w:rsidRDefault="002B0E45">
      <w:pPr>
        <w:pStyle w:val="TOC3"/>
        <w:tabs>
          <w:tab w:val="left" w:pos="1320"/>
          <w:tab w:val="right" w:leader="dot" w:pos="9016"/>
        </w:tabs>
        <w:rPr>
          <w:noProof/>
          <w:szCs w:val="22"/>
          <w:lang w:val="en-AU" w:eastAsia="en-AU"/>
        </w:rPr>
      </w:pPr>
      <w:hyperlink w:anchor="_Toc422298367" w:history="1">
        <w:r w:rsidR="005E7515" w:rsidRPr="00C04338">
          <w:rPr>
            <w:rStyle w:val="Hyperlink"/>
            <w:noProof/>
          </w:rPr>
          <w:t>3.1.4</w:t>
        </w:r>
        <w:r w:rsidR="005E7515" w:rsidRPr="004E7F3B">
          <w:rPr>
            <w:noProof/>
            <w:szCs w:val="22"/>
            <w:lang w:val="en-AU" w:eastAsia="en-AU"/>
          </w:rPr>
          <w:tab/>
        </w:r>
        <w:r w:rsidR="005E7515" w:rsidRPr="00C04338">
          <w:rPr>
            <w:rStyle w:val="Hyperlink"/>
            <w:noProof/>
          </w:rPr>
          <w:t>Operation of the Equipment Energy Efficiency (E3) Program</w:t>
        </w:r>
        <w:r w:rsidR="005E7515">
          <w:rPr>
            <w:noProof/>
            <w:webHidden/>
          </w:rPr>
          <w:tab/>
        </w:r>
        <w:r w:rsidR="005E7515">
          <w:rPr>
            <w:noProof/>
            <w:webHidden/>
          </w:rPr>
          <w:fldChar w:fldCharType="begin"/>
        </w:r>
        <w:r w:rsidR="005E7515">
          <w:rPr>
            <w:noProof/>
            <w:webHidden/>
          </w:rPr>
          <w:instrText xml:space="preserve"> PAGEREF _Toc422298367 \h </w:instrText>
        </w:r>
        <w:r w:rsidR="005E7515">
          <w:rPr>
            <w:noProof/>
            <w:webHidden/>
          </w:rPr>
        </w:r>
        <w:r w:rsidR="005E7515">
          <w:rPr>
            <w:noProof/>
            <w:webHidden/>
          </w:rPr>
          <w:fldChar w:fldCharType="separate"/>
        </w:r>
        <w:r w:rsidR="005E7515">
          <w:rPr>
            <w:noProof/>
            <w:webHidden/>
          </w:rPr>
          <w:t>21</w:t>
        </w:r>
        <w:r w:rsidR="005E7515">
          <w:rPr>
            <w:noProof/>
            <w:webHidden/>
          </w:rPr>
          <w:fldChar w:fldCharType="end"/>
        </w:r>
      </w:hyperlink>
    </w:p>
    <w:p w14:paraId="06622AF2" w14:textId="77777777" w:rsidR="005E7515" w:rsidRPr="004E7F3B" w:rsidRDefault="002B0E45">
      <w:pPr>
        <w:pStyle w:val="TOC3"/>
        <w:tabs>
          <w:tab w:val="left" w:pos="1320"/>
          <w:tab w:val="right" w:leader="dot" w:pos="9016"/>
        </w:tabs>
        <w:rPr>
          <w:noProof/>
          <w:szCs w:val="22"/>
          <w:lang w:val="en-AU" w:eastAsia="en-AU"/>
        </w:rPr>
      </w:pPr>
      <w:hyperlink w:anchor="_Toc422298368" w:history="1">
        <w:r w:rsidR="005E7515" w:rsidRPr="00C04338">
          <w:rPr>
            <w:rStyle w:val="Hyperlink"/>
            <w:noProof/>
          </w:rPr>
          <w:t>3.1.5</w:t>
        </w:r>
        <w:r w:rsidR="005E7515" w:rsidRPr="004E7F3B">
          <w:rPr>
            <w:noProof/>
            <w:szCs w:val="22"/>
            <w:lang w:val="en-AU" w:eastAsia="en-AU"/>
          </w:rPr>
          <w:tab/>
        </w:r>
        <w:r w:rsidR="005E7515" w:rsidRPr="00C04338">
          <w:rPr>
            <w:rStyle w:val="Hyperlink"/>
            <w:noProof/>
          </w:rPr>
          <w:t>Context for the review</w:t>
        </w:r>
        <w:r w:rsidR="005E7515">
          <w:rPr>
            <w:noProof/>
            <w:webHidden/>
          </w:rPr>
          <w:tab/>
        </w:r>
        <w:r w:rsidR="005E7515">
          <w:rPr>
            <w:noProof/>
            <w:webHidden/>
          </w:rPr>
          <w:fldChar w:fldCharType="begin"/>
        </w:r>
        <w:r w:rsidR="005E7515">
          <w:rPr>
            <w:noProof/>
            <w:webHidden/>
          </w:rPr>
          <w:instrText xml:space="preserve"> PAGEREF _Toc422298368 \h </w:instrText>
        </w:r>
        <w:r w:rsidR="005E7515">
          <w:rPr>
            <w:noProof/>
            <w:webHidden/>
          </w:rPr>
        </w:r>
        <w:r w:rsidR="005E7515">
          <w:rPr>
            <w:noProof/>
            <w:webHidden/>
          </w:rPr>
          <w:fldChar w:fldCharType="separate"/>
        </w:r>
        <w:r w:rsidR="005E7515">
          <w:rPr>
            <w:noProof/>
            <w:webHidden/>
          </w:rPr>
          <w:t>21</w:t>
        </w:r>
        <w:r w:rsidR="005E7515">
          <w:rPr>
            <w:noProof/>
            <w:webHidden/>
          </w:rPr>
          <w:fldChar w:fldCharType="end"/>
        </w:r>
      </w:hyperlink>
    </w:p>
    <w:p w14:paraId="7F162CE0" w14:textId="77777777" w:rsidR="005E7515" w:rsidRPr="004E7F3B" w:rsidRDefault="002B0E45">
      <w:pPr>
        <w:pStyle w:val="TOC2"/>
        <w:tabs>
          <w:tab w:val="left" w:pos="880"/>
          <w:tab w:val="right" w:leader="dot" w:pos="9016"/>
        </w:tabs>
        <w:rPr>
          <w:noProof/>
          <w:szCs w:val="22"/>
          <w:lang w:val="en-AU" w:eastAsia="en-AU"/>
        </w:rPr>
      </w:pPr>
      <w:hyperlink w:anchor="_Toc422298369" w:history="1">
        <w:r w:rsidR="005E7515" w:rsidRPr="00C04338">
          <w:rPr>
            <w:rStyle w:val="Hyperlink"/>
            <w:noProof/>
          </w:rPr>
          <w:t>3.2</w:t>
        </w:r>
        <w:r w:rsidR="005E7515" w:rsidRPr="004E7F3B">
          <w:rPr>
            <w:noProof/>
            <w:szCs w:val="22"/>
            <w:lang w:val="en-AU" w:eastAsia="en-AU"/>
          </w:rPr>
          <w:tab/>
        </w:r>
        <w:r w:rsidR="005E7515" w:rsidRPr="00C04338">
          <w:rPr>
            <w:rStyle w:val="Hyperlink"/>
            <w:noProof/>
          </w:rPr>
          <w:t>Review objectives</w:t>
        </w:r>
        <w:r w:rsidR="005E7515">
          <w:rPr>
            <w:noProof/>
            <w:webHidden/>
          </w:rPr>
          <w:tab/>
        </w:r>
        <w:r w:rsidR="005E7515">
          <w:rPr>
            <w:noProof/>
            <w:webHidden/>
          </w:rPr>
          <w:fldChar w:fldCharType="begin"/>
        </w:r>
        <w:r w:rsidR="005E7515">
          <w:rPr>
            <w:noProof/>
            <w:webHidden/>
          </w:rPr>
          <w:instrText xml:space="preserve"> PAGEREF _Toc422298369 \h </w:instrText>
        </w:r>
        <w:r w:rsidR="005E7515">
          <w:rPr>
            <w:noProof/>
            <w:webHidden/>
          </w:rPr>
        </w:r>
        <w:r w:rsidR="005E7515">
          <w:rPr>
            <w:noProof/>
            <w:webHidden/>
          </w:rPr>
          <w:fldChar w:fldCharType="separate"/>
        </w:r>
        <w:r w:rsidR="005E7515">
          <w:rPr>
            <w:noProof/>
            <w:webHidden/>
          </w:rPr>
          <w:t>21</w:t>
        </w:r>
        <w:r w:rsidR="005E7515">
          <w:rPr>
            <w:noProof/>
            <w:webHidden/>
          </w:rPr>
          <w:fldChar w:fldCharType="end"/>
        </w:r>
      </w:hyperlink>
    </w:p>
    <w:p w14:paraId="10C4789A" w14:textId="77777777" w:rsidR="005E7515" w:rsidRPr="004E7F3B" w:rsidRDefault="002B0E45">
      <w:pPr>
        <w:pStyle w:val="TOC3"/>
        <w:tabs>
          <w:tab w:val="left" w:pos="1320"/>
          <w:tab w:val="right" w:leader="dot" w:pos="9016"/>
        </w:tabs>
        <w:rPr>
          <w:noProof/>
          <w:szCs w:val="22"/>
          <w:lang w:val="en-AU" w:eastAsia="en-AU"/>
        </w:rPr>
      </w:pPr>
      <w:hyperlink w:anchor="_Toc422298370" w:history="1">
        <w:r w:rsidR="005E7515" w:rsidRPr="00C04338">
          <w:rPr>
            <w:rStyle w:val="Hyperlink"/>
            <w:noProof/>
          </w:rPr>
          <w:t>3.2.1</w:t>
        </w:r>
        <w:r w:rsidR="005E7515" w:rsidRPr="004E7F3B">
          <w:rPr>
            <w:noProof/>
            <w:szCs w:val="22"/>
            <w:lang w:val="en-AU" w:eastAsia="en-AU"/>
          </w:rPr>
          <w:tab/>
        </w:r>
        <w:r w:rsidR="005E7515" w:rsidRPr="00C04338">
          <w:rPr>
            <w:rStyle w:val="Hyperlink"/>
            <w:noProof/>
          </w:rPr>
          <w:t>Objectives of the review</w:t>
        </w:r>
        <w:r w:rsidR="005E7515">
          <w:rPr>
            <w:noProof/>
            <w:webHidden/>
          </w:rPr>
          <w:tab/>
        </w:r>
        <w:r w:rsidR="005E7515">
          <w:rPr>
            <w:noProof/>
            <w:webHidden/>
          </w:rPr>
          <w:fldChar w:fldCharType="begin"/>
        </w:r>
        <w:r w:rsidR="005E7515">
          <w:rPr>
            <w:noProof/>
            <w:webHidden/>
          </w:rPr>
          <w:instrText xml:space="preserve"> PAGEREF _Toc422298370 \h </w:instrText>
        </w:r>
        <w:r w:rsidR="005E7515">
          <w:rPr>
            <w:noProof/>
            <w:webHidden/>
          </w:rPr>
        </w:r>
        <w:r w:rsidR="005E7515">
          <w:rPr>
            <w:noProof/>
            <w:webHidden/>
          </w:rPr>
          <w:fldChar w:fldCharType="separate"/>
        </w:r>
        <w:r w:rsidR="005E7515">
          <w:rPr>
            <w:noProof/>
            <w:webHidden/>
          </w:rPr>
          <w:t>22</w:t>
        </w:r>
        <w:r w:rsidR="005E7515">
          <w:rPr>
            <w:noProof/>
            <w:webHidden/>
          </w:rPr>
          <w:fldChar w:fldCharType="end"/>
        </w:r>
      </w:hyperlink>
    </w:p>
    <w:p w14:paraId="5C535CB9" w14:textId="77777777" w:rsidR="005E7515" w:rsidRPr="004E7F3B" w:rsidRDefault="002B0E45">
      <w:pPr>
        <w:pStyle w:val="TOC1"/>
        <w:tabs>
          <w:tab w:val="left" w:pos="440"/>
          <w:tab w:val="right" w:leader="dot" w:pos="9016"/>
        </w:tabs>
        <w:rPr>
          <w:noProof/>
          <w:szCs w:val="22"/>
          <w:lang w:val="en-AU" w:eastAsia="en-AU"/>
        </w:rPr>
      </w:pPr>
      <w:hyperlink w:anchor="_Toc422298371" w:history="1">
        <w:r w:rsidR="005E7515" w:rsidRPr="00C04338">
          <w:rPr>
            <w:rStyle w:val="Hyperlink"/>
            <w:noProof/>
          </w:rPr>
          <w:t>4</w:t>
        </w:r>
        <w:r w:rsidR="005E7515" w:rsidRPr="004E7F3B">
          <w:rPr>
            <w:noProof/>
            <w:szCs w:val="22"/>
            <w:lang w:val="en-AU" w:eastAsia="en-AU"/>
          </w:rPr>
          <w:tab/>
        </w:r>
        <w:r w:rsidR="005E7515" w:rsidRPr="00C04338">
          <w:rPr>
            <w:rStyle w:val="Hyperlink"/>
            <w:noProof/>
          </w:rPr>
          <w:t>Methodology</w:t>
        </w:r>
        <w:r w:rsidR="005E7515">
          <w:rPr>
            <w:noProof/>
            <w:webHidden/>
          </w:rPr>
          <w:tab/>
        </w:r>
        <w:r w:rsidR="005E7515">
          <w:rPr>
            <w:noProof/>
            <w:webHidden/>
          </w:rPr>
          <w:fldChar w:fldCharType="begin"/>
        </w:r>
        <w:r w:rsidR="005E7515">
          <w:rPr>
            <w:noProof/>
            <w:webHidden/>
          </w:rPr>
          <w:instrText xml:space="preserve"> PAGEREF _Toc422298371 \h </w:instrText>
        </w:r>
        <w:r w:rsidR="005E7515">
          <w:rPr>
            <w:noProof/>
            <w:webHidden/>
          </w:rPr>
        </w:r>
        <w:r w:rsidR="005E7515">
          <w:rPr>
            <w:noProof/>
            <w:webHidden/>
          </w:rPr>
          <w:fldChar w:fldCharType="separate"/>
        </w:r>
        <w:r w:rsidR="005E7515">
          <w:rPr>
            <w:noProof/>
            <w:webHidden/>
          </w:rPr>
          <w:t>23</w:t>
        </w:r>
        <w:r w:rsidR="005E7515">
          <w:rPr>
            <w:noProof/>
            <w:webHidden/>
          </w:rPr>
          <w:fldChar w:fldCharType="end"/>
        </w:r>
      </w:hyperlink>
    </w:p>
    <w:p w14:paraId="05190891" w14:textId="77777777" w:rsidR="005E7515" w:rsidRPr="004E7F3B" w:rsidRDefault="002B0E45">
      <w:pPr>
        <w:pStyle w:val="TOC2"/>
        <w:tabs>
          <w:tab w:val="left" w:pos="880"/>
          <w:tab w:val="right" w:leader="dot" w:pos="9016"/>
        </w:tabs>
        <w:rPr>
          <w:noProof/>
          <w:szCs w:val="22"/>
          <w:lang w:val="en-AU" w:eastAsia="en-AU"/>
        </w:rPr>
      </w:pPr>
      <w:hyperlink w:anchor="_Toc422298372" w:history="1">
        <w:r w:rsidR="005E7515" w:rsidRPr="00C04338">
          <w:rPr>
            <w:rStyle w:val="Hyperlink"/>
            <w:noProof/>
          </w:rPr>
          <w:t>4.1</w:t>
        </w:r>
        <w:r w:rsidR="005E7515" w:rsidRPr="004E7F3B">
          <w:rPr>
            <w:noProof/>
            <w:szCs w:val="22"/>
            <w:lang w:val="en-AU" w:eastAsia="en-AU"/>
          </w:rPr>
          <w:tab/>
        </w:r>
        <w:r w:rsidR="005E7515" w:rsidRPr="00C04338">
          <w:rPr>
            <w:rStyle w:val="Hyperlink"/>
            <w:noProof/>
          </w:rPr>
          <w:t>Approach considerations and limitations</w:t>
        </w:r>
        <w:r w:rsidR="005E7515">
          <w:rPr>
            <w:noProof/>
            <w:webHidden/>
          </w:rPr>
          <w:tab/>
        </w:r>
        <w:r w:rsidR="005E7515">
          <w:rPr>
            <w:noProof/>
            <w:webHidden/>
          </w:rPr>
          <w:fldChar w:fldCharType="begin"/>
        </w:r>
        <w:r w:rsidR="005E7515">
          <w:rPr>
            <w:noProof/>
            <w:webHidden/>
          </w:rPr>
          <w:instrText xml:space="preserve"> PAGEREF _Toc422298372 \h </w:instrText>
        </w:r>
        <w:r w:rsidR="005E7515">
          <w:rPr>
            <w:noProof/>
            <w:webHidden/>
          </w:rPr>
        </w:r>
        <w:r w:rsidR="005E7515">
          <w:rPr>
            <w:noProof/>
            <w:webHidden/>
          </w:rPr>
          <w:fldChar w:fldCharType="separate"/>
        </w:r>
        <w:r w:rsidR="005E7515">
          <w:rPr>
            <w:noProof/>
            <w:webHidden/>
          </w:rPr>
          <w:t>24</w:t>
        </w:r>
        <w:r w:rsidR="005E7515">
          <w:rPr>
            <w:noProof/>
            <w:webHidden/>
          </w:rPr>
          <w:fldChar w:fldCharType="end"/>
        </w:r>
      </w:hyperlink>
    </w:p>
    <w:p w14:paraId="2C6A509C" w14:textId="77777777" w:rsidR="005E7515" w:rsidRPr="004E7F3B" w:rsidRDefault="002B0E45">
      <w:pPr>
        <w:pStyle w:val="TOC3"/>
        <w:tabs>
          <w:tab w:val="left" w:pos="1320"/>
          <w:tab w:val="right" w:leader="dot" w:pos="9016"/>
        </w:tabs>
        <w:rPr>
          <w:noProof/>
          <w:szCs w:val="22"/>
          <w:lang w:val="en-AU" w:eastAsia="en-AU"/>
        </w:rPr>
      </w:pPr>
      <w:hyperlink w:anchor="_Toc422298373" w:history="1">
        <w:r w:rsidR="005E7515" w:rsidRPr="00C04338">
          <w:rPr>
            <w:rStyle w:val="Hyperlink"/>
            <w:noProof/>
          </w:rPr>
          <w:t>4.1.1</w:t>
        </w:r>
        <w:r w:rsidR="005E7515" w:rsidRPr="004E7F3B">
          <w:rPr>
            <w:noProof/>
            <w:szCs w:val="22"/>
            <w:lang w:val="en-AU" w:eastAsia="en-AU"/>
          </w:rPr>
          <w:tab/>
        </w:r>
        <w:r w:rsidR="005E7515" w:rsidRPr="00C04338">
          <w:rPr>
            <w:rStyle w:val="Hyperlink"/>
            <w:noProof/>
          </w:rPr>
          <w:t>Review and assessment of evidence</w:t>
        </w:r>
        <w:r w:rsidR="005E7515">
          <w:rPr>
            <w:noProof/>
            <w:webHidden/>
          </w:rPr>
          <w:tab/>
        </w:r>
        <w:r w:rsidR="005E7515">
          <w:rPr>
            <w:noProof/>
            <w:webHidden/>
          </w:rPr>
          <w:fldChar w:fldCharType="begin"/>
        </w:r>
        <w:r w:rsidR="005E7515">
          <w:rPr>
            <w:noProof/>
            <w:webHidden/>
          </w:rPr>
          <w:instrText xml:space="preserve"> PAGEREF _Toc422298373 \h </w:instrText>
        </w:r>
        <w:r w:rsidR="005E7515">
          <w:rPr>
            <w:noProof/>
            <w:webHidden/>
          </w:rPr>
        </w:r>
        <w:r w:rsidR="005E7515">
          <w:rPr>
            <w:noProof/>
            <w:webHidden/>
          </w:rPr>
          <w:fldChar w:fldCharType="separate"/>
        </w:r>
        <w:r w:rsidR="005E7515">
          <w:rPr>
            <w:noProof/>
            <w:webHidden/>
          </w:rPr>
          <w:t>24</w:t>
        </w:r>
        <w:r w:rsidR="005E7515">
          <w:rPr>
            <w:noProof/>
            <w:webHidden/>
          </w:rPr>
          <w:fldChar w:fldCharType="end"/>
        </w:r>
      </w:hyperlink>
    </w:p>
    <w:p w14:paraId="05A3316A" w14:textId="77777777" w:rsidR="005E7515" w:rsidRPr="004E7F3B" w:rsidRDefault="002B0E45">
      <w:pPr>
        <w:pStyle w:val="TOC3"/>
        <w:tabs>
          <w:tab w:val="left" w:pos="1320"/>
          <w:tab w:val="right" w:leader="dot" w:pos="9016"/>
        </w:tabs>
        <w:rPr>
          <w:noProof/>
          <w:szCs w:val="22"/>
          <w:lang w:val="en-AU" w:eastAsia="en-AU"/>
        </w:rPr>
      </w:pPr>
      <w:hyperlink w:anchor="_Toc422298374" w:history="1">
        <w:r w:rsidR="005E7515" w:rsidRPr="00C04338">
          <w:rPr>
            <w:rStyle w:val="Hyperlink"/>
            <w:noProof/>
          </w:rPr>
          <w:t>4.1.2</w:t>
        </w:r>
        <w:r w:rsidR="005E7515" w:rsidRPr="004E7F3B">
          <w:rPr>
            <w:noProof/>
            <w:szCs w:val="22"/>
            <w:lang w:val="en-AU" w:eastAsia="en-AU"/>
          </w:rPr>
          <w:tab/>
        </w:r>
        <w:r w:rsidR="005E7515" w:rsidRPr="00C04338">
          <w:rPr>
            <w:rStyle w:val="Hyperlink"/>
            <w:noProof/>
          </w:rPr>
          <w:t>Stakeholder interviews</w:t>
        </w:r>
        <w:r w:rsidR="005E7515">
          <w:rPr>
            <w:noProof/>
            <w:webHidden/>
          </w:rPr>
          <w:tab/>
        </w:r>
        <w:r w:rsidR="005E7515">
          <w:rPr>
            <w:noProof/>
            <w:webHidden/>
          </w:rPr>
          <w:fldChar w:fldCharType="begin"/>
        </w:r>
        <w:r w:rsidR="005E7515">
          <w:rPr>
            <w:noProof/>
            <w:webHidden/>
          </w:rPr>
          <w:instrText xml:space="preserve"> PAGEREF _Toc422298374 \h </w:instrText>
        </w:r>
        <w:r w:rsidR="005E7515">
          <w:rPr>
            <w:noProof/>
            <w:webHidden/>
          </w:rPr>
        </w:r>
        <w:r w:rsidR="005E7515">
          <w:rPr>
            <w:noProof/>
            <w:webHidden/>
          </w:rPr>
          <w:fldChar w:fldCharType="separate"/>
        </w:r>
        <w:r w:rsidR="005E7515">
          <w:rPr>
            <w:noProof/>
            <w:webHidden/>
          </w:rPr>
          <w:t>24</w:t>
        </w:r>
        <w:r w:rsidR="005E7515">
          <w:rPr>
            <w:noProof/>
            <w:webHidden/>
          </w:rPr>
          <w:fldChar w:fldCharType="end"/>
        </w:r>
      </w:hyperlink>
    </w:p>
    <w:p w14:paraId="60AB6096" w14:textId="77777777" w:rsidR="005E7515" w:rsidRPr="004E7F3B" w:rsidRDefault="002B0E45">
      <w:pPr>
        <w:pStyle w:val="TOC1"/>
        <w:tabs>
          <w:tab w:val="left" w:pos="440"/>
          <w:tab w:val="right" w:leader="dot" w:pos="9016"/>
        </w:tabs>
        <w:rPr>
          <w:noProof/>
          <w:szCs w:val="22"/>
          <w:lang w:val="en-AU" w:eastAsia="en-AU"/>
        </w:rPr>
      </w:pPr>
      <w:hyperlink w:anchor="_Toc422298375" w:history="1">
        <w:r w:rsidR="005E7515" w:rsidRPr="00C04338">
          <w:rPr>
            <w:rStyle w:val="Hyperlink"/>
            <w:noProof/>
          </w:rPr>
          <w:t>5</w:t>
        </w:r>
        <w:r w:rsidR="005E7515" w:rsidRPr="004E7F3B">
          <w:rPr>
            <w:noProof/>
            <w:szCs w:val="22"/>
            <w:lang w:val="en-AU" w:eastAsia="en-AU"/>
          </w:rPr>
          <w:tab/>
        </w:r>
        <w:r w:rsidR="005E7515" w:rsidRPr="00C04338">
          <w:rPr>
            <w:rStyle w:val="Hyperlink"/>
            <w:noProof/>
          </w:rPr>
          <w:t>Findings:  The case for policy intervention, types of intervention, scheme design and administration</w:t>
        </w:r>
        <w:r w:rsidR="005E7515">
          <w:rPr>
            <w:noProof/>
            <w:webHidden/>
          </w:rPr>
          <w:tab/>
        </w:r>
        <w:r w:rsidR="005E7515">
          <w:rPr>
            <w:noProof/>
            <w:webHidden/>
          </w:rPr>
          <w:fldChar w:fldCharType="begin"/>
        </w:r>
        <w:r w:rsidR="005E7515">
          <w:rPr>
            <w:noProof/>
            <w:webHidden/>
          </w:rPr>
          <w:instrText xml:space="preserve"> PAGEREF _Toc422298375 \h </w:instrText>
        </w:r>
        <w:r w:rsidR="005E7515">
          <w:rPr>
            <w:noProof/>
            <w:webHidden/>
          </w:rPr>
        </w:r>
        <w:r w:rsidR="005E7515">
          <w:rPr>
            <w:noProof/>
            <w:webHidden/>
          </w:rPr>
          <w:fldChar w:fldCharType="separate"/>
        </w:r>
        <w:r w:rsidR="005E7515">
          <w:rPr>
            <w:noProof/>
            <w:webHidden/>
          </w:rPr>
          <w:t>25</w:t>
        </w:r>
        <w:r w:rsidR="005E7515">
          <w:rPr>
            <w:noProof/>
            <w:webHidden/>
          </w:rPr>
          <w:fldChar w:fldCharType="end"/>
        </w:r>
      </w:hyperlink>
    </w:p>
    <w:p w14:paraId="29A5335C" w14:textId="77777777" w:rsidR="005E7515" w:rsidRPr="004E7F3B" w:rsidRDefault="002B0E45">
      <w:pPr>
        <w:pStyle w:val="TOC2"/>
        <w:tabs>
          <w:tab w:val="left" w:pos="880"/>
          <w:tab w:val="right" w:leader="dot" w:pos="9016"/>
        </w:tabs>
        <w:rPr>
          <w:noProof/>
          <w:szCs w:val="22"/>
          <w:lang w:val="en-AU" w:eastAsia="en-AU"/>
        </w:rPr>
      </w:pPr>
      <w:hyperlink w:anchor="_Toc422298376" w:history="1">
        <w:r w:rsidR="005E7515" w:rsidRPr="00C04338">
          <w:rPr>
            <w:rStyle w:val="Hyperlink"/>
            <w:noProof/>
          </w:rPr>
          <w:t>5.1</w:t>
        </w:r>
        <w:r w:rsidR="005E7515" w:rsidRPr="004E7F3B">
          <w:rPr>
            <w:noProof/>
            <w:szCs w:val="22"/>
            <w:lang w:val="en-AU" w:eastAsia="en-AU"/>
          </w:rPr>
          <w:tab/>
        </w:r>
        <w:r w:rsidR="005E7515" w:rsidRPr="00C04338">
          <w:rPr>
            <w:rStyle w:val="Hyperlink"/>
            <w:noProof/>
          </w:rPr>
          <w:t>The case for policy intervention</w:t>
        </w:r>
        <w:r w:rsidR="005E7515">
          <w:rPr>
            <w:noProof/>
            <w:webHidden/>
          </w:rPr>
          <w:tab/>
        </w:r>
        <w:r w:rsidR="005E7515">
          <w:rPr>
            <w:noProof/>
            <w:webHidden/>
          </w:rPr>
          <w:fldChar w:fldCharType="begin"/>
        </w:r>
        <w:r w:rsidR="005E7515">
          <w:rPr>
            <w:noProof/>
            <w:webHidden/>
          </w:rPr>
          <w:instrText xml:space="preserve"> PAGEREF _Toc422298376 \h </w:instrText>
        </w:r>
        <w:r w:rsidR="005E7515">
          <w:rPr>
            <w:noProof/>
            <w:webHidden/>
          </w:rPr>
        </w:r>
        <w:r w:rsidR="005E7515">
          <w:rPr>
            <w:noProof/>
            <w:webHidden/>
          </w:rPr>
          <w:fldChar w:fldCharType="separate"/>
        </w:r>
        <w:r w:rsidR="005E7515">
          <w:rPr>
            <w:noProof/>
            <w:webHidden/>
          </w:rPr>
          <w:t>25</w:t>
        </w:r>
        <w:r w:rsidR="005E7515">
          <w:rPr>
            <w:noProof/>
            <w:webHidden/>
          </w:rPr>
          <w:fldChar w:fldCharType="end"/>
        </w:r>
      </w:hyperlink>
    </w:p>
    <w:p w14:paraId="41B0143B" w14:textId="77777777" w:rsidR="005E7515" w:rsidRPr="004E7F3B" w:rsidRDefault="002B0E45">
      <w:pPr>
        <w:pStyle w:val="TOC3"/>
        <w:tabs>
          <w:tab w:val="left" w:pos="1320"/>
          <w:tab w:val="right" w:leader="dot" w:pos="9016"/>
        </w:tabs>
        <w:rPr>
          <w:noProof/>
          <w:szCs w:val="22"/>
          <w:lang w:val="en-AU" w:eastAsia="en-AU"/>
        </w:rPr>
      </w:pPr>
      <w:hyperlink w:anchor="_Toc422298377" w:history="1">
        <w:r w:rsidR="005E7515" w:rsidRPr="00C04338">
          <w:rPr>
            <w:rStyle w:val="Hyperlink"/>
            <w:noProof/>
          </w:rPr>
          <w:t>5.1.1</w:t>
        </w:r>
        <w:r w:rsidR="005E7515" w:rsidRPr="004E7F3B">
          <w:rPr>
            <w:noProof/>
            <w:szCs w:val="22"/>
            <w:lang w:val="en-AU" w:eastAsia="en-AU"/>
          </w:rPr>
          <w:tab/>
        </w:r>
        <w:r w:rsidR="005E7515" w:rsidRPr="00C04338">
          <w:rPr>
            <w:rStyle w:val="Hyperlink"/>
            <w:noProof/>
          </w:rPr>
          <w:t>Product energy efficiency market failures and barriers</w:t>
        </w:r>
        <w:r w:rsidR="005E7515">
          <w:rPr>
            <w:noProof/>
            <w:webHidden/>
          </w:rPr>
          <w:tab/>
        </w:r>
        <w:r w:rsidR="005E7515">
          <w:rPr>
            <w:noProof/>
            <w:webHidden/>
          </w:rPr>
          <w:fldChar w:fldCharType="begin"/>
        </w:r>
        <w:r w:rsidR="005E7515">
          <w:rPr>
            <w:noProof/>
            <w:webHidden/>
          </w:rPr>
          <w:instrText xml:space="preserve"> PAGEREF _Toc422298377 \h </w:instrText>
        </w:r>
        <w:r w:rsidR="005E7515">
          <w:rPr>
            <w:noProof/>
            <w:webHidden/>
          </w:rPr>
        </w:r>
        <w:r w:rsidR="005E7515">
          <w:rPr>
            <w:noProof/>
            <w:webHidden/>
          </w:rPr>
          <w:fldChar w:fldCharType="separate"/>
        </w:r>
        <w:r w:rsidR="005E7515">
          <w:rPr>
            <w:noProof/>
            <w:webHidden/>
          </w:rPr>
          <w:t>25</w:t>
        </w:r>
        <w:r w:rsidR="005E7515">
          <w:rPr>
            <w:noProof/>
            <w:webHidden/>
          </w:rPr>
          <w:fldChar w:fldCharType="end"/>
        </w:r>
      </w:hyperlink>
    </w:p>
    <w:p w14:paraId="1B050409" w14:textId="77777777" w:rsidR="005E7515" w:rsidRPr="004E7F3B" w:rsidRDefault="002B0E45">
      <w:pPr>
        <w:pStyle w:val="TOC3"/>
        <w:tabs>
          <w:tab w:val="left" w:pos="1320"/>
          <w:tab w:val="right" w:leader="dot" w:pos="9016"/>
        </w:tabs>
        <w:rPr>
          <w:noProof/>
          <w:szCs w:val="22"/>
          <w:lang w:val="en-AU" w:eastAsia="en-AU"/>
        </w:rPr>
      </w:pPr>
      <w:hyperlink w:anchor="_Toc422298378" w:history="1">
        <w:r w:rsidR="005E7515" w:rsidRPr="00C04338">
          <w:rPr>
            <w:rStyle w:val="Hyperlink"/>
            <w:noProof/>
          </w:rPr>
          <w:t>5.1.2</w:t>
        </w:r>
        <w:r w:rsidR="005E7515" w:rsidRPr="004E7F3B">
          <w:rPr>
            <w:noProof/>
            <w:szCs w:val="22"/>
            <w:lang w:val="en-AU" w:eastAsia="en-AU"/>
          </w:rPr>
          <w:tab/>
        </w:r>
        <w:r w:rsidR="005E7515" w:rsidRPr="00C04338">
          <w:rPr>
            <w:rStyle w:val="Hyperlink"/>
            <w:noProof/>
          </w:rPr>
          <w:t>Policy interventions and evidence of their benefits</w:t>
        </w:r>
        <w:r w:rsidR="005E7515">
          <w:rPr>
            <w:noProof/>
            <w:webHidden/>
          </w:rPr>
          <w:tab/>
        </w:r>
        <w:r w:rsidR="005E7515">
          <w:rPr>
            <w:noProof/>
            <w:webHidden/>
          </w:rPr>
          <w:fldChar w:fldCharType="begin"/>
        </w:r>
        <w:r w:rsidR="005E7515">
          <w:rPr>
            <w:noProof/>
            <w:webHidden/>
          </w:rPr>
          <w:instrText xml:space="preserve"> PAGEREF _Toc422298378 \h </w:instrText>
        </w:r>
        <w:r w:rsidR="005E7515">
          <w:rPr>
            <w:noProof/>
            <w:webHidden/>
          </w:rPr>
        </w:r>
        <w:r w:rsidR="005E7515">
          <w:rPr>
            <w:noProof/>
            <w:webHidden/>
          </w:rPr>
          <w:fldChar w:fldCharType="separate"/>
        </w:r>
        <w:r w:rsidR="005E7515">
          <w:rPr>
            <w:noProof/>
            <w:webHidden/>
          </w:rPr>
          <w:t>26</w:t>
        </w:r>
        <w:r w:rsidR="005E7515">
          <w:rPr>
            <w:noProof/>
            <w:webHidden/>
          </w:rPr>
          <w:fldChar w:fldCharType="end"/>
        </w:r>
      </w:hyperlink>
    </w:p>
    <w:p w14:paraId="2A7896A0" w14:textId="77777777" w:rsidR="005E7515" w:rsidRPr="004E7F3B" w:rsidRDefault="002B0E45">
      <w:pPr>
        <w:pStyle w:val="TOC2"/>
        <w:tabs>
          <w:tab w:val="left" w:pos="880"/>
          <w:tab w:val="right" w:leader="dot" w:pos="9016"/>
        </w:tabs>
        <w:rPr>
          <w:noProof/>
          <w:szCs w:val="22"/>
          <w:lang w:val="en-AU" w:eastAsia="en-AU"/>
        </w:rPr>
      </w:pPr>
      <w:hyperlink w:anchor="_Toc422298379" w:history="1">
        <w:r w:rsidR="005E7515" w:rsidRPr="00C04338">
          <w:rPr>
            <w:rStyle w:val="Hyperlink"/>
            <w:noProof/>
            <w:lang w:val="en-AU"/>
          </w:rPr>
          <w:t>5.2</w:t>
        </w:r>
        <w:r w:rsidR="005E7515" w:rsidRPr="004E7F3B">
          <w:rPr>
            <w:noProof/>
            <w:szCs w:val="22"/>
            <w:lang w:val="en-AU" w:eastAsia="en-AU"/>
          </w:rPr>
          <w:tab/>
        </w:r>
        <w:r w:rsidR="005E7515" w:rsidRPr="00C04338">
          <w:rPr>
            <w:rStyle w:val="Hyperlink"/>
            <w:noProof/>
            <w:lang w:val="en-AU"/>
          </w:rPr>
          <w:t>Types of policy intervention</w:t>
        </w:r>
        <w:r w:rsidR="005E7515">
          <w:rPr>
            <w:noProof/>
            <w:webHidden/>
          </w:rPr>
          <w:tab/>
        </w:r>
        <w:r w:rsidR="005E7515">
          <w:rPr>
            <w:noProof/>
            <w:webHidden/>
          </w:rPr>
          <w:fldChar w:fldCharType="begin"/>
        </w:r>
        <w:r w:rsidR="005E7515">
          <w:rPr>
            <w:noProof/>
            <w:webHidden/>
          </w:rPr>
          <w:instrText xml:space="preserve"> PAGEREF _Toc422298379 \h </w:instrText>
        </w:r>
        <w:r w:rsidR="005E7515">
          <w:rPr>
            <w:noProof/>
            <w:webHidden/>
          </w:rPr>
        </w:r>
        <w:r w:rsidR="005E7515">
          <w:rPr>
            <w:noProof/>
            <w:webHidden/>
          </w:rPr>
          <w:fldChar w:fldCharType="separate"/>
        </w:r>
        <w:r w:rsidR="005E7515">
          <w:rPr>
            <w:noProof/>
            <w:webHidden/>
          </w:rPr>
          <w:t>29</w:t>
        </w:r>
        <w:r w:rsidR="005E7515">
          <w:rPr>
            <w:noProof/>
            <w:webHidden/>
          </w:rPr>
          <w:fldChar w:fldCharType="end"/>
        </w:r>
      </w:hyperlink>
    </w:p>
    <w:p w14:paraId="6F374B4B" w14:textId="77777777" w:rsidR="005E7515" w:rsidRPr="004E7F3B" w:rsidRDefault="002B0E45">
      <w:pPr>
        <w:pStyle w:val="TOC3"/>
        <w:tabs>
          <w:tab w:val="left" w:pos="1320"/>
          <w:tab w:val="right" w:leader="dot" w:pos="9016"/>
        </w:tabs>
        <w:rPr>
          <w:noProof/>
          <w:szCs w:val="22"/>
          <w:lang w:val="en-AU" w:eastAsia="en-AU"/>
        </w:rPr>
      </w:pPr>
      <w:hyperlink w:anchor="_Toc422298380" w:history="1">
        <w:r w:rsidR="005E7515" w:rsidRPr="00C04338">
          <w:rPr>
            <w:rStyle w:val="Hyperlink"/>
            <w:noProof/>
          </w:rPr>
          <w:t>5.2.1</w:t>
        </w:r>
        <w:r w:rsidR="005E7515" w:rsidRPr="004E7F3B">
          <w:rPr>
            <w:noProof/>
            <w:szCs w:val="22"/>
            <w:lang w:val="en-AU" w:eastAsia="en-AU"/>
          </w:rPr>
          <w:tab/>
        </w:r>
        <w:r w:rsidR="005E7515" w:rsidRPr="00C04338">
          <w:rPr>
            <w:rStyle w:val="Hyperlink"/>
            <w:noProof/>
          </w:rPr>
          <w:t>MEPS and voluntary alternatives</w:t>
        </w:r>
        <w:r w:rsidR="005E7515">
          <w:rPr>
            <w:noProof/>
            <w:webHidden/>
          </w:rPr>
          <w:tab/>
        </w:r>
        <w:r w:rsidR="005E7515">
          <w:rPr>
            <w:noProof/>
            <w:webHidden/>
          </w:rPr>
          <w:fldChar w:fldCharType="begin"/>
        </w:r>
        <w:r w:rsidR="005E7515">
          <w:rPr>
            <w:noProof/>
            <w:webHidden/>
          </w:rPr>
          <w:instrText xml:space="preserve"> PAGEREF _Toc422298380 \h </w:instrText>
        </w:r>
        <w:r w:rsidR="005E7515">
          <w:rPr>
            <w:noProof/>
            <w:webHidden/>
          </w:rPr>
        </w:r>
        <w:r w:rsidR="005E7515">
          <w:rPr>
            <w:noProof/>
            <w:webHidden/>
          </w:rPr>
          <w:fldChar w:fldCharType="separate"/>
        </w:r>
        <w:r w:rsidR="005E7515">
          <w:rPr>
            <w:noProof/>
            <w:webHidden/>
          </w:rPr>
          <w:t>29</w:t>
        </w:r>
        <w:r w:rsidR="005E7515">
          <w:rPr>
            <w:noProof/>
            <w:webHidden/>
          </w:rPr>
          <w:fldChar w:fldCharType="end"/>
        </w:r>
      </w:hyperlink>
    </w:p>
    <w:p w14:paraId="37506DEA" w14:textId="77777777" w:rsidR="005E7515" w:rsidRPr="004E7F3B" w:rsidRDefault="002B0E45">
      <w:pPr>
        <w:pStyle w:val="TOC3"/>
        <w:tabs>
          <w:tab w:val="left" w:pos="1320"/>
          <w:tab w:val="right" w:leader="dot" w:pos="9016"/>
        </w:tabs>
        <w:rPr>
          <w:noProof/>
          <w:szCs w:val="22"/>
          <w:lang w:val="en-AU" w:eastAsia="en-AU"/>
        </w:rPr>
      </w:pPr>
      <w:hyperlink w:anchor="_Toc422298381" w:history="1">
        <w:r w:rsidR="005E7515" w:rsidRPr="00C04338">
          <w:rPr>
            <w:rStyle w:val="Hyperlink"/>
            <w:noProof/>
          </w:rPr>
          <w:t>5.2.2</w:t>
        </w:r>
        <w:r w:rsidR="005E7515" w:rsidRPr="004E7F3B">
          <w:rPr>
            <w:noProof/>
            <w:szCs w:val="22"/>
            <w:lang w:val="en-AU" w:eastAsia="en-AU"/>
          </w:rPr>
          <w:tab/>
        </w:r>
        <w:r w:rsidR="005E7515" w:rsidRPr="00C04338">
          <w:rPr>
            <w:rStyle w:val="Hyperlink"/>
            <w:noProof/>
          </w:rPr>
          <w:t>Labelling</w:t>
        </w:r>
        <w:r w:rsidR="005E7515">
          <w:rPr>
            <w:noProof/>
            <w:webHidden/>
          </w:rPr>
          <w:tab/>
        </w:r>
        <w:r w:rsidR="005E7515">
          <w:rPr>
            <w:noProof/>
            <w:webHidden/>
          </w:rPr>
          <w:fldChar w:fldCharType="begin"/>
        </w:r>
        <w:r w:rsidR="005E7515">
          <w:rPr>
            <w:noProof/>
            <w:webHidden/>
          </w:rPr>
          <w:instrText xml:space="preserve"> PAGEREF _Toc422298381 \h </w:instrText>
        </w:r>
        <w:r w:rsidR="005E7515">
          <w:rPr>
            <w:noProof/>
            <w:webHidden/>
          </w:rPr>
        </w:r>
        <w:r w:rsidR="005E7515">
          <w:rPr>
            <w:noProof/>
            <w:webHidden/>
          </w:rPr>
          <w:fldChar w:fldCharType="separate"/>
        </w:r>
        <w:r w:rsidR="005E7515">
          <w:rPr>
            <w:noProof/>
            <w:webHidden/>
          </w:rPr>
          <w:t>33</w:t>
        </w:r>
        <w:r w:rsidR="005E7515">
          <w:rPr>
            <w:noProof/>
            <w:webHidden/>
          </w:rPr>
          <w:fldChar w:fldCharType="end"/>
        </w:r>
      </w:hyperlink>
    </w:p>
    <w:p w14:paraId="2395729E" w14:textId="77777777" w:rsidR="005E7515" w:rsidRPr="004E7F3B" w:rsidRDefault="002B0E45">
      <w:pPr>
        <w:pStyle w:val="TOC3"/>
        <w:tabs>
          <w:tab w:val="left" w:pos="1320"/>
          <w:tab w:val="right" w:leader="dot" w:pos="9016"/>
        </w:tabs>
        <w:rPr>
          <w:noProof/>
          <w:szCs w:val="22"/>
          <w:lang w:val="en-AU" w:eastAsia="en-AU"/>
        </w:rPr>
      </w:pPr>
      <w:hyperlink w:anchor="_Toc422298382" w:history="1">
        <w:r w:rsidR="005E7515" w:rsidRPr="00C04338">
          <w:rPr>
            <w:rStyle w:val="Hyperlink"/>
            <w:noProof/>
          </w:rPr>
          <w:t>5.2.3</w:t>
        </w:r>
        <w:r w:rsidR="005E7515" w:rsidRPr="004E7F3B">
          <w:rPr>
            <w:noProof/>
            <w:szCs w:val="22"/>
            <w:lang w:val="en-AU" w:eastAsia="en-AU"/>
          </w:rPr>
          <w:tab/>
        </w:r>
        <w:r w:rsidR="005E7515" w:rsidRPr="00C04338">
          <w:rPr>
            <w:rStyle w:val="Hyperlink"/>
            <w:noProof/>
          </w:rPr>
          <w:t>Other policy interventions</w:t>
        </w:r>
        <w:r w:rsidR="005E7515">
          <w:rPr>
            <w:noProof/>
            <w:webHidden/>
          </w:rPr>
          <w:tab/>
        </w:r>
        <w:r w:rsidR="005E7515">
          <w:rPr>
            <w:noProof/>
            <w:webHidden/>
          </w:rPr>
          <w:fldChar w:fldCharType="begin"/>
        </w:r>
        <w:r w:rsidR="005E7515">
          <w:rPr>
            <w:noProof/>
            <w:webHidden/>
          </w:rPr>
          <w:instrText xml:space="preserve"> PAGEREF _Toc422298382 \h </w:instrText>
        </w:r>
        <w:r w:rsidR="005E7515">
          <w:rPr>
            <w:noProof/>
            <w:webHidden/>
          </w:rPr>
        </w:r>
        <w:r w:rsidR="005E7515">
          <w:rPr>
            <w:noProof/>
            <w:webHidden/>
          </w:rPr>
          <w:fldChar w:fldCharType="separate"/>
        </w:r>
        <w:r w:rsidR="005E7515">
          <w:rPr>
            <w:noProof/>
            <w:webHidden/>
          </w:rPr>
          <w:t>37</w:t>
        </w:r>
        <w:r w:rsidR="005E7515">
          <w:rPr>
            <w:noProof/>
            <w:webHidden/>
          </w:rPr>
          <w:fldChar w:fldCharType="end"/>
        </w:r>
      </w:hyperlink>
    </w:p>
    <w:p w14:paraId="375ACB40" w14:textId="77777777" w:rsidR="005E7515" w:rsidRPr="004E7F3B" w:rsidRDefault="002B0E45">
      <w:pPr>
        <w:pStyle w:val="TOC2"/>
        <w:tabs>
          <w:tab w:val="left" w:pos="880"/>
          <w:tab w:val="right" w:leader="dot" w:pos="9016"/>
        </w:tabs>
        <w:rPr>
          <w:noProof/>
          <w:szCs w:val="22"/>
          <w:lang w:val="en-AU" w:eastAsia="en-AU"/>
        </w:rPr>
      </w:pPr>
      <w:hyperlink w:anchor="_Toc422298383" w:history="1">
        <w:r w:rsidR="005E7515" w:rsidRPr="00C04338">
          <w:rPr>
            <w:rStyle w:val="Hyperlink"/>
            <w:noProof/>
          </w:rPr>
          <w:t>5.3</w:t>
        </w:r>
        <w:r w:rsidR="005E7515" w:rsidRPr="004E7F3B">
          <w:rPr>
            <w:noProof/>
            <w:szCs w:val="22"/>
            <w:lang w:val="en-AU" w:eastAsia="en-AU"/>
          </w:rPr>
          <w:tab/>
        </w:r>
        <w:r w:rsidR="005E7515" w:rsidRPr="00C04338">
          <w:rPr>
            <w:rStyle w:val="Hyperlink"/>
            <w:noProof/>
          </w:rPr>
          <w:t>Scheme design and administration</w:t>
        </w:r>
        <w:r w:rsidR="005E7515">
          <w:rPr>
            <w:noProof/>
            <w:webHidden/>
          </w:rPr>
          <w:tab/>
        </w:r>
        <w:r w:rsidR="005E7515">
          <w:rPr>
            <w:noProof/>
            <w:webHidden/>
          </w:rPr>
          <w:fldChar w:fldCharType="begin"/>
        </w:r>
        <w:r w:rsidR="005E7515">
          <w:rPr>
            <w:noProof/>
            <w:webHidden/>
          </w:rPr>
          <w:instrText xml:space="preserve"> PAGEREF _Toc422298383 \h </w:instrText>
        </w:r>
        <w:r w:rsidR="005E7515">
          <w:rPr>
            <w:noProof/>
            <w:webHidden/>
          </w:rPr>
        </w:r>
        <w:r w:rsidR="005E7515">
          <w:rPr>
            <w:noProof/>
            <w:webHidden/>
          </w:rPr>
          <w:fldChar w:fldCharType="separate"/>
        </w:r>
        <w:r w:rsidR="005E7515">
          <w:rPr>
            <w:noProof/>
            <w:webHidden/>
          </w:rPr>
          <w:t>37</w:t>
        </w:r>
        <w:r w:rsidR="005E7515">
          <w:rPr>
            <w:noProof/>
            <w:webHidden/>
          </w:rPr>
          <w:fldChar w:fldCharType="end"/>
        </w:r>
      </w:hyperlink>
    </w:p>
    <w:p w14:paraId="31342467" w14:textId="77777777" w:rsidR="005E7515" w:rsidRPr="004E7F3B" w:rsidRDefault="002B0E45">
      <w:pPr>
        <w:pStyle w:val="TOC3"/>
        <w:tabs>
          <w:tab w:val="left" w:pos="1320"/>
          <w:tab w:val="right" w:leader="dot" w:pos="9016"/>
        </w:tabs>
        <w:rPr>
          <w:noProof/>
          <w:szCs w:val="22"/>
          <w:lang w:val="en-AU" w:eastAsia="en-AU"/>
        </w:rPr>
      </w:pPr>
      <w:hyperlink w:anchor="_Toc422298384" w:history="1">
        <w:r w:rsidR="005E7515" w:rsidRPr="00C04338">
          <w:rPr>
            <w:rStyle w:val="Hyperlink"/>
            <w:noProof/>
          </w:rPr>
          <w:t>5.3.1</w:t>
        </w:r>
        <w:r w:rsidR="005E7515" w:rsidRPr="004E7F3B">
          <w:rPr>
            <w:noProof/>
            <w:szCs w:val="22"/>
            <w:lang w:val="en-AU" w:eastAsia="en-AU"/>
          </w:rPr>
          <w:tab/>
        </w:r>
        <w:r w:rsidR="005E7515" w:rsidRPr="00C04338">
          <w:rPr>
            <w:rStyle w:val="Hyperlink"/>
            <w:noProof/>
          </w:rPr>
          <w:t>Government intervention vs. alternatives</w:t>
        </w:r>
        <w:r w:rsidR="005E7515">
          <w:rPr>
            <w:noProof/>
            <w:webHidden/>
          </w:rPr>
          <w:tab/>
        </w:r>
        <w:r w:rsidR="005E7515">
          <w:rPr>
            <w:noProof/>
            <w:webHidden/>
          </w:rPr>
          <w:fldChar w:fldCharType="begin"/>
        </w:r>
        <w:r w:rsidR="005E7515">
          <w:rPr>
            <w:noProof/>
            <w:webHidden/>
          </w:rPr>
          <w:instrText xml:space="preserve"> PAGEREF _Toc422298384 \h </w:instrText>
        </w:r>
        <w:r w:rsidR="005E7515">
          <w:rPr>
            <w:noProof/>
            <w:webHidden/>
          </w:rPr>
        </w:r>
        <w:r w:rsidR="005E7515">
          <w:rPr>
            <w:noProof/>
            <w:webHidden/>
          </w:rPr>
          <w:fldChar w:fldCharType="separate"/>
        </w:r>
        <w:r w:rsidR="005E7515">
          <w:rPr>
            <w:noProof/>
            <w:webHidden/>
          </w:rPr>
          <w:t>37</w:t>
        </w:r>
        <w:r w:rsidR="005E7515">
          <w:rPr>
            <w:noProof/>
            <w:webHidden/>
          </w:rPr>
          <w:fldChar w:fldCharType="end"/>
        </w:r>
      </w:hyperlink>
    </w:p>
    <w:p w14:paraId="38654834" w14:textId="77777777" w:rsidR="005E7515" w:rsidRPr="004E7F3B" w:rsidRDefault="002B0E45">
      <w:pPr>
        <w:pStyle w:val="TOC3"/>
        <w:tabs>
          <w:tab w:val="left" w:pos="1320"/>
          <w:tab w:val="right" w:leader="dot" w:pos="9016"/>
        </w:tabs>
        <w:rPr>
          <w:noProof/>
          <w:szCs w:val="22"/>
          <w:lang w:val="en-AU" w:eastAsia="en-AU"/>
        </w:rPr>
      </w:pPr>
      <w:hyperlink w:anchor="_Toc422298385" w:history="1">
        <w:r w:rsidR="005E7515" w:rsidRPr="00C04338">
          <w:rPr>
            <w:rStyle w:val="Hyperlink"/>
            <w:noProof/>
          </w:rPr>
          <w:t>5.3.2</w:t>
        </w:r>
        <w:r w:rsidR="005E7515" w:rsidRPr="004E7F3B">
          <w:rPr>
            <w:noProof/>
            <w:szCs w:val="22"/>
            <w:lang w:val="en-AU" w:eastAsia="en-AU"/>
          </w:rPr>
          <w:tab/>
        </w:r>
        <w:r w:rsidR="005E7515" w:rsidRPr="00C04338">
          <w:rPr>
            <w:rStyle w:val="Hyperlink"/>
            <w:noProof/>
          </w:rPr>
          <w:t>Level of government</w:t>
        </w:r>
        <w:r w:rsidR="005E7515">
          <w:rPr>
            <w:noProof/>
            <w:webHidden/>
          </w:rPr>
          <w:tab/>
        </w:r>
        <w:r w:rsidR="005E7515">
          <w:rPr>
            <w:noProof/>
            <w:webHidden/>
          </w:rPr>
          <w:fldChar w:fldCharType="begin"/>
        </w:r>
        <w:r w:rsidR="005E7515">
          <w:rPr>
            <w:noProof/>
            <w:webHidden/>
          </w:rPr>
          <w:instrText xml:space="preserve"> PAGEREF _Toc422298385 \h </w:instrText>
        </w:r>
        <w:r w:rsidR="005E7515">
          <w:rPr>
            <w:noProof/>
            <w:webHidden/>
          </w:rPr>
        </w:r>
        <w:r w:rsidR="005E7515">
          <w:rPr>
            <w:noProof/>
            <w:webHidden/>
          </w:rPr>
          <w:fldChar w:fldCharType="separate"/>
        </w:r>
        <w:r w:rsidR="005E7515">
          <w:rPr>
            <w:noProof/>
            <w:webHidden/>
          </w:rPr>
          <w:t>38</w:t>
        </w:r>
        <w:r w:rsidR="005E7515">
          <w:rPr>
            <w:noProof/>
            <w:webHidden/>
          </w:rPr>
          <w:fldChar w:fldCharType="end"/>
        </w:r>
      </w:hyperlink>
    </w:p>
    <w:p w14:paraId="208FC2FE" w14:textId="77777777" w:rsidR="005E7515" w:rsidRPr="004E7F3B" w:rsidRDefault="002B0E45">
      <w:pPr>
        <w:pStyle w:val="TOC2"/>
        <w:tabs>
          <w:tab w:val="left" w:pos="880"/>
          <w:tab w:val="right" w:leader="dot" w:pos="9016"/>
        </w:tabs>
        <w:rPr>
          <w:noProof/>
          <w:szCs w:val="22"/>
          <w:lang w:val="en-AU" w:eastAsia="en-AU"/>
        </w:rPr>
      </w:pPr>
      <w:hyperlink w:anchor="_Toc422298386" w:history="1">
        <w:r w:rsidR="005E7515" w:rsidRPr="00C04338">
          <w:rPr>
            <w:rStyle w:val="Hyperlink"/>
            <w:noProof/>
          </w:rPr>
          <w:t>5.4</w:t>
        </w:r>
        <w:r w:rsidR="005E7515" w:rsidRPr="004E7F3B">
          <w:rPr>
            <w:noProof/>
            <w:szCs w:val="22"/>
            <w:lang w:val="en-AU" w:eastAsia="en-AU"/>
          </w:rPr>
          <w:tab/>
        </w:r>
        <w:r w:rsidR="005E7515" w:rsidRPr="00C04338">
          <w:rPr>
            <w:rStyle w:val="Hyperlink"/>
            <w:noProof/>
          </w:rPr>
          <w:t>Conclusions and recommendations</w:t>
        </w:r>
        <w:r w:rsidR="005E7515">
          <w:rPr>
            <w:noProof/>
            <w:webHidden/>
          </w:rPr>
          <w:tab/>
        </w:r>
        <w:r w:rsidR="005E7515">
          <w:rPr>
            <w:noProof/>
            <w:webHidden/>
          </w:rPr>
          <w:fldChar w:fldCharType="begin"/>
        </w:r>
        <w:r w:rsidR="005E7515">
          <w:rPr>
            <w:noProof/>
            <w:webHidden/>
          </w:rPr>
          <w:instrText xml:space="preserve"> PAGEREF _Toc422298386 \h </w:instrText>
        </w:r>
        <w:r w:rsidR="005E7515">
          <w:rPr>
            <w:noProof/>
            <w:webHidden/>
          </w:rPr>
        </w:r>
        <w:r w:rsidR="005E7515">
          <w:rPr>
            <w:noProof/>
            <w:webHidden/>
          </w:rPr>
          <w:fldChar w:fldCharType="separate"/>
        </w:r>
        <w:r w:rsidR="005E7515">
          <w:rPr>
            <w:noProof/>
            <w:webHidden/>
          </w:rPr>
          <w:t>40</w:t>
        </w:r>
        <w:r w:rsidR="005E7515">
          <w:rPr>
            <w:noProof/>
            <w:webHidden/>
          </w:rPr>
          <w:fldChar w:fldCharType="end"/>
        </w:r>
      </w:hyperlink>
    </w:p>
    <w:p w14:paraId="4638446B" w14:textId="77777777" w:rsidR="005E7515" w:rsidRPr="004E7F3B" w:rsidRDefault="002B0E45">
      <w:pPr>
        <w:pStyle w:val="TOC3"/>
        <w:tabs>
          <w:tab w:val="left" w:pos="1320"/>
          <w:tab w:val="right" w:leader="dot" w:pos="9016"/>
        </w:tabs>
        <w:rPr>
          <w:noProof/>
          <w:szCs w:val="22"/>
          <w:lang w:val="en-AU" w:eastAsia="en-AU"/>
        </w:rPr>
      </w:pPr>
      <w:hyperlink w:anchor="_Toc422298387" w:history="1">
        <w:r w:rsidR="005E7515" w:rsidRPr="00C04338">
          <w:rPr>
            <w:rStyle w:val="Hyperlink"/>
            <w:noProof/>
          </w:rPr>
          <w:t>5.4.1</w:t>
        </w:r>
        <w:r w:rsidR="005E7515" w:rsidRPr="004E7F3B">
          <w:rPr>
            <w:noProof/>
            <w:szCs w:val="22"/>
            <w:lang w:val="en-AU" w:eastAsia="en-AU"/>
          </w:rPr>
          <w:tab/>
        </w:r>
        <w:r w:rsidR="005E7515" w:rsidRPr="00C04338">
          <w:rPr>
            <w:rStyle w:val="Hyperlink"/>
            <w:noProof/>
          </w:rPr>
          <w:t>The case for policy intervention</w:t>
        </w:r>
        <w:r w:rsidR="005E7515">
          <w:rPr>
            <w:noProof/>
            <w:webHidden/>
          </w:rPr>
          <w:tab/>
        </w:r>
        <w:r w:rsidR="005E7515">
          <w:rPr>
            <w:noProof/>
            <w:webHidden/>
          </w:rPr>
          <w:fldChar w:fldCharType="begin"/>
        </w:r>
        <w:r w:rsidR="005E7515">
          <w:rPr>
            <w:noProof/>
            <w:webHidden/>
          </w:rPr>
          <w:instrText xml:space="preserve"> PAGEREF _Toc422298387 \h </w:instrText>
        </w:r>
        <w:r w:rsidR="005E7515">
          <w:rPr>
            <w:noProof/>
            <w:webHidden/>
          </w:rPr>
        </w:r>
        <w:r w:rsidR="005E7515">
          <w:rPr>
            <w:noProof/>
            <w:webHidden/>
          </w:rPr>
          <w:fldChar w:fldCharType="separate"/>
        </w:r>
        <w:r w:rsidR="005E7515">
          <w:rPr>
            <w:noProof/>
            <w:webHidden/>
          </w:rPr>
          <w:t>40</w:t>
        </w:r>
        <w:r w:rsidR="005E7515">
          <w:rPr>
            <w:noProof/>
            <w:webHidden/>
          </w:rPr>
          <w:fldChar w:fldCharType="end"/>
        </w:r>
      </w:hyperlink>
    </w:p>
    <w:p w14:paraId="77A594E9" w14:textId="77777777" w:rsidR="005E7515" w:rsidRPr="004E7F3B" w:rsidRDefault="002B0E45">
      <w:pPr>
        <w:pStyle w:val="TOC3"/>
        <w:tabs>
          <w:tab w:val="left" w:pos="1320"/>
          <w:tab w:val="right" w:leader="dot" w:pos="9016"/>
        </w:tabs>
        <w:rPr>
          <w:noProof/>
          <w:szCs w:val="22"/>
          <w:lang w:val="en-AU" w:eastAsia="en-AU"/>
        </w:rPr>
      </w:pPr>
      <w:hyperlink w:anchor="_Toc422298388" w:history="1">
        <w:r w:rsidR="005E7515" w:rsidRPr="00C04338">
          <w:rPr>
            <w:rStyle w:val="Hyperlink"/>
            <w:noProof/>
          </w:rPr>
          <w:t>5.4.2</w:t>
        </w:r>
        <w:r w:rsidR="005E7515" w:rsidRPr="004E7F3B">
          <w:rPr>
            <w:noProof/>
            <w:szCs w:val="22"/>
            <w:lang w:val="en-AU" w:eastAsia="en-AU"/>
          </w:rPr>
          <w:tab/>
        </w:r>
        <w:r w:rsidR="005E7515" w:rsidRPr="00C04338">
          <w:rPr>
            <w:rStyle w:val="Hyperlink"/>
            <w:noProof/>
          </w:rPr>
          <w:t>Types of policy intervention</w:t>
        </w:r>
        <w:r w:rsidR="005E7515">
          <w:rPr>
            <w:noProof/>
            <w:webHidden/>
          </w:rPr>
          <w:tab/>
        </w:r>
        <w:r w:rsidR="005E7515">
          <w:rPr>
            <w:noProof/>
            <w:webHidden/>
          </w:rPr>
          <w:fldChar w:fldCharType="begin"/>
        </w:r>
        <w:r w:rsidR="005E7515">
          <w:rPr>
            <w:noProof/>
            <w:webHidden/>
          </w:rPr>
          <w:instrText xml:space="preserve"> PAGEREF _Toc422298388 \h </w:instrText>
        </w:r>
        <w:r w:rsidR="005E7515">
          <w:rPr>
            <w:noProof/>
            <w:webHidden/>
          </w:rPr>
        </w:r>
        <w:r w:rsidR="005E7515">
          <w:rPr>
            <w:noProof/>
            <w:webHidden/>
          </w:rPr>
          <w:fldChar w:fldCharType="separate"/>
        </w:r>
        <w:r w:rsidR="005E7515">
          <w:rPr>
            <w:noProof/>
            <w:webHidden/>
          </w:rPr>
          <w:t>40</w:t>
        </w:r>
        <w:r w:rsidR="005E7515">
          <w:rPr>
            <w:noProof/>
            <w:webHidden/>
          </w:rPr>
          <w:fldChar w:fldCharType="end"/>
        </w:r>
      </w:hyperlink>
    </w:p>
    <w:p w14:paraId="264E98E5" w14:textId="77777777" w:rsidR="005E7515" w:rsidRPr="004E7F3B" w:rsidRDefault="002B0E45">
      <w:pPr>
        <w:pStyle w:val="TOC3"/>
        <w:tabs>
          <w:tab w:val="left" w:pos="1320"/>
          <w:tab w:val="right" w:leader="dot" w:pos="9016"/>
        </w:tabs>
        <w:rPr>
          <w:noProof/>
          <w:szCs w:val="22"/>
          <w:lang w:val="en-AU" w:eastAsia="en-AU"/>
        </w:rPr>
      </w:pPr>
      <w:hyperlink w:anchor="_Toc422298389" w:history="1">
        <w:r w:rsidR="005E7515" w:rsidRPr="00C04338">
          <w:rPr>
            <w:rStyle w:val="Hyperlink"/>
            <w:noProof/>
          </w:rPr>
          <w:t>5.4.3</w:t>
        </w:r>
        <w:r w:rsidR="005E7515" w:rsidRPr="004E7F3B">
          <w:rPr>
            <w:noProof/>
            <w:szCs w:val="22"/>
            <w:lang w:val="en-AU" w:eastAsia="en-AU"/>
          </w:rPr>
          <w:tab/>
        </w:r>
        <w:r w:rsidR="005E7515" w:rsidRPr="00C04338">
          <w:rPr>
            <w:rStyle w:val="Hyperlink"/>
            <w:noProof/>
          </w:rPr>
          <w:t>Scheme design and administration</w:t>
        </w:r>
        <w:r w:rsidR="005E7515">
          <w:rPr>
            <w:noProof/>
            <w:webHidden/>
          </w:rPr>
          <w:tab/>
        </w:r>
        <w:r w:rsidR="005E7515">
          <w:rPr>
            <w:noProof/>
            <w:webHidden/>
          </w:rPr>
          <w:fldChar w:fldCharType="begin"/>
        </w:r>
        <w:r w:rsidR="005E7515">
          <w:rPr>
            <w:noProof/>
            <w:webHidden/>
          </w:rPr>
          <w:instrText xml:space="preserve"> PAGEREF _Toc422298389 \h </w:instrText>
        </w:r>
        <w:r w:rsidR="005E7515">
          <w:rPr>
            <w:noProof/>
            <w:webHidden/>
          </w:rPr>
        </w:r>
        <w:r w:rsidR="005E7515">
          <w:rPr>
            <w:noProof/>
            <w:webHidden/>
          </w:rPr>
          <w:fldChar w:fldCharType="separate"/>
        </w:r>
        <w:r w:rsidR="005E7515">
          <w:rPr>
            <w:noProof/>
            <w:webHidden/>
          </w:rPr>
          <w:t>41</w:t>
        </w:r>
        <w:r w:rsidR="005E7515">
          <w:rPr>
            <w:noProof/>
            <w:webHidden/>
          </w:rPr>
          <w:fldChar w:fldCharType="end"/>
        </w:r>
      </w:hyperlink>
    </w:p>
    <w:p w14:paraId="304C528C" w14:textId="77777777" w:rsidR="005E7515" w:rsidRPr="004E7F3B" w:rsidRDefault="002B0E45">
      <w:pPr>
        <w:pStyle w:val="TOC1"/>
        <w:tabs>
          <w:tab w:val="left" w:pos="440"/>
          <w:tab w:val="right" w:leader="dot" w:pos="9016"/>
        </w:tabs>
        <w:rPr>
          <w:noProof/>
          <w:szCs w:val="22"/>
          <w:lang w:val="en-AU" w:eastAsia="en-AU"/>
        </w:rPr>
      </w:pPr>
      <w:hyperlink w:anchor="_Toc422298390" w:history="1">
        <w:r w:rsidR="005E7515" w:rsidRPr="00C04338">
          <w:rPr>
            <w:rStyle w:val="Hyperlink"/>
            <w:noProof/>
          </w:rPr>
          <w:t>6</w:t>
        </w:r>
        <w:r w:rsidR="005E7515" w:rsidRPr="004E7F3B">
          <w:rPr>
            <w:noProof/>
            <w:szCs w:val="22"/>
            <w:lang w:val="en-AU" w:eastAsia="en-AU"/>
          </w:rPr>
          <w:tab/>
        </w:r>
        <w:r w:rsidR="005E7515" w:rsidRPr="00C04338">
          <w:rPr>
            <w:rStyle w:val="Hyperlink"/>
            <w:noProof/>
          </w:rPr>
          <w:t>Findings:  Has the IGA, GEMS and E3 met their objectives?</w:t>
        </w:r>
        <w:r w:rsidR="005E7515">
          <w:rPr>
            <w:noProof/>
            <w:webHidden/>
          </w:rPr>
          <w:tab/>
        </w:r>
        <w:r w:rsidR="005E7515">
          <w:rPr>
            <w:noProof/>
            <w:webHidden/>
          </w:rPr>
          <w:fldChar w:fldCharType="begin"/>
        </w:r>
        <w:r w:rsidR="005E7515">
          <w:rPr>
            <w:noProof/>
            <w:webHidden/>
          </w:rPr>
          <w:instrText xml:space="preserve"> PAGEREF _Toc422298390 \h </w:instrText>
        </w:r>
        <w:r w:rsidR="005E7515">
          <w:rPr>
            <w:noProof/>
            <w:webHidden/>
          </w:rPr>
        </w:r>
        <w:r w:rsidR="005E7515">
          <w:rPr>
            <w:noProof/>
            <w:webHidden/>
          </w:rPr>
          <w:fldChar w:fldCharType="separate"/>
        </w:r>
        <w:r w:rsidR="005E7515">
          <w:rPr>
            <w:noProof/>
            <w:webHidden/>
          </w:rPr>
          <w:t>42</w:t>
        </w:r>
        <w:r w:rsidR="005E7515">
          <w:rPr>
            <w:noProof/>
            <w:webHidden/>
          </w:rPr>
          <w:fldChar w:fldCharType="end"/>
        </w:r>
      </w:hyperlink>
    </w:p>
    <w:p w14:paraId="7B079807" w14:textId="77777777" w:rsidR="005E7515" w:rsidRPr="004E7F3B" w:rsidRDefault="002B0E45">
      <w:pPr>
        <w:pStyle w:val="TOC2"/>
        <w:tabs>
          <w:tab w:val="left" w:pos="880"/>
          <w:tab w:val="right" w:leader="dot" w:pos="9016"/>
        </w:tabs>
        <w:rPr>
          <w:noProof/>
          <w:szCs w:val="22"/>
          <w:lang w:val="en-AU" w:eastAsia="en-AU"/>
        </w:rPr>
      </w:pPr>
      <w:hyperlink w:anchor="_Toc422298391" w:history="1">
        <w:r w:rsidR="005E7515" w:rsidRPr="00C04338">
          <w:rPr>
            <w:rStyle w:val="Hyperlink"/>
            <w:noProof/>
          </w:rPr>
          <w:t>6.1</w:t>
        </w:r>
        <w:r w:rsidR="005E7515" w:rsidRPr="004E7F3B">
          <w:rPr>
            <w:noProof/>
            <w:szCs w:val="22"/>
            <w:lang w:val="en-AU" w:eastAsia="en-AU"/>
          </w:rPr>
          <w:tab/>
        </w:r>
        <w:r w:rsidR="005E7515" w:rsidRPr="00C04338">
          <w:rPr>
            <w:rStyle w:val="Hyperlink"/>
            <w:noProof/>
          </w:rPr>
          <w:t>Achievement of savings and cost effectiveness</w:t>
        </w:r>
        <w:r w:rsidR="005E7515">
          <w:rPr>
            <w:noProof/>
            <w:webHidden/>
          </w:rPr>
          <w:tab/>
        </w:r>
        <w:r w:rsidR="005E7515">
          <w:rPr>
            <w:noProof/>
            <w:webHidden/>
          </w:rPr>
          <w:fldChar w:fldCharType="begin"/>
        </w:r>
        <w:r w:rsidR="005E7515">
          <w:rPr>
            <w:noProof/>
            <w:webHidden/>
          </w:rPr>
          <w:instrText xml:space="preserve"> PAGEREF _Toc422298391 \h </w:instrText>
        </w:r>
        <w:r w:rsidR="005E7515">
          <w:rPr>
            <w:noProof/>
            <w:webHidden/>
          </w:rPr>
        </w:r>
        <w:r w:rsidR="005E7515">
          <w:rPr>
            <w:noProof/>
            <w:webHidden/>
          </w:rPr>
          <w:fldChar w:fldCharType="separate"/>
        </w:r>
        <w:r w:rsidR="005E7515">
          <w:rPr>
            <w:noProof/>
            <w:webHidden/>
          </w:rPr>
          <w:t>42</w:t>
        </w:r>
        <w:r w:rsidR="005E7515">
          <w:rPr>
            <w:noProof/>
            <w:webHidden/>
          </w:rPr>
          <w:fldChar w:fldCharType="end"/>
        </w:r>
      </w:hyperlink>
    </w:p>
    <w:p w14:paraId="6D603635" w14:textId="77777777" w:rsidR="005E7515" w:rsidRPr="004E7F3B" w:rsidRDefault="002B0E45">
      <w:pPr>
        <w:pStyle w:val="TOC3"/>
        <w:tabs>
          <w:tab w:val="left" w:pos="1320"/>
          <w:tab w:val="right" w:leader="dot" w:pos="9016"/>
        </w:tabs>
        <w:rPr>
          <w:noProof/>
          <w:szCs w:val="22"/>
          <w:lang w:val="en-AU" w:eastAsia="en-AU"/>
        </w:rPr>
      </w:pPr>
      <w:hyperlink w:anchor="_Toc422298392" w:history="1">
        <w:r w:rsidR="005E7515" w:rsidRPr="00C04338">
          <w:rPr>
            <w:rStyle w:val="Hyperlink"/>
            <w:noProof/>
          </w:rPr>
          <w:t>6.1.1</w:t>
        </w:r>
        <w:r w:rsidR="005E7515" w:rsidRPr="004E7F3B">
          <w:rPr>
            <w:noProof/>
            <w:szCs w:val="22"/>
            <w:lang w:val="en-AU" w:eastAsia="en-AU"/>
          </w:rPr>
          <w:tab/>
        </w:r>
        <w:r w:rsidR="005E7515" w:rsidRPr="00C04338">
          <w:rPr>
            <w:rStyle w:val="Hyperlink"/>
            <w:noProof/>
          </w:rPr>
          <w:t>Comparisons to other interventions</w:t>
        </w:r>
        <w:r w:rsidR="005E7515">
          <w:rPr>
            <w:noProof/>
            <w:webHidden/>
          </w:rPr>
          <w:tab/>
        </w:r>
        <w:r w:rsidR="005E7515">
          <w:rPr>
            <w:noProof/>
            <w:webHidden/>
          </w:rPr>
          <w:fldChar w:fldCharType="begin"/>
        </w:r>
        <w:r w:rsidR="005E7515">
          <w:rPr>
            <w:noProof/>
            <w:webHidden/>
          </w:rPr>
          <w:instrText xml:space="preserve"> PAGEREF _Toc422298392 \h </w:instrText>
        </w:r>
        <w:r w:rsidR="005E7515">
          <w:rPr>
            <w:noProof/>
            <w:webHidden/>
          </w:rPr>
        </w:r>
        <w:r w:rsidR="005E7515">
          <w:rPr>
            <w:noProof/>
            <w:webHidden/>
          </w:rPr>
          <w:fldChar w:fldCharType="separate"/>
        </w:r>
        <w:r w:rsidR="005E7515">
          <w:rPr>
            <w:noProof/>
            <w:webHidden/>
          </w:rPr>
          <w:t>46</w:t>
        </w:r>
        <w:r w:rsidR="005E7515">
          <w:rPr>
            <w:noProof/>
            <w:webHidden/>
          </w:rPr>
          <w:fldChar w:fldCharType="end"/>
        </w:r>
      </w:hyperlink>
    </w:p>
    <w:p w14:paraId="1F0C7E3A" w14:textId="77777777" w:rsidR="005E7515" w:rsidRPr="004E7F3B" w:rsidRDefault="002B0E45">
      <w:pPr>
        <w:pStyle w:val="TOC3"/>
        <w:tabs>
          <w:tab w:val="left" w:pos="1320"/>
          <w:tab w:val="right" w:leader="dot" w:pos="9016"/>
        </w:tabs>
        <w:rPr>
          <w:noProof/>
          <w:szCs w:val="22"/>
          <w:lang w:val="en-AU" w:eastAsia="en-AU"/>
        </w:rPr>
      </w:pPr>
      <w:hyperlink w:anchor="_Toc422298393" w:history="1">
        <w:r w:rsidR="005E7515" w:rsidRPr="00C04338">
          <w:rPr>
            <w:rStyle w:val="Hyperlink"/>
            <w:noProof/>
          </w:rPr>
          <w:t>6.1.2</w:t>
        </w:r>
        <w:r w:rsidR="005E7515" w:rsidRPr="004E7F3B">
          <w:rPr>
            <w:noProof/>
            <w:szCs w:val="22"/>
            <w:lang w:val="en-AU" w:eastAsia="en-AU"/>
          </w:rPr>
          <w:tab/>
        </w:r>
        <w:r w:rsidR="005E7515" w:rsidRPr="00C04338">
          <w:rPr>
            <w:rStyle w:val="Hyperlink"/>
            <w:noProof/>
          </w:rPr>
          <w:t>Impact of the program on consumers and industry</w:t>
        </w:r>
        <w:r w:rsidR="005E7515">
          <w:rPr>
            <w:noProof/>
            <w:webHidden/>
          </w:rPr>
          <w:tab/>
        </w:r>
        <w:r w:rsidR="005E7515">
          <w:rPr>
            <w:noProof/>
            <w:webHidden/>
          </w:rPr>
          <w:fldChar w:fldCharType="begin"/>
        </w:r>
        <w:r w:rsidR="005E7515">
          <w:rPr>
            <w:noProof/>
            <w:webHidden/>
          </w:rPr>
          <w:instrText xml:space="preserve"> PAGEREF _Toc422298393 \h </w:instrText>
        </w:r>
        <w:r w:rsidR="005E7515">
          <w:rPr>
            <w:noProof/>
            <w:webHidden/>
          </w:rPr>
        </w:r>
        <w:r w:rsidR="005E7515">
          <w:rPr>
            <w:noProof/>
            <w:webHidden/>
          </w:rPr>
          <w:fldChar w:fldCharType="separate"/>
        </w:r>
        <w:r w:rsidR="005E7515">
          <w:rPr>
            <w:noProof/>
            <w:webHidden/>
          </w:rPr>
          <w:t>46</w:t>
        </w:r>
        <w:r w:rsidR="005E7515">
          <w:rPr>
            <w:noProof/>
            <w:webHidden/>
          </w:rPr>
          <w:fldChar w:fldCharType="end"/>
        </w:r>
      </w:hyperlink>
    </w:p>
    <w:p w14:paraId="3D532AFF" w14:textId="77777777" w:rsidR="005E7515" w:rsidRPr="004E7F3B" w:rsidRDefault="002B0E45">
      <w:pPr>
        <w:pStyle w:val="TOC3"/>
        <w:tabs>
          <w:tab w:val="left" w:pos="1320"/>
          <w:tab w:val="right" w:leader="dot" w:pos="9016"/>
        </w:tabs>
        <w:rPr>
          <w:noProof/>
          <w:szCs w:val="22"/>
          <w:lang w:val="en-AU" w:eastAsia="en-AU"/>
        </w:rPr>
      </w:pPr>
      <w:hyperlink w:anchor="_Toc422298394" w:history="1">
        <w:r w:rsidR="005E7515" w:rsidRPr="00C04338">
          <w:rPr>
            <w:rStyle w:val="Hyperlink"/>
            <w:noProof/>
          </w:rPr>
          <w:t>6.1.3</w:t>
        </w:r>
        <w:r w:rsidR="005E7515" w:rsidRPr="004E7F3B">
          <w:rPr>
            <w:noProof/>
            <w:szCs w:val="22"/>
            <w:lang w:val="en-AU" w:eastAsia="en-AU"/>
          </w:rPr>
          <w:tab/>
        </w:r>
        <w:r w:rsidR="005E7515" w:rsidRPr="00C04338">
          <w:rPr>
            <w:rStyle w:val="Hyperlink"/>
            <w:noProof/>
          </w:rPr>
          <w:t>Opportunities to increase impacts</w:t>
        </w:r>
        <w:r w:rsidR="005E7515">
          <w:rPr>
            <w:noProof/>
            <w:webHidden/>
          </w:rPr>
          <w:tab/>
        </w:r>
        <w:r w:rsidR="005E7515">
          <w:rPr>
            <w:noProof/>
            <w:webHidden/>
          </w:rPr>
          <w:fldChar w:fldCharType="begin"/>
        </w:r>
        <w:r w:rsidR="005E7515">
          <w:rPr>
            <w:noProof/>
            <w:webHidden/>
          </w:rPr>
          <w:instrText xml:space="preserve"> PAGEREF _Toc422298394 \h </w:instrText>
        </w:r>
        <w:r w:rsidR="005E7515">
          <w:rPr>
            <w:noProof/>
            <w:webHidden/>
          </w:rPr>
        </w:r>
        <w:r w:rsidR="005E7515">
          <w:rPr>
            <w:noProof/>
            <w:webHidden/>
          </w:rPr>
          <w:fldChar w:fldCharType="separate"/>
        </w:r>
        <w:r w:rsidR="005E7515">
          <w:rPr>
            <w:noProof/>
            <w:webHidden/>
          </w:rPr>
          <w:t>48</w:t>
        </w:r>
        <w:r w:rsidR="005E7515">
          <w:rPr>
            <w:noProof/>
            <w:webHidden/>
          </w:rPr>
          <w:fldChar w:fldCharType="end"/>
        </w:r>
      </w:hyperlink>
    </w:p>
    <w:p w14:paraId="3AA54DC2" w14:textId="77777777" w:rsidR="005E7515" w:rsidRPr="004E7F3B" w:rsidRDefault="002B0E45">
      <w:pPr>
        <w:pStyle w:val="TOC2"/>
        <w:tabs>
          <w:tab w:val="left" w:pos="880"/>
          <w:tab w:val="right" w:leader="dot" w:pos="9016"/>
        </w:tabs>
        <w:rPr>
          <w:noProof/>
          <w:szCs w:val="22"/>
          <w:lang w:val="en-AU" w:eastAsia="en-AU"/>
        </w:rPr>
      </w:pPr>
      <w:hyperlink w:anchor="_Toc422298395" w:history="1">
        <w:r w:rsidR="005E7515" w:rsidRPr="00C04338">
          <w:rPr>
            <w:rStyle w:val="Hyperlink"/>
            <w:noProof/>
          </w:rPr>
          <w:t>6.2</w:t>
        </w:r>
        <w:r w:rsidR="005E7515" w:rsidRPr="004E7F3B">
          <w:rPr>
            <w:noProof/>
            <w:szCs w:val="22"/>
            <w:lang w:val="en-AU" w:eastAsia="en-AU"/>
          </w:rPr>
          <w:tab/>
        </w:r>
        <w:r w:rsidR="005E7515" w:rsidRPr="00C04338">
          <w:rPr>
            <w:rStyle w:val="Hyperlink"/>
            <w:noProof/>
          </w:rPr>
          <w:t>Conclusions and recommendations</w:t>
        </w:r>
        <w:r w:rsidR="005E7515">
          <w:rPr>
            <w:noProof/>
            <w:webHidden/>
          </w:rPr>
          <w:tab/>
        </w:r>
        <w:r w:rsidR="005E7515">
          <w:rPr>
            <w:noProof/>
            <w:webHidden/>
          </w:rPr>
          <w:fldChar w:fldCharType="begin"/>
        </w:r>
        <w:r w:rsidR="005E7515">
          <w:rPr>
            <w:noProof/>
            <w:webHidden/>
          </w:rPr>
          <w:instrText xml:space="preserve"> PAGEREF _Toc422298395 \h </w:instrText>
        </w:r>
        <w:r w:rsidR="005E7515">
          <w:rPr>
            <w:noProof/>
            <w:webHidden/>
          </w:rPr>
        </w:r>
        <w:r w:rsidR="005E7515">
          <w:rPr>
            <w:noProof/>
            <w:webHidden/>
          </w:rPr>
          <w:fldChar w:fldCharType="separate"/>
        </w:r>
        <w:r w:rsidR="005E7515">
          <w:rPr>
            <w:noProof/>
            <w:webHidden/>
          </w:rPr>
          <w:t>52</w:t>
        </w:r>
        <w:r w:rsidR="005E7515">
          <w:rPr>
            <w:noProof/>
            <w:webHidden/>
          </w:rPr>
          <w:fldChar w:fldCharType="end"/>
        </w:r>
      </w:hyperlink>
    </w:p>
    <w:p w14:paraId="72A4CC23" w14:textId="77777777" w:rsidR="005E7515" w:rsidRPr="004E7F3B" w:rsidRDefault="002B0E45">
      <w:pPr>
        <w:pStyle w:val="TOC3"/>
        <w:tabs>
          <w:tab w:val="left" w:pos="1320"/>
          <w:tab w:val="right" w:leader="dot" w:pos="9016"/>
        </w:tabs>
        <w:rPr>
          <w:noProof/>
          <w:szCs w:val="22"/>
          <w:lang w:val="en-AU" w:eastAsia="en-AU"/>
        </w:rPr>
      </w:pPr>
      <w:hyperlink w:anchor="_Toc422298396" w:history="1">
        <w:r w:rsidR="005E7515" w:rsidRPr="00C04338">
          <w:rPr>
            <w:rStyle w:val="Hyperlink"/>
            <w:noProof/>
          </w:rPr>
          <w:t>6.2.1</w:t>
        </w:r>
        <w:r w:rsidR="005E7515" w:rsidRPr="004E7F3B">
          <w:rPr>
            <w:noProof/>
            <w:szCs w:val="22"/>
            <w:lang w:val="en-AU" w:eastAsia="en-AU"/>
          </w:rPr>
          <w:tab/>
        </w:r>
        <w:r w:rsidR="005E7515" w:rsidRPr="00C04338">
          <w:rPr>
            <w:rStyle w:val="Hyperlink"/>
            <w:noProof/>
          </w:rPr>
          <w:t>Conclusions</w:t>
        </w:r>
        <w:r w:rsidR="005E7515">
          <w:rPr>
            <w:noProof/>
            <w:webHidden/>
          </w:rPr>
          <w:tab/>
        </w:r>
        <w:r w:rsidR="005E7515">
          <w:rPr>
            <w:noProof/>
            <w:webHidden/>
          </w:rPr>
          <w:fldChar w:fldCharType="begin"/>
        </w:r>
        <w:r w:rsidR="005E7515">
          <w:rPr>
            <w:noProof/>
            <w:webHidden/>
          </w:rPr>
          <w:instrText xml:space="preserve"> PAGEREF _Toc422298396 \h </w:instrText>
        </w:r>
        <w:r w:rsidR="005E7515">
          <w:rPr>
            <w:noProof/>
            <w:webHidden/>
          </w:rPr>
        </w:r>
        <w:r w:rsidR="005E7515">
          <w:rPr>
            <w:noProof/>
            <w:webHidden/>
          </w:rPr>
          <w:fldChar w:fldCharType="separate"/>
        </w:r>
        <w:r w:rsidR="005E7515">
          <w:rPr>
            <w:noProof/>
            <w:webHidden/>
          </w:rPr>
          <w:t>52</w:t>
        </w:r>
        <w:r w:rsidR="005E7515">
          <w:rPr>
            <w:noProof/>
            <w:webHidden/>
          </w:rPr>
          <w:fldChar w:fldCharType="end"/>
        </w:r>
      </w:hyperlink>
    </w:p>
    <w:p w14:paraId="3738518D" w14:textId="77777777" w:rsidR="005E7515" w:rsidRPr="004E7F3B" w:rsidRDefault="002B0E45">
      <w:pPr>
        <w:pStyle w:val="TOC3"/>
        <w:tabs>
          <w:tab w:val="left" w:pos="1320"/>
          <w:tab w:val="right" w:leader="dot" w:pos="9016"/>
        </w:tabs>
        <w:rPr>
          <w:noProof/>
          <w:szCs w:val="22"/>
          <w:lang w:val="en-AU" w:eastAsia="en-AU"/>
        </w:rPr>
      </w:pPr>
      <w:hyperlink w:anchor="_Toc422298397" w:history="1">
        <w:r w:rsidR="005E7515" w:rsidRPr="00C04338">
          <w:rPr>
            <w:rStyle w:val="Hyperlink"/>
            <w:noProof/>
          </w:rPr>
          <w:t>6.2.2</w:t>
        </w:r>
        <w:r w:rsidR="005E7515" w:rsidRPr="004E7F3B">
          <w:rPr>
            <w:noProof/>
            <w:szCs w:val="22"/>
            <w:lang w:val="en-AU" w:eastAsia="en-AU"/>
          </w:rPr>
          <w:tab/>
        </w:r>
        <w:r w:rsidR="005E7515" w:rsidRPr="00C04338">
          <w:rPr>
            <w:rStyle w:val="Hyperlink"/>
            <w:noProof/>
          </w:rPr>
          <w:t>Recommendations</w:t>
        </w:r>
        <w:r w:rsidR="005E7515">
          <w:rPr>
            <w:noProof/>
            <w:webHidden/>
          </w:rPr>
          <w:tab/>
        </w:r>
        <w:r w:rsidR="005E7515">
          <w:rPr>
            <w:noProof/>
            <w:webHidden/>
          </w:rPr>
          <w:fldChar w:fldCharType="begin"/>
        </w:r>
        <w:r w:rsidR="005E7515">
          <w:rPr>
            <w:noProof/>
            <w:webHidden/>
          </w:rPr>
          <w:instrText xml:space="preserve"> PAGEREF _Toc422298397 \h </w:instrText>
        </w:r>
        <w:r w:rsidR="005E7515">
          <w:rPr>
            <w:noProof/>
            <w:webHidden/>
          </w:rPr>
        </w:r>
        <w:r w:rsidR="005E7515">
          <w:rPr>
            <w:noProof/>
            <w:webHidden/>
          </w:rPr>
          <w:fldChar w:fldCharType="separate"/>
        </w:r>
        <w:r w:rsidR="005E7515">
          <w:rPr>
            <w:noProof/>
            <w:webHidden/>
          </w:rPr>
          <w:t>52</w:t>
        </w:r>
        <w:r w:rsidR="005E7515">
          <w:rPr>
            <w:noProof/>
            <w:webHidden/>
          </w:rPr>
          <w:fldChar w:fldCharType="end"/>
        </w:r>
      </w:hyperlink>
    </w:p>
    <w:p w14:paraId="069D6B5D" w14:textId="77777777" w:rsidR="005E7515" w:rsidRPr="004E7F3B" w:rsidRDefault="002B0E45">
      <w:pPr>
        <w:pStyle w:val="TOC1"/>
        <w:tabs>
          <w:tab w:val="left" w:pos="440"/>
          <w:tab w:val="right" w:leader="dot" w:pos="9016"/>
        </w:tabs>
        <w:rPr>
          <w:noProof/>
          <w:szCs w:val="22"/>
          <w:lang w:val="en-AU" w:eastAsia="en-AU"/>
        </w:rPr>
      </w:pPr>
      <w:hyperlink w:anchor="_Toc422298398" w:history="1">
        <w:r w:rsidR="005E7515" w:rsidRPr="00C04338">
          <w:rPr>
            <w:rStyle w:val="Hyperlink"/>
            <w:noProof/>
          </w:rPr>
          <w:t>7</w:t>
        </w:r>
        <w:r w:rsidR="005E7515" w:rsidRPr="004E7F3B">
          <w:rPr>
            <w:noProof/>
            <w:szCs w:val="22"/>
            <w:lang w:val="en-AU" w:eastAsia="en-AU"/>
          </w:rPr>
          <w:tab/>
        </w:r>
        <w:r w:rsidR="005E7515" w:rsidRPr="00C04338">
          <w:rPr>
            <w:rStyle w:val="Hyperlink"/>
            <w:noProof/>
          </w:rPr>
          <w:t>Findings:  How could the existing process be made more efficient, whilst maintaining an even market for all competitors and achieving an appropriate level of risk control?</w:t>
        </w:r>
        <w:r w:rsidR="005E7515">
          <w:rPr>
            <w:noProof/>
            <w:webHidden/>
          </w:rPr>
          <w:tab/>
        </w:r>
        <w:r w:rsidR="005E7515">
          <w:rPr>
            <w:noProof/>
            <w:webHidden/>
          </w:rPr>
          <w:fldChar w:fldCharType="begin"/>
        </w:r>
        <w:r w:rsidR="005E7515">
          <w:rPr>
            <w:noProof/>
            <w:webHidden/>
          </w:rPr>
          <w:instrText xml:space="preserve"> PAGEREF _Toc422298398 \h </w:instrText>
        </w:r>
        <w:r w:rsidR="005E7515">
          <w:rPr>
            <w:noProof/>
            <w:webHidden/>
          </w:rPr>
        </w:r>
        <w:r w:rsidR="005E7515">
          <w:rPr>
            <w:noProof/>
            <w:webHidden/>
          </w:rPr>
          <w:fldChar w:fldCharType="separate"/>
        </w:r>
        <w:r w:rsidR="005E7515">
          <w:rPr>
            <w:noProof/>
            <w:webHidden/>
          </w:rPr>
          <w:t>54</w:t>
        </w:r>
        <w:r w:rsidR="005E7515">
          <w:rPr>
            <w:noProof/>
            <w:webHidden/>
          </w:rPr>
          <w:fldChar w:fldCharType="end"/>
        </w:r>
      </w:hyperlink>
    </w:p>
    <w:p w14:paraId="602C79CB" w14:textId="77777777" w:rsidR="005E7515" w:rsidRPr="004E7F3B" w:rsidRDefault="002B0E45">
      <w:pPr>
        <w:pStyle w:val="TOC2"/>
        <w:tabs>
          <w:tab w:val="left" w:pos="880"/>
          <w:tab w:val="right" w:leader="dot" w:pos="9016"/>
        </w:tabs>
        <w:rPr>
          <w:noProof/>
          <w:szCs w:val="22"/>
          <w:lang w:val="en-AU" w:eastAsia="en-AU"/>
        </w:rPr>
      </w:pPr>
      <w:hyperlink w:anchor="_Toc422298399" w:history="1">
        <w:r w:rsidR="005E7515" w:rsidRPr="00C04338">
          <w:rPr>
            <w:rStyle w:val="Hyperlink"/>
            <w:noProof/>
          </w:rPr>
          <w:t>7.1</w:t>
        </w:r>
        <w:r w:rsidR="005E7515" w:rsidRPr="004E7F3B">
          <w:rPr>
            <w:noProof/>
            <w:szCs w:val="22"/>
            <w:lang w:val="en-AU" w:eastAsia="en-AU"/>
          </w:rPr>
          <w:tab/>
        </w:r>
        <w:r w:rsidR="005E7515" w:rsidRPr="00C04338">
          <w:rPr>
            <w:rStyle w:val="Hyperlink"/>
            <w:noProof/>
          </w:rPr>
          <w:t>The IGA</w:t>
        </w:r>
        <w:r w:rsidR="005E7515">
          <w:rPr>
            <w:noProof/>
            <w:webHidden/>
          </w:rPr>
          <w:tab/>
        </w:r>
        <w:r w:rsidR="005E7515">
          <w:rPr>
            <w:noProof/>
            <w:webHidden/>
          </w:rPr>
          <w:fldChar w:fldCharType="begin"/>
        </w:r>
        <w:r w:rsidR="005E7515">
          <w:rPr>
            <w:noProof/>
            <w:webHidden/>
          </w:rPr>
          <w:instrText xml:space="preserve"> PAGEREF _Toc422298399 \h </w:instrText>
        </w:r>
        <w:r w:rsidR="005E7515">
          <w:rPr>
            <w:noProof/>
            <w:webHidden/>
          </w:rPr>
        </w:r>
        <w:r w:rsidR="005E7515">
          <w:rPr>
            <w:noProof/>
            <w:webHidden/>
          </w:rPr>
          <w:fldChar w:fldCharType="separate"/>
        </w:r>
        <w:r w:rsidR="005E7515">
          <w:rPr>
            <w:noProof/>
            <w:webHidden/>
          </w:rPr>
          <w:t>54</w:t>
        </w:r>
        <w:r w:rsidR="005E7515">
          <w:rPr>
            <w:noProof/>
            <w:webHidden/>
          </w:rPr>
          <w:fldChar w:fldCharType="end"/>
        </w:r>
      </w:hyperlink>
    </w:p>
    <w:p w14:paraId="254944A1" w14:textId="77777777" w:rsidR="005E7515" w:rsidRPr="004E7F3B" w:rsidRDefault="002B0E45">
      <w:pPr>
        <w:pStyle w:val="TOC3"/>
        <w:tabs>
          <w:tab w:val="left" w:pos="1320"/>
          <w:tab w:val="right" w:leader="dot" w:pos="9016"/>
        </w:tabs>
        <w:rPr>
          <w:noProof/>
          <w:szCs w:val="22"/>
          <w:lang w:val="en-AU" w:eastAsia="en-AU"/>
        </w:rPr>
      </w:pPr>
      <w:hyperlink w:anchor="_Toc422298400" w:history="1">
        <w:r w:rsidR="005E7515" w:rsidRPr="00C04338">
          <w:rPr>
            <w:rStyle w:val="Hyperlink"/>
            <w:noProof/>
          </w:rPr>
          <w:t>7.1.1</w:t>
        </w:r>
        <w:r w:rsidR="005E7515" w:rsidRPr="004E7F3B">
          <w:rPr>
            <w:noProof/>
            <w:szCs w:val="22"/>
            <w:lang w:val="en-AU" w:eastAsia="en-AU"/>
          </w:rPr>
          <w:tab/>
        </w:r>
        <w:r w:rsidR="005E7515" w:rsidRPr="00C04338">
          <w:rPr>
            <w:rStyle w:val="Hyperlink"/>
            <w:noProof/>
          </w:rPr>
          <w:t>Limitations</w:t>
        </w:r>
        <w:r w:rsidR="005E7515">
          <w:rPr>
            <w:noProof/>
            <w:webHidden/>
          </w:rPr>
          <w:tab/>
        </w:r>
        <w:r w:rsidR="005E7515">
          <w:rPr>
            <w:noProof/>
            <w:webHidden/>
          </w:rPr>
          <w:fldChar w:fldCharType="begin"/>
        </w:r>
        <w:r w:rsidR="005E7515">
          <w:rPr>
            <w:noProof/>
            <w:webHidden/>
          </w:rPr>
          <w:instrText xml:space="preserve"> PAGEREF _Toc422298400 \h </w:instrText>
        </w:r>
        <w:r w:rsidR="005E7515">
          <w:rPr>
            <w:noProof/>
            <w:webHidden/>
          </w:rPr>
        </w:r>
        <w:r w:rsidR="005E7515">
          <w:rPr>
            <w:noProof/>
            <w:webHidden/>
          </w:rPr>
          <w:fldChar w:fldCharType="separate"/>
        </w:r>
        <w:r w:rsidR="005E7515">
          <w:rPr>
            <w:noProof/>
            <w:webHidden/>
          </w:rPr>
          <w:t>54</w:t>
        </w:r>
        <w:r w:rsidR="005E7515">
          <w:rPr>
            <w:noProof/>
            <w:webHidden/>
          </w:rPr>
          <w:fldChar w:fldCharType="end"/>
        </w:r>
      </w:hyperlink>
    </w:p>
    <w:p w14:paraId="06DA8CD7" w14:textId="77777777" w:rsidR="005E7515" w:rsidRPr="004E7F3B" w:rsidRDefault="002B0E45">
      <w:pPr>
        <w:pStyle w:val="TOC3"/>
        <w:tabs>
          <w:tab w:val="left" w:pos="1320"/>
          <w:tab w:val="right" w:leader="dot" w:pos="9016"/>
        </w:tabs>
        <w:rPr>
          <w:noProof/>
          <w:szCs w:val="22"/>
          <w:lang w:val="en-AU" w:eastAsia="en-AU"/>
        </w:rPr>
      </w:pPr>
      <w:hyperlink w:anchor="_Toc422298401" w:history="1">
        <w:r w:rsidR="005E7515" w:rsidRPr="00C04338">
          <w:rPr>
            <w:rStyle w:val="Hyperlink"/>
            <w:noProof/>
          </w:rPr>
          <w:t>7.1.2</w:t>
        </w:r>
        <w:r w:rsidR="005E7515" w:rsidRPr="004E7F3B">
          <w:rPr>
            <w:noProof/>
            <w:szCs w:val="22"/>
            <w:lang w:val="en-AU" w:eastAsia="en-AU"/>
          </w:rPr>
          <w:tab/>
        </w:r>
        <w:r w:rsidR="005E7515" w:rsidRPr="00C04338">
          <w:rPr>
            <w:rStyle w:val="Hyperlink"/>
            <w:noProof/>
          </w:rPr>
          <w:t>Governance</w:t>
        </w:r>
        <w:r w:rsidR="005E7515">
          <w:rPr>
            <w:noProof/>
            <w:webHidden/>
          </w:rPr>
          <w:tab/>
        </w:r>
        <w:r w:rsidR="005E7515">
          <w:rPr>
            <w:noProof/>
            <w:webHidden/>
          </w:rPr>
          <w:fldChar w:fldCharType="begin"/>
        </w:r>
        <w:r w:rsidR="005E7515">
          <w:rPr>
            <w:noProof/>
            <w:webHidden/>
          </w:rPr>
          <w:instrText xml:space="preserve"> PAGEREF _Toc422298401 \h </w:instrText>
        </w:r>
        <w:r w:rsidR="005E7515">
          <w:rPr>
            <w:noProof/>
            <w:webHidden/>
          </w:rPr>
        </w:r>
        <w:r w:rsidR="005E7515">
          <w:rPr>
            <w:noProof/>
            <w:webHidden/>
          </w:rPr>
          <w:fldChar w:fldCharType="separate"/>
        </w:r>
        <w:r w:rsidR="005E7515">
          <w:rPr>
            <w:noProof/>
            <w:webHidden/>
          </w:rPr>
          <w:t>55</w:t>
        </w:r>
        <w:r w:rsidR="005E7515">
          <w:rPr>
            <w:noProof/>
            <w:webHidden/>
          </w:rPr>
          <w:fldChar w:fldCharType="end"/>
        </w:r>
      </w:hyperlink>
    </w:p>
    <w:p w14:paraId="0959B800" w14:textId="77777777" w:rsidR="005E7515" w:rsidRPr="004E7F3B" w:rsidRDefault="002B0E45">
      <w:pPr>
        <w:pStyle w:val="TOC3"/>
        <w:tabs>
          <w:tab w:val="left" w:pos="1320"/>
          <w:tab w:val="right" w:leader="dot" w:pos="9016"/>
        </w:tabs>
        <w:rPr>
          <w:noProof/>
          <w:szCs w:val="22"/>
          <w:lang w:val="en-AU" w:eastAsia="en-AU"/>
        </w:rPr>
      </w:pPr>
      <w:hyperlink w:anchor="_Toc422298402" w:history="1">
        <w:r w:rsidR="005E7515" w:rsidRPr="00C04338">
          <w:rPr>
            <w:rStyle w:val="Hyperlink"/>
            <w:noProof/>
          </w:rPr>
          <w:t>7.1.3</w:t>
        </w:r>
        <w:r w:rsidR="005E7515" w:rsidRPr="004E7F3B">
          <w:rPr>
            <w:noProof/>
            <w:szCs w:val="22"/>
            <w:lang w:val="en-AU" w:eastAsia="en-AU"/>
          </w:rPr>
          <w:tab/>
        </w:r>
        <w:r w:rsidR="005E7515" w:rsidRPr="00C04338">
          <w:rPr>
            <w:rStyle w:val="Hyperlink"/>
            <w:noProof/>
          </w:rPr>
          <w:t>Development of GEMS requirements and administration</w:t>
        </w:r>
        <w:r w:rsidR="005E7515">
          <w:rPr>
            <w:noProof/>
            <w:webHidden/>
          </w:rPr>
          <w:tab/>
        </w:r>
        <w:r w:rsidR="005E7515">
          <w:rPr>
            <w:noProof/>
            <w:webHidden/>
          </w:rPr>
          <w:fldChar w:fldCharType="begin"/>
        </w:r>
        <w:r w:rsidR="005E7515">
          <w:rPr>
            <w:noProof/>
            <w:webHidden/>
          </w:rPr>
          <w:instrText xml:space="preserve"> PAGEREF _Toc422298402 \h </w:instrText>
        </w:r>
        <w:r w:rsidR="005E7515">
          <w:rPr>
            <w:noProof/>
            <w:webHidden/>
          </w:rPr>
        </w:r>
        <w:r w:rsidR="005E7515">
          <w:rPr>
            <w:noProof/>
            <w:webHidden/>
          </w:rPr>
          <w:fldChar w:fldCharType="separate"/>
        </w:r>
        <w:r w:rsidR="005E7515">
          <w:rPr>
            <w:noProof/>
            <w:webHidden/>
          </w:rPr>
          <w:t>57</w:t>
        </w:r>
        <w:r w:rsidR="005E7515">
          <w:rPr>
            <w:noProof/>
            <w:webHidden/>
          </w:rPr>
          <w:fldChar w:fldCharType="end"/>
        </w:r>
      </w:hyperlink>
    </w:p>
    <w:p w14:paraId="51F48BB3" w14:textId="77777777" w:rsidR="005E7515" w:rsidRPr="004E7F3B" w:rsidRDefault="002B0E45">
      <w:pPr>
        <w:pStyle w:val="TOC3"/>
        <w:tabs>
          <w:tab w:val="left" w:pos="1320"/>
          <w:tab w:val="right" w:leader="dot" w:pos="9016"/>
        </w:tabs>
        <w:rPr>
          <w:noProof/>
          <w:szCs w:val="22"/>
          <w:lang w:val="en-AU" w:eastAsia="en-AU"/>
        </w:rPr>
      </w:pPr>
      <w:hyperlink w:anchor="_Toc422298403" w:history="1">
        <w:r w:rsidR="005E7515" w:rsidRPr="00C04338">
          <w:rPr>
            <w:rStyle w:val="Hyperlink"/>
            <w:noProof/>
          </w:rPr>
          <w:t>7.1.4</w:t>
        </w:r>
        <w:r w:rsidR="005E7515" w:rsidRPr="004E7F3B">
          <w:rPr>
            <w:noProof/>
            <w:szCs w:val="22"/>
            <w:lang w:val="en-AU" w:eastAsia="en-AU"/>
          </w:rPr>
          <w:tab/>
        </w:r>
        <w:r w:rsidR="005E7515" w:rsidRPr="00C04338">
          <w:rPr>
            <w:rStyle w:val="Hyperlink"/>
            <w:noProof/>
          </w:rPr>
          <w:t>Conclusions</w:t>
        </w:r>
        <w:r w:rsidR="005E7515">
          <w:rPr>
            <w:noProof/>
            <w:webHidden/>
          </w:rPr>
          <w:tab/>
        </w:r>
        <w:r w:rsidR="005E7515">
          <w:rPr>
            <w:noProof/>
            <w:webHidden/>
          </w:rPr>
          <w:fldChar w:fldCharType="begin"/>
        </w:r>
        <w:r w:rsidR="005E7515">
          <w:rPr>
            <w:noProof/>
            <w:webHidden/>
          </w:rPr>
          <w:instrText xml:space="preserve"> PAGEREF _Toc422298403 \h </w:instrText>
        </w:r>
        <w:r w:rsidR="005E7515">
          <w:rPr>
            <w:noProof/>
            <w:webHidden/>
          </w:rPr>
        </w:r>
        <w:r w:rsidR="005E7515">
          <w:rPr>
            <w:noProof/>
            <w:webHidden/>
          </w:rPr>
          <w:fldChar w:fldCharType="separate"/>
        </w:r>
        <w:r w:rsidR="005E7515">
          <w:rPr>
            <w:noProof/>
            <w:webHidden/>
          </w:rPr>
          <w:t>58</w:t>
        </w:r>
        <w:r w:rsidR="005E7515">
          <w:rPr>
            <w:noProof/>
            <w:webHidden/>
          </w:rPr>
          <w:fldChar w:fldCharType="end"/>
        </w:r>
      </w:hyperlink>
    </w:p>
    <w:p w14:paraId="2DA0389B" w14:textId="77777777" w:rsidR="005E7515" w:rsidRPr="004E7F3B" w:rsidRDefault="002B0E45">
      <w:pPr>
        <w:pStyle w:val="TOC3"/>
        <w:tabs>
          <w:tab w:val="left" w:pos="1320"/>
          <w:tab w:val="right" w:leader="dot" w:pos="9016"/>
        </w:tabs>
        <w:rPr>
          <w:noProof/>
          <w:szCs w:val="22"/>
          <w:lang w:val="en-AU" w:eastAsia="en-AU"/>
        </w:rPr>
      </w:pPr>
      <w:hyperlink w:anchor="_Toc422298404" w:history="1">
        <w:r w:rsidR="005E7515" w:rsidRPr="00C04338">
          <w:rPr>
            <w:rStyle w:val="Hyperlink"/>
            <w:noProof/>
          </w:rPr>
          <w:t>7.1.5</w:t>
        </w:r>
        <w:r w:rsidR="005E7515" w:rsidRPr="004E7F3B">
          <w:rPr>
            <w:noProof/>
            <w:szCs w:val="22"/>
            <w:lang w:val="en-AU" w:eastAsia="en-AU"/>
          </w:rPr>
          <w:tab/>
        </w:r>
        <w:r w:rsidR="005E7515" w:rsidRPr="00C04338">
          <w:rPr>
            <w:rStyle w:val="Hyperlink"/>
            <w:noProof/>
          </w:rPr>
          <w:t>Recommendation</w:t>
        </w:r>
        <w:r w:rsidR="005E7515">
          <w:rPr>
            <w:noProof/>
            <w:webHidden/>
          </w:rPr>
          <w:tab/>
        </w:r>
        <w:r w:rsidR="005E7515">
          <w:rPr>
            <w:noProof/>
            <w:webHidden/>
          </w:rPr>
          <w:fldChar w:fldCharType="begin"/>
        </w:r>
        <w:r w:rsidR="005E7515">
          <w:rPr>
            <w:noProof/>
            <w:webHidden/>
          </w:rPr>
          <w:instrText xml:space="preserve"> PAGEREF _Toc422298404 \h </w:instrText>
        </w:r>
        <w:r w:rsidR="005E7515">
          <w:rPr>
            <w:noProof/>
            <w:webHidden/>
          </w:rPr>
        </w:r>
        <w:r w:rsidR="005E7515">
          <w:rPr>
            <w:noProof/>
            <w:webHidden/>
          </w:rPr>
          <w:fldChar w:fldCharType="separate"/>
        </w:r>
        <w:r w:rsidR="005E7515">
          <w:rPr>
            <w:noProof/>
            <w:webHidden/>
          </w:rPr>
          <w:t>58</w:t>
        </w:r>
        <w:r w:rsidR="005E7515">
          <w:rPr>
            <w:noProof/>
            <w:webHidden/>
          </w:rPr>
          <w:fldChar w:fldCharType="end"/>
        </w:r>
      </w:hyperlink>
    </w:p>
    <w:p w14:paraId="76A85F55" w14:textId="77777777" w:rsidR="005E7515" w:rsidRPr="004E7F3B" w:rsidRDefault="002B0E45">
      <w:pPr>
        <w:pStyle w:val="TOC2"/>
        <w:tabs>
          <w:tab w:val="left" w:pos="880"/>
          <w:tab w:val="right" w:leader="dot" w:pos="9016"/>
        </w:tabs>
        <w:rPr>
          <w:noProof/>
          <w:szCs w:val="22"/>
          <w:lang w:val="en-AU" w:eastAsia="en-AU"/>
        </w:rPr>
      </w:pPr>
      <w:hyperlink w:anchor="_Toc422298405" w:history="1">
        <w:r w:rsidR="005E7515" w:rsidRPr="00C04338">
          <w:rPr>
            <w:rStyle w:val="Hyperlink"/>
            <w:noProof/>
          </w:rPr>
          <w:t>7.2</w:t>
        </w:r>
        <w:r w:rsidR="005E7515" w:rsidRPr="004E7F3B">
          <w:rPr>
            <w:noProof/>
            <w:szCs w:val="22"/>
            <w:lang w:val="en-AU" w:eastAsia="en-AU"/>
          </w:rPr>
          <w:tab/>
        </w:r>
        <w:r w:rsidR="005E7515" w:rsidRPr="00C04338">
          <w:rPr>
            <w:rStyle w:val="Hyperlink"/>
            <w:noProof/>
          </w:rPr>
          <w:t>The GEMS Act 2012</w:t>
        </w:r>
        <w:r w:rsidR="005E7515">
          <w:rPr>
            <w:noProof/>
            <w:webHidden/>
          </w:rPr>
          <w:tab/>
        </w:r>
        <w:r w:rsidR="005E7515">
          <w:rPr>
            <w:noProof/>
            <w:webHidden/>
          </w:rPr>
          <w:fldChar w:fldCharType="begin"/>
        </w:r>
        <w:r w:rsidR="005E7515">
          <w:rPr>
            <w:noProof/>
            <w:webHidden/>
          </w:rPr>
          <w:instrText xml:space="preserve"> PAGEREF _Toc422298405 \h </w:instrText>
        </w:r>
        <w:r w:rsidR="005E7515">
          <w:rPr>
            <w:noProof/>
            <w:webHidden/>
          </w:rPr>
        </w:r>
        <w:r w:rsidR="005E7515">
          <w:rPr>
            <w:noProof/>
            <w:webHidden/>
          </w:rPr>
          <w:fldChar w:fldCharType="separate"/>
        </w:r>
        <w:r w:rsidR="005E7515">
          <w:rPr>
            <w:noProof/>
            <w:webHidden/>
          </w:rPr>
          <w:t>59</w:t>
        </w:r>
        <w:r w:rsidR="005E7515">
          <w:rPr>
            <w:noProof/>
            <w:webHidden/>
          </w:rPr>
          <w:fldChar w:fldCharType="end"/>
        </w:r>
      </w:hyperlink>
    </w:p>
    <w:p w14:paraId="345E3598" w14:textId="77777777" w:rsidR="005E7515" w:rsidRPr="004E7F3B" w:rsidRDefault="002B0E45">
      <w:pPr>
        <w:pStyle w:val="TOC3"/>
        <w:tabs>
          <w:tab w:val="left" w:pos="1320"/>
          <w:tab w:val="right" w:leader="dot" w:pos="9016"/>
        </w:tabs>
        <w:rPr>
          <w:noProof/>
          <w:szCs w:val="22"/>
          <w:lang w:val="en-AU" w:eastAsia="en-AU"/>
        </w:rPr>
      </w:pPr>
      <w:hyperlink w:anchor="_Toc422298406" w:history="1">
        <w:r w:rsidR="005E7515" w:rsidRPr="00C04338">
          <w:rPr>
            <w:rStyle w:val="Hyperlink"/>
            <w:noProof/>
          </w:rPr>
          <w:t>7.2.1</w:t>
        </w:r>
        <w:r w:rsidR="005E7515" w:rsidRPr="004E7F3B">
          <w:rPr>
            <w:noProof/>
            <w:szCs w:val="22"/>
            <w:lang w:val="en-AU" w:eastAsia="en-AU"/>
          </w:rPr>
          <w:tab/>
        </w:r>
        <w:r w:rsidR="005E7515" w:rsidRPr="00C04338">
          <w:rPr>
            <w:rStyle w:val="Hyperlink"/>
            <w:noProof/>
          </w:rPr>
          <w:t>Effectiveness of the Act</w:t>
        </w:r>
        <w:r w:rsidR="005E7515">
          <w:rPr>
            <w:noProof/>
            <w:webHidden/>
          </w:rPr>
          <w:tab/>
        </w:r>
        <w:r w:rsidR="005E7515">
          <w:rPr>
            <w:noProof/>
            <w:webHidden/>
          </w:rPr>
          <w:fldChar w:fldCharType="begin"/>
        </w:r>
        <w:r w:rsidR="005E7515">
          <w:rPr>
            <w:noProof/>
            <w:webHidden/>
          </w:rPr>
          <w:instrText xml:space="preserve"> PAGEREF _Toc422298406 \h </w:instrText>
        </w:r>
        <w:r w:rsidR="005E7515">
          <w:rPr>
            <w:noProof/>
            <w:webHidden/>
          </w:rPr>
        </w:r>
        <w:r w:rsidR="005E7515">
          <w:rPr>
            <w:noProof/>
            <w:webHidden/>
          </w:rPr>
          <w:fldChar w:fldCharType="separate"/>
        </w:r>
        <w:r w:rsidR="005E7515">
          <w:rPr>
            <w:noProof/>
            <w:webHidden/>
          </w:rPr>
          <w:t>59</w:t>
        </w:r>
        <w:r w:rsidR="005E7515">
          <w:rPr>
            <w:noProof/>
            <w:webHidden/>
          </w:rPr>
          <w:fldChar w:fldCharType="end"/>
        </w:r>
      </w:hyperlink>
    </w:p>
    <w:p w14:paraId="1D3AC97C" w14:textId="77777777" w:rsidR="005E7515" w:rsidRPr="004E7F3B" w:rsidRDefault="002B0E45">
      <w:pPr>
        <w:pStyle w:val="TOC3"/>
        <w:tabs>
          <w:tab w:val="left" w:pos="1320"/>
          <w:tab w:val="right" w:leader="dot" w:pos="9016"/>
        </w:tabs>
        <w:rPr>
          <w:noProof/>
          <w:szCs w:val="22"/>
          <w:lang w:val="en-AU" w:eastAsia="en-AU"/>
        </w:rPr>
      </w:pPr>
      <w:hyperlink w:anchor="_Toc422298407" w:history="1">
        <w:r w:rsidR="005E7515" w:rsidRPr="00C04338">
          <w:rPr>
            <w:rStyle w:val="Hyperlink"/>
            <w:noProof/>
          </w:rPr>
          <w:t>7.2.2</w:t>
        </w:r>
        <w:r w:rsidR="005E7515" w:rsidRPr="004E7F3B">
          <w:rPr>
            <w:noProof/>
            <w:szCs w:val="22"/>
            <w:lang w:val="en-AU" w:eastAsia="en-AU"/>
          </w:rPr>
          <w:tab/>
        </w:r>
        <w:r w:rsidR="005E7515" w:rsidRPr="00C04338">
          <w:rPr>
            <w:rStyle w:val="Hyperlink"/>
            <w:noProof/>
          </w:rPr>
          <w:t>Detailed review of the Act - summary</w:t>
        </w:r>
        <w:r w:rsidR="005E7515">
          <w:rPr>
            <w:noProof/>
            <w:webHidden/>
          </w:rPr>
          <w:tab/>
        </w:r>
        <w:r w:rsidR="005E7515">
          <w:rPr>
            <w:noProof/>
            <w:webHidden/>
          </w:rPr>
          <w:fldChar w:fldCharType="begin"/>
        </w:r>
        <w:r w:rsidR="005E7515">
          <w:rPr>
            <w:noProof/>
            <w:webHidden/>
          </w:rPr>
          <w:instrText xml:space="preserve"> PAGEREF _Toc422298407 \h </w:instrText>
        </w:r>
        <w:r w:rsidR="005E7515">
          <w:rPr>
            <w:noProof/>
            <w:webHidden/>
          </w:rPr>
        </w:r>
        <w:r w:rsidR="005E7515">
          <w:rPr>
            <w:noProof/>
            <w:webHidden/>
          </w:rPr>
          <w:fldChar w:fldCharType="separate"/>
        </w:r>
        <w:r w:rsidR="005E7515">
          <w:rPr>
            <w:noProof/>
            <w:webHidden/>
          </w:rPr>
          <w:t>60</w:t>
        </w:r>
        <w:r w:rsidR="005E7515">
          <w:rPr>
            <w:noProof/>
            <w:webHidden/>
          </w:rPr>
          <w:fldChar w:fldCharType="end"/>
        </w:r>
      </w:hyperlink>
    </w:p>
    <w:p w14:paraId="7350558A" w14:textId="77777777" w:rsidR="005E7515" w:rsidRPr="004E7F3B" w:rsidRDefault="002B0E45">
      <w:pPr>
        <w:pStyle w:val="TOC3"/>
        <w:tabs>
          <w:tab w:val="left" w:pos="1320"/>
          <w:tab w:val="right" w:leader="dot" w:pos="9016"/>
        </w:tabs>
        <w:rPr>
          <w:noProof/>
          <w:szCs w:val="22"/>
          <w:lang w:val="en-AU" w:eastAsia="en-AU"/>
        </w:rPr>
      </w:pPr>
      <w:hyperlink w:anchor="_Toc422298408" w:history="1">
        <w:r w:rsidR="005E7515" w:rsidRPr="00C04338">
          <w:rPr>
            <w:rStyle w:val="Hyperlink"/>
            <w:noProof/>
          </w:rPr>
          <w:t>7.2.3</w:t>
        </w:r>
        <w:r w:rsidR="005E7515" w:rsidRPr="004E7F3B">
          <w:rPr>
            <w:noProof/>
            <w:szCs w:val="22"/>
            <w:lang w:val="en-AU" w:eastAsia="en-AU"/>
          </w:rPr>
          <w:tab/>
        </w:r>
        <w:r w:rsidR="005E7515" w:rsidRPr="00C04338">
          <w:rPr>
            <w:rStyle w:val="Hyperlink"/>
            <w:noProof/>
          </w:rPr>
          <w:t>Opportunities to reduce regulatory burden</w:t>
        </w:r>
        <w:r w:rsidR="005E7515">
          <w:rPr>
            <w:noProof/>
            <w:webHidden/>
          </w:rPr>
          <w:tab/>
        </w:r>
        <w:r w:rsidR="005E7515">
          <w:rPr>
            <w:noProof/>
            <w:webHidden/>
          </w:rPr>
          <w:fldChar w:fldCharType="begin"/>
        </w:r>
        <w:r w:rsidR="005E7515">
          <w:rPr>
            <w:noProof/>
            <w:webHidden/>
          </w:rPr>
          <w:instrText xml:space="preserve"> PAGEREF _Toc422298408 \h </w:instrText>
        </w:r>
        <w:r w:rsidR="005E7515">
          <w:rPr>
            <w:noProof/>
            <w:webHidden/>
          </w:rPr>
        </w:r>
        <w:r w:rsidR="005E7515">
          <w:rPr>
            <w:noProof/>
            <w:webHidden/>
          </w:rPr>
          <w:fldChar w:fldCharType="separate"/>
        </w:r>
        <w:r w:rsidR="005E7515">
          <w:rPr>
            <w:noProof/>
            <w:webHidden/>
          </w:rPr>
          <w:t>61</w:t>
        </w:r>
        <w:r w:rsidR="005E7515">
          <w:rPr>
            <w:noProof/>
            <w:webHidden/>
          </w:rPr>
          <w:fldChar w:fldCharType="end"/>
        </w:r>
      </w:hyperlink>
    </w:p>
    <w:p w14:paraId="6BEE7183" w14:textId="77777777" w:rsidR="005E7515" w:rsidRPr="004E7F3B" w:rsidRDefault="002B0E45">
      <w:pPr>
        <w:pStyle w:val="TOC3"/>
        <w:tabs>
          <w:tab w:val="left" w:pos="1320"/>
          <w:tab w:val="right" w:leader="dot" w:pos="9016"/>
        </w:tabs>
        <w:rPr>
          <w:noProof/>
          <w:szCs w:val="22"/>
          <w:lang w:val="en-AU" w:eastAsia="en-AU"/>
        </w:rPr>
      </w:pPr>
      <w:hyperlink w:anchor="_Toc422298409" w:history="1">
        <w:r w:rsidR="005E7515" w:rsidRPr="00C04338">
          <w:rPr>
            <w:rStyle w:val="Hyperlink"/>
            <w:noProof/>
          </w:rPr>
          <w:t>7.2.4</w:t>
        </w:r>
        <w:r w:rsidR="005E7515" w:rsidRPr="004E7F3B">
          <w:rPr>
            <w:noProof/>
            <w:szCs w:val="22"/>
            <w:lang w:val="en-AU" w:eastAsia="en-AU"/>
          </w:rPr>
          <w:tab/>
        </w:r>
        <w:r w:rsidR="005E7515" w:rsidRPr="00C04338">
          <w:rPr>
            <w:rStyle w:val="Hyperlink"/>
            <w:noProof/>
          </w:rPr>
          <w:t>Opportunities to improve outcomes</w:t>
        </w:r>
        <w:r w:rsidR="005E7515">
          <w:rPr>
            <w:noProof/>
            <w:webHidden/>
          </w:rPr>
          <w:tab/>
        </w:r>
        <w:r w:rsidR="005E7515">
          <w:rPr>
            <w:noProof/>
            <w:webHidden/>
          </w:rPr>
          <w:fldChar w:fldCharType="begin"/>
        </w:r>
        <w:r w:rsidR="005E7515">
          <w:rPr>
            <w:noProof/>
            <w:webHidden/>
          </w:rPr>
          <w:instrText xml:space="preserve"> PAGEREF _Toc422298409 \h </w:instrText>
        </w:r>
        <w:r w:rsidR="005E7515">
          <w:rPr>
            <w:noProof/>
            <w:webHidden/>
          </w:rPr>
        </w:r>
        <w:r w:rsidR="005E7515">
          <w:rPr>
            <w:noProof/>
            <w:webHidden/>
          </w:rPr>
          <w:fldChar w:fldCharType="separate"/>
        </w:r>
        <w:r w:rsidR="005E7515">
          <w:rPr>
            <w:noProof/>
            <w:webHidden/>
          </w:rPr>
          <w:t>64</w:t>
        </w:r>
        <w:r w:rsidR="005E7515">
          <w:rPr>
            <w:noProof/>
            <w:webHidden/>
          </w:rPr>
          <w:fldChar w:fldCharType="end"/>
        </w:r>
      </w:hyperlink>
    </w:p>
    <w:p w14:paraId="35859B76" w14:textId="77777777" w:rsidR="005E7515" w:rsidRPr="004E7F3B" w:rsidRDefault="002B0E45">
      <w:pPr>
        <w:pStyle w:val="TOC3"/>
        <w:tabs>
          <w:tab w:val="left" w:pos="1320"/>
          <w:tab w:val="right" w:leader="dot" w:pos="9016"/>
        </w:tabs>
        <w:rPr>
          <w:noProof/>
          <w:szCs w:val="22"/>
          <w:lang w:val="en-AU" w:eastAsia="en-AU"/>
        </w:rPr>
      </w:pPr>
      <w:hyperlink w:anchor="_Toc422298410" w:history="1">
        <w:r w:rsidR="005E7515" w:rsidRPr="00C04338">
          <w:rPr>
            <w:rStyle w:val="Hyperlink"/>
            <w:noProof/>
          </w:rPr>
          <w:t>7.2.5</w:t>
        </w:r>
        <w:r w:rsidR="005E7515" w:rsidRPr="004E7F3B">
          <w:rPr>
            <w:noProof/>
            <w:szCs w:val="22"/>
            <w:lang w:val="en-AU" w:eastAsia="en-AU"/>
          </w:rPr>
          <w:tab/>
        </w:r>
        <w:r w:rsidR="005E7515" w:rsidRPr="00C04338">
          <w:rPr>
            <w:rStyle w:val="Hyperlink"/>
            <w:noProof/>
          </w:rPr>
          <w:t>Conclusions</w:t>
        </w:r>
        <w:r w:rsidR="005E7515">
          <w:rPr>
            <w:noProof/>
            <w:webHidden/>
          </w:rPr>
          <w:tab/>
        </w:r>
        <w:r w:rsidR="005E7515">
          <w:rPr>
            <w:noProof/>
            <w:webHidden/>
          </w:rPr>
          <w:fldChar w:fldCharType="begin"/>
        </w:r>
        <w:r w:rsidR="005E7515">
          <w:rPr>
            <w:noProof/>
            <w:webHidden/>
          </w:rPr>
          <w:instrText xml:space="preserve"> PAGEREF _Toc422298410 \h </w:instrText>
        </w:r>
        <w:r w:rsidR="005E7515">
          <w:rPr>
            <w:noProof/>
            <w:webHidden/>
          </w:rPr>
        </w:r>
        <w:r w:rsidR="005E7515">
          <w:rPr>
            <w:noProof/>
            <w:webHidden/>
          </w:rPr>
          <w:fldChar w:fldCharType="separate"/>
        </w:r>
        <w:r w:rsidR="005E7515">
          <w:rPr>
            <w:noProof/>
            <w:webHidden/>
          </w:rPr>
          <w:t>65</w:t>
        </w:r>
        <w:r w:rsidR="005E7515">
          <w:rPr>
            <w:noProof/>
            <w:webHidden/>
          </w:rPr>
          <w:fldChar w:fldCharType="end"/>
        </w:r>
      </w:hyperlink>
    </w:p>
    <w:p w14:paraId="61A9D4DB" w14:textId="77777777" w:rsidR="005E7515" w:rsidRPr="004E7F3B" w:rsidRDefault="002B0E45">
      <w:pPr>
        <w:pStyle w:val="TOC3"/>
        <w:tabs>
          <w:tab w:val="left" w:pos="1320"/>
          <w:tab w:val="right" w:leader="dot" w:pos="9016"/>
        </w:tabs>
        <w:rPr>
          <w:noProof/>
          <w:szCs w:val="22"/>
          <w:lang w:val="en-AU" w:eastAsia="en-AU"/>
        </w:rPr>
      </w:pPr>
      <w:hyperlink w:anchor="_Toc422298411" w:history="1">
        <w:r w:rsidR="005E7515" w:rsidRPr="00C04338">
          <w:rPr>
            <w:rStyle w:val="Hyperlink"/>
            <w:noProof/>
          </w:rPr>
          <w:t>7.2.6</w:t>
        </w:r>
        <w:r w:rsidR="005E7515" w:rsidRPr="004E7F3B">
          <w:rPr>
            <w:noProof/>
            <w:szCs w:val="22"/>
            <w:lang w:val="en-AU" w:eastAsia="en-AU"/>
          </w:rPr>
          <w:tab/>
        </w:r>
        <w:r w:rsidR="005E7515" w:rsidRPr="00C04338">
          <w:rPr>
            <w:rStyle w:val="Hyperlink"/>
            <w:noProof/>
          </w:rPr>
          <w:t>Recommendations</w:t>
        </w:r>
        <w:r w:rsidR="005E7515">
          <w:rPr>
            <w:noProof/>
            <w:webHidden/>
          </w:rPr>
          <w:tab/>
        </w:r>
        <w:r w:rsidR="005E7515">
          <w:rPr>
            <w:noProof/>
            <w:webHidden/>
          </w:rPr>
          <w:fldChar w:fldCharType="begin"/>
        </w:r>
        <w:r w:rsidR="005E7515">
          <w:rPr>
            <w:noProof/>
            <w:webHidden/>
          </w:rPr>
          <w:instrText xml:space="preserve"> PAGEREF _Toc422298411 \h </w:instrText>
        </w:r>
        <w:r w:rsidR="005E7515">
          <w:rPr>
            <w:noProof/>
            <w:webHidden/>
          </w:rPr>
        </w:r>
        <w:r w:rsidR="005E7515">
          <w:rPr>
            <w:noProof/>
            <w:webHidden/>
          </w:rPr>
          <w:fldChar w:fldCharType="separate"/>
        </w:r>
        <w:r w:rsidR="005E7515">
          <w:rPr>
            <w:noProof/>
            <w:webHidden/>
          </w:rPr>
          <w:t>65</w:t>
        </w:r>
        <w:r w:rsidR="005E7515">
          <w:rPr>
            <w:noProof/>
            <w:webHidden/>
          </w:rPr>
          <w:fldChar w:fldCharType="end"/>
        </w:r>
      </w:hyperlink>
    </w:p>
    <w:p w14:paraId="4B57D157" w14:textId="77777777" w:rsidR="005E7515" w:rsidRPr="004E7F3B" w:rsidRDefault="002B0E45">
      <w:pPr>
        <w:pStyle w:val="TOC2"/>
        <w:tabs>
          <w:tab w:val="left" w:pos="880"/>
          <w:tab w:val="right" w:leader="dot" w:pos="9016"/>
        </w:tabs>
        <w:rPr>
          <w:noProof/>
          <w:szCs w:val="22"/>
          <w:lang w:val="en-AU" w:eastAsia="en-AU"/>
        </w:rPr>
      </w:pPr>
      <w:hyperlink w:anchor="_Toc422298412" w:history="1">
        <w:r w:rsidR="005E7515" w:rsidRPr="00C04338">
          <w:rPr>
            <w:rStyle w:val="Hyperlink"/>
            <w:noProof/>
          </w:rPr>
          <w:t>7.3</w:t>
        </w:r>
        <w:r w:rsidR="005E7515" w:rsidRPr="004E7F3B">
          <w:rPr>
            <w:noProof/>
            <w:szCs w:val="22"/>
            <w:lang w:val="en-AU" w:eastAsia="en-AU"/>
          </w:rPr>
          <w:tab/>
        </w:r>
        <w:r w:rsidR="005E7515" w:rsidRPr="00C04338">
          <w:rPr>
            <w:rStyle w:val="Hyperlink"/>
            <w:noProof/>
          </w:rPr>
          <w:t>Program administration</w:t>
        </w:r>
        <w:r w:rsidR="005E7515">
          <w:rPr>
            <w:noProof/>
            <w:webHidden/>
          </w:rPr>
          <w:tab/>
        </w:r>
        <w:r w:rsidR="005E7515">
          <w:rPr>
            <w:noProof/>
            <w:webHidden/>
          </w:rPr>
          <w:fldChar w:fldCharType="begin"/>
        </w:r>
        <w:r w:rsidR="005E7515">
          <w:rPr>
            <w:noProof/>
            <w:webHidden/>
          </w:rPr>
          <w:instrText xml:space="preserve"> PAGEREF _Toc422298412 \h </w:instrText>
        </w:r>
        <w:r w:rsidR="005E7515">
          <w:rPr>
            <w:noProof/>
            <w:webHidden/>
          </w:rPr>
        </w:r>
        <w:r w:rsidR="005E7515">
          <w:rPr>
            <w:noProof/>
            <w:webHidden/>
          </w:rPr>
          <w:fldChar w:fldCharType="separate"/>
        </w:r>
        <w:r w:rsidR="005E7515">
          <w:rPr>
            <w:noProof/>
            <w:webHidden/>
          </w:rPr>
          <w:t>66</w:t>
        </w:r>
        <w:r w:rsidR="005E7515">
          <w:rPr>
            <w:noProof/>
            <w:webHidden/>
          </w:rPr>
          <w:fldChar w:fldCharType="end"/>
        </w:r>
      </w:hyperlink>
    </w:p>
    <w:p w14:paraId="0306D325" w14:textId="77777777" w:rsidR="005E7515" w:rsidRPr="004E7F3B" w:rsidRDefault="002B0E45">
      <w:pPr>
        <w:pStyle w:val="TOC3"/>
        <w:tabs>
          <w:tab w:val="left" w:pos="1320"/>
          <w:tab w:val="right" w:leader="dot" w:pos="9016"/>
        </w:tabs>
        <w:rPr>
          <w:noProof/>
          <w:szCs w:val="22"/>
          <w:lang w:val="en-AU" w:eastAsia="en-AU"/>
        </w:rPr>
      </w:pPr>
      <w:hyperlink w:anchor="_Toc422298413" w:history="1">
        <w:r w:rsidR="005E7515" w:rsidRPr="00C04338">
          <w:rPr>
            <w:rStyle w:val="Hyperlink"/>
            <w:noProof/>
          </w:rPr>
          <w:t>7.3.1</w:t>
        </w:r>
        <w:r w:rsidR="005E7515" w:rsidRPr="004E7F3B">
          <w:rPr>
            <w:noProof/>
            <w:szCs w:val="22"/>
            <w:lang w:val="en-AU" w:eastAsia="en-AU"/>
          </w:rPr>
          <w:tab/>
        </w:r>
        <w:r w:rsidR="005E7515" w:rsidRPr="00C04338">
          <w:rPr>
            <w:rStyle w:val="Hyperlink"/>
            <w:noProof/>
          </w:rPr>
          <w:t>Effectiveness of administration</w:t>
        </w:r>
        <w:r w:rsidR="005E7515">
          <w:rPr>
            <w:noProof/>
            <w:webHidden/>
          </w:rPr>
          <w:tab/>
        </w:r>
        <w:r w:rsidR="005E7515">
          <w:rPr>
            <w:noProof/>
            <w:webHidden/>
          </w:rPr>
          <w:fldChar w:fldCharType="begin"/>
        </w:r>
        <w:r w:rsidR="005E7515">
          <w:rPr>
            <w:noProof/>
            <w:webHidden/>
          </w:rPr>
          <w:instrText xml:space="preserve"> PAGEREF _Toc422298413 \h </w:instrText>
        </w:r>
        <w:r w:rsidR="005E7515">
          <w:rPr>
            <w:noProof/>
            <w:webHidden/>
          </w:rPr>
        </w:r>
        <w:r w:rsidR="005E7515">
          <w:rPr>
            <w:noProof/>
            <w:webHidden/>
          </w:rPr>
          <w:fldChar w:fldCharType="separate"/>
        </w:r>
        <w:r w:rsidR="005E7515">
          <w:rPr>
            <w:noProof/>
            <w:webHidden/>
          </w:rPr>
          <w:t>66</w:t>
        </w:r>
        <w:r w:rsidR="005E7515">
          <w:rPr>
            <w:noProof/>
            <w:webHidden/>
          </w:rPr>
          <w:fldChar w:fldCharType="end"/>
        </w:r>
      </w:hyperlink>
    </w:p>
    <w:p w14:paraId="37DEF26E" w14:textId="77777777" w:rsidR="005E7515" w:rsidRPr="004E7F3B" w:rsidRDefault="002B0E45">
      <w:pPr>
        <w:pStyle w:val="TOC3"/>
        <w:tabs>
          <w:tab w:val="left" w:pos="1320"/>
          <w:tab w:val="right" w:leader="dot" w:pos="9016"/>
        </w:tabs>
        <w:rPr>
          <w:noProof/>
          <w:szCs w:val="22"/>
          <w:lang w:val="en-AU" w:eastAsia="en-AU"/>
        </w:rPr>
      </w:pPr>
      <w:hyperlink w:anchor="_Toc422298414" w:history="1">
        <w:r w:rsidR="005E7515" w:rsidRPr="00C04338">
          <w:rPr>
            <w:rStyle w:val="Hyperlink"/>
            <w:noProof/>
          </w:rPr>
          <w:t>7.3.2</w:t>
        </w:r>
        <w:r w:rsidR="005E7515" w:rsidRPr="004E7F3B">
          <w:rPr>
            <w:noProof/>
            <w:szCs w:val="22"/>
            <w:lang w:val="en-AU" w:eastAsia="en-AU"/>
          </w:rPr>
          <w:tab/>
        </w:r>
        <w:r w:rsidR="005E7515" w:rsidRPr="00C04338">
          <w:rPr>
            <w:rStyle w:val="Hyperlink"/>
            <w:noProof/>
          </w:rPr>
          <w:t>Conclusions on the effectiveness of administration</w:t>
        </w:r>
        <w:r w:rsidR="005E7515">
          <w:rPr>
            <w:noProof/>
            <w:webHidden/>
          </w:rPr>
          <w:tab/>
        </w:r>
        <w:r w:rsidR="005E7515">
          <w:rPr>
            <w:noProof/>
            <w:webHidden/>
          </w:rPr>
          <w:fldChar w:fldCharType="begin"/>
        </w:r>
        <w:r w:rsidR="005E7515">
          <w:rPr>
            <w:noProof/>
            <w:webHidden/>
          </w:rPr>
          <w:instrText xml:space="preserve"> PAGEREF _Toc422298414 \h </w:instrText>
        </w:r>
        <w:r w:rsidR="005E7515">
          <w:rPr>
            <w:noProof/>
            <w:webHidden/>
          </w:rPr>
        </w:r>
        <w:r w:rsidR="005E7515">
          <w:rPr>
            <w:noProof/>
            <w:webHidden/>
          </w:rPr>
          <w:fldChar w:fldCharType="separate"/>
        </w:r>
        <w:r w:rsidR="005E7515">
          <w:rPr>
            <w:noProof/>
            <w:webHidden/>
          </w:rPr>
          <w:t>77</w:t>
        </w:r>
        <w:r w:rsidR="005E7515">
          <w:rPr>
            <w:noProof/>
            <w:webHidden/>
          </w:rPr>
          <w:fldChar w:fldCharType="end"/>
        </w:r>
      </w:hyperlink>
    </w:p>
    <w:p w14:paraId="7F074472" w14:textId="77777777" w:rsidR="005E7515" w:rsidRPr="004E7F3B" w:rsidRDefault="002B0E45">
      <w:pPr>
        <w:pStyle w:val="TOC3"/>
        <w:tabs>
          <w:tab w:val="left" w:pos="1320"/>
          <w:tab w:val="right" w:leader="dot" w:pos="9016"/>
        </w:tabs>
        <w:rPr>
          <w:noProof/>
          <w:szCs w:val="22"/>
          <w:lang w:val="en-AU" w:eastAsia="en-AU"/>
        </w:rPr>
      </w:pPr>
      <w:hyperlink w:anchor="_Toc422298415" w:history="1">
        <w:r w:rsidR="005E7515" w:rsidRPr="00C04338">
          <w:rPr>
            <w:rStyle w:val="Hyperlink"/>
            <w:noProof/>
          </w:rPr>
          <w:t>7.3.3</w:t>
        </w:r>
        <w:r w:rsidR="005E7515" w:rsidRPr="004E7F3B">
          <w:rPr>
            <w:noProof/>
            <w:szCs w:val="22"/>
            <w:lang w:val="en-AU" w:eastAsia="en-AU"/>
          </w:rPr>
          <w:tab/>
        </w:r>
        <w:r w:rsidR="005E7515" w:rsidRPr="00C04338">
          <w:rPr>
            <w:rStyle w:val="Hyperlink"/>
            <w:noProof/>
          </w:rPr>
          <w:t>Opportunities to reduce regulatory burden</w:t>
        </w:r>
        <w:r w:rsidR="005E7515">
          <w:rPr>
            <w:noProof/>
            <w:webHidden/>
          </w:rPr>
          <w:tab/>
        </w:r>
        <w:r w:rsidR="005E7515">
          <w:rPr>
            <w:noProof/>
            <w:webHidden/>
          </w:rPr>
          <w:fldChar w:fldCharType="begin"/>
        </w:r>
        <w:r w:rsidR="005E7515">
          <w:rPr>
            <w:noProof/>
            <w:webHidden/>
          </w:rPr>
          <w:instrText xml:space="preserve"> PAGEREF _Toc422298415 \h </w:instrText>
        </w:r>
        <w:r w:rsidR="005E7515">
          <w:rPr>
            <w:noProof/>
            <w:webHidden/>
          </w:rPr>
        </w:r>
        <w:r w:rsidR="005E7515">
          <w:rPr>
            <w:noProof/>
            <w:webHidden/>
          </w:rPr>
          <w:fldChar w:fldCharType="separate"/>
        </w:r>
        <w:r w:rsidR="005E7515">
          <w:rPr>
            <w:noProof/>
            <w:webHidden/>
          </w:rPr>
          <w:t>78</w:t>
        </w:r>
        <w:r w:rsidR="005E7515">
          <w:rPr>
            <w:noProof/>
            <w:webHidden/>
          </w:rPr>
          <w:fldChar w:fldCharType="end"/>
        </w:r>
      </w:hyperlink>
    </w:p>
    <w:p w14:paraId="54D9BC21" w14:textId="77777777" w:rsidR="005E7515" w:rsidRPr="004E7F3B" w:rsidRDefault="002B0E45">
      <w:pPr>
        <w:pStyle w:val="TOC3"/>
        <w:tabs>
          <w:tab w:val="left" w:pos="1320"/>
          <w:tab w:val="right" w:leader="dot" w:pos="9016"/>
        </w:tabs>
        <w:rPr>
          <w:noProof/>
          <w:szCs w:val="22"/>
          <w:lang w:val="en-AU" w:eastAsia="en-AU"/>
        </w:rPr>
      </w:pPr>
      <w:hyperlink w:anchor="_Toc422298416" w:history="1">
        <w:r w:rsidR="005E7515" w:rsidRPr="00C04338">
          <w:rPr>
            <w:rStyle w:val="Hyperlink"/>
            <w:noProof/>
          </w:rPr>
          <w:t>7.3.4</w:t>
        </w:r>
        <w:r w:rsidR="005E7515" w:rsidRPr="004E7F3B">
          <w:rPr>
            <w:noProof/>
            <w:szCs w:val="22"/>
            <w:lang w:val="en-AU" w:eastAsia="en-AU"/>
          </w:rPr>
          <w:tab/>
        </w:r>
        <w:r w:rsidR="005E7515" w:rsidRPr="00C04338">
          <w:rPr>
            <w:rStyle w:val="Hyperlink"/>
            <w:noProof/>
          </w:rPr>
          <w:t>Opportunities to improve outcomes</w:t>
        </w:r>
        <w:r w:rsidR="005E7515">
          <w:rPr>
            <w:noProof/>
            <w:webHidden/>
          </w:rPr>
          <w:tab/>
        </w:r>
        <w:r w:rsidR="005E7515">
          <w:rPr>
            <w:noProof/>
            <w:webHidden/>
          </w:rPr>
          <w:fldChar w:fldCharType="begin"/>
        </w:r>
        <w:r w:rsidR="005E7515">
          <w:rPr>
            <w:noProof/>
            <w:webHidden/>
          </w:rPr>
          <w:instrText xml:space="preserve"> PAGEREF _Toc422298416 \h </w:instrText>
        </w:r>
        <w:r w:rsidR="005E7515">
          <w:rPr>
            <w:noProof/>
            <w:webHidden/>
          </w:rPr>
        </w:r>
        <w:r w:rsidR="005E7515">
          <w:rPr>
            <w:noProof/>
            <w:webHidden/>
          </w:rPr>
          <w:fldChar w:fldCharType="separate"/>
        </w:r>
        <w:r w:rsidR="005E7515">
          <w:rPr>
            <w:noProof/>
            <w:webHidden/>
          </w:rPr>
          <w:t>79</w:t>
        </w:r>
        <w:r w:rsidR="005E7515">
          <w:rPr>
            <w:noProof/>
            <w:webHidden/>
          </w:rPr>
          <w:fldChar w:fldCharType="end"/>
        </w:r>
      </w:hyperlink>
    </w:p>
    <w:p w14:paraId="40131B6D" w14:textId="77777777" w:rsidR="005E7515" w:rsidRPr="004E7F3B" w:rsidRDefault="002B0E45">
      <w:pPr>
        <w:pStyle w:val="TOC3"/>
        <w:tabs>
          <w:tab w:val="left" w:pos="1320"/>
          <w:tab w:val="right" w:leader="dot" w:pos="9016"/>
        </w:tabs>
        <w:rPr>
          <w:noProof/>
          <w:szCs w:val="22"/>
          <w:lang w:val="en-AU" w:eastAsia="en-AU"/>
        </w:rPr>
      </w:pPr>
      <w:hyperlink w:anchor="_Toc422298417" w:history="1">
        <w:r w:rsidR="005E7515" w:rsidRPr="00C04338">
          <w:rPr>
            <w:rStyle w:val="Hyperlink"/>
            <w:noProof/>
          </w:rPr>
          <w:t>7.3.5</w:t>
        </w:r>
        <w:r w:rsidR="005E7515" w:rsidRPr="004E7F3B">
          <w:rPr>
            <w:noProof/>
            <w:szCs w:val="22"/>
            <w:lang w:val="en-AU" w:eastAsia="en-AU"/>
          </w:rPr>
          <w:tab/>
        </w:r>
        <w:r w:rsidR="005E7515" w:rsidRPr="00C04338">
          <w:rPr>
            <w:rStyle w:val="Hyperlink"/>
            <w:noProof/>
          </w:rPr>
          <w:t>Recommendations</w:t>
        </w:r>
        <w:r w:rsidR="005E7515">
          <w:rPr>
            <w:noProof/>
            <w:webHidden/>
          </w:rPr>
          <w:tab/>
        </w:r>
        <w:r w:rsidR="005E7515">
          <w:rPr>
            <w:noProof/>
            <w:webHidden/>
          </w:rPr>
          <w:fldChar w:fldCharType="begin"/>
        </w:r>
        <w:r w:rsidR="005E7515">
          <w:rPr>
            <w:noProof/>
            <w:webHidden/>
          </w:rPr>
          <w:instrText xml:space="preserve"> PAGEREF _Toc422298417 \h </w:instrText>
        </w:r>
        <w:r w:rsidR="005E7515">
          <w:rPr>
            <w:noProof/>
            <w:webHidden/>
          </w:rPr>
        </w:r>
        <w:r w:rsidR="005E7515">
          <w:rPr>
            <w:noProof/>
            <w:webHidden/>
          </w:rPr>
          <w:fldChar w:fldCharType="separate"/>
        </w:r>
        <w:r w:rsidR="005E7515">
          <w:rPr>
            <w:noProof/>
            <w:webHidden/>
          </w:rPr>
          <w:t>80</w:t>
        </w:r>
        <w:r w:rsidR="005E7515">
          <w:rPr>
            <w:noProof/>
            <w:webHidden/>
          </w:rPr>
          <w:fldChar w:fldCharType="end"/>
        </w:r>
      </w:hyperlink>
    </w:p>
    <w:p w14:paraId="380FEB7B" w14:textId="77777777" w:rsidR="005E7515" w:rsidRPr="004E7F3B" w:rsidRDefault="002B0E45">
      <w:pPr>
        <w:pStyle w:val="TOC2"/>
        <w:tabs>
          <w:tab w:val="left" w:pos="880"/>
          <w:tab w:val="right" w:leader="dot" w:pos="9016"/>
        </w:tabs>
        <w:rPr>
          <w:noProof/>
          <w:szCs w:val="22"/>
          <w:lang w:val="en-AU" w:eastAsia="en-AU"/>
        </w:rPr>
      </w:pPr>
      <w:hyperlink w:anchor="_Toc422298418" w:history="1">
        <w:r w:rsidR="005E7515" w:rsidRPr="00C04338">
          <w:rPr>
            <w:rStyle w:val="Hyperlink"/>
            <w:noProof/>
          </w:rPr>
          <w:t>7.4</w:t>
        </w:r>
        <w:r w:rsidR="005E7515" w:rsidRPr="004E7F3B">
          <w:rPr>
            <w:noProof/>
            <w:szCs w:val="22"/>
            <w:lang w:val="en-AU" w:eastAsia="en-AU"/>
          </w:rPr>
          <w:tab/>
        </w:r>
        <w:r w:rsidR="005E7515" w:rsidRPr="00C04338">
          <w:rPr>
            <w:rStyle w:val="Hyperlink"/>
            <w:noProof/>
          </w:rPr>
          <w:t>Funding</w:t>
        </w:r>
        <w:r w:rsidR="005E7515">
          <w:rPr>
            <w:noProof/>
            <w:webHidden/>
          </w:rPr>
          <w:tab/>
        </w:r>
        <w:r w:rsidR="005E7515">
          <w:rPr>
            <w:noProof/>
            <w:webHidden/>
          </w:rPr>
          <w:fldChar w:fldCharType="begin"/>
        </w:r>
        <w:r w:rsidR="005E7515">
          <w:rPr>
            <w:noProof/>
            <w:webHidden/>
          </w:rPr>
          <w:instrText xml:space="preserve"> PAGEREF _Toc422298418 \h </w:instrText>
        </w:r>
        <w:r w:rsidR="005E7515">
          <w:rPr>
            <w:noProof/>
            <w:webHidden/>
          </w:rPr>
        </w:r>
        <w:r w:rsidR="005E7515">
          <w:rPr>
            <w:noProof/>
            <w:webHidden/>
          </w:rPr>
          <w:fldChar w:fldCharType="separate"/>
        </w:r>
        <w:r w:rsidR="005E7515">
          <w:rPr>
            <w:noProof/>
            <w:webHidden/>
          </w:rPr>
          <w:t>80</w:t>
        </w:r>
        <w:r w:rsidR="005E7515">
          <w:rPr>
            <w:noProof/>
            <w:webHidden/>
          </w:rPr>
          <w:fldChar w:fldCharType="end"/>
        </w:r>
      </w:hyperlink>
    </w:p>
    <w:p w14:paraId="55C9A114" w14:textId="77777777" w:rsidR="005E7515" w:rsidRPr="004E7F3B" w:rsidRDefault="002B0E45">
      <w:pPr>
        <w:pStyle w:val="TOC3"/>
        <w:tabs>
          <w:tab w:val="left" w:pos="1320"/>
          <w:tab w:val="right" w:leader="dot" w:pos="9016"/>
        </w:tabs>
        <w:rPr>
          <w:noProof/>
          <w:szCs w:val="22"/>
          <w:lang w:val="en-AU" w:eastAsia="en-AU"/>
        </w:rPr>
      </w:pPr>
      <w:hyperlink w:anchor="_Toc422298419" w:history="1">
        <w:r w:rsidR="005E7515" w:rsidRPr="00C04338">
          <w:rPr>
            <w:rStyle w:val="Hyperlink"/>
            <w:noProof/>
          </w:rPr>
          <w:t>7.4.1</w:t>
        </w:r>
        <w:r w:rsidR="005E7515" w:rsidRPr="004E7F3B">
          <w:rPr>
            <w:noProof/>
            <w:szCs w:val="22"/>
            <w:lang w:val="en-AU" w:eastAsia="en-AU"/>
          </w:rPr>
          <w:tab/>
        </w:r>
        <w:r w:rsidR="005E7515" w:rsidRPr="00C04338">
          <w:rPr>
            <w:rStyle w:val="Hyperlink"/>
            <w:noProof/>
          </w:rPr>
          <w:t>Limitations</w:t>
        </w:r>
        <w:r w:rsidR="005E7515">
          <w:rPr>
            <w:noProof/>
            <w:webHidden/>
          </w:rPr>
          <w:tab/>
        </w:r>
        <w:r w:rsidR="005E7515">
          <w:rPr>
            <w:noProof/>
            <w:webHidden/>
          </w:rPr>
          <w:fldChar w:fldCharType="begin"/>
        </w:r>
        <w:r w:rsidR="005E7515">
          <w:rPr>
            <w:noProof/>
            <w:webHidden/>
          </w:rPr>
          <w:instrText xml:space="preserve"> PAGEREF _Toc422298419 \h </w:instrText>
        </w:r>
        <w:r w:rsidR="005E7515">
          <w:rPr>
            <w:noProof/>
            <w:webHidden/>
          </w:rPr>
        </w:r>
        <w:r w:rsidR="005E7515">
          <w:rPr>
            <w:noProof/>
            <w:webHidden/>
          </w:rPr>
          <w:fldChar w:fldCharType="separate"/>
        </w:r>
        <w:r w:rsidR="005E7515">
          <w:rPr>
            <w:noProof/>
            <w:webHidden/>
          </w:rPr>
          <w:t>81</w:t>
        </w:r>
        <w:r w:rsidR="005E7515">
          <w:rPr>
            <w:noProof/>
            <w:webHidden/>
          </w:rPr>
          <w:fldChar w:fldCharType="end"/>
        </w:r>
      </w:hyperlink>
    </w:p>
    <w:p w14:paraId="33355C7A" w14:textId="77777777" w:rsidR="005E7515" w:rsidRPr="004E7F3B" w:rsidRDefault="002B0E45">
      <w:pPr>
        <w:pStyle w:val="TOC3"/>
        <w:tabs>
          <w:tab w:val="left" w:pos="1320"/>
          <w:tab w:val="right" w:leader="dot" w:pos="9016"/>
        </w:tabs>
        <w:rPr>
          <w:noProof/>
          <w:szCs w:val="22"/>
          <w:lang w:val="en-AU" w:eastAsia="en-AU"/>
        </w:rPr>
      </w:pPr>
      <w:hyperlink w:anchor="_Toc422298420" w:history="1">
        <w:r w:rsidR="005E7515" w:rsidRPr="00C04338">
          <w:rPr>
            <w:rStyle w:val="Hyperlink"/>
            <w:noProof/>
          </w:rPr>
          <w:t>7.4.2</w:t>
        </w:r>
        <w:r w:rsidR="005E7515" w:rsidRPr="004E7F3B">
          <w:rPr>
            <w:noProof/>
            <w:szCs w:val="22"/>
            <w:lang w:val="en-AU" w:eastAsia="en-AU"/>
          </w:rPr>
          <w:tab/>
        </w:r>
        <w:r w:rsidR="005E7515" w:rsidRPr="00C04338">
          <w:rPr>
            <w:rStyle w:val="Hyperlink"/>
            <w:noProof/>
          </w:rPr>
          <w:t>Cost recovery</w:t>
        </w:r>
        <w:r w:rsidR="005E7515">
          <w:rPr>
            <w:noProof/>
            <w:webHidden/>
          </w:rPr>
          <w:tab/>
        </w:r>
        <w:r w:rsidR="005E7515">
          <w:rPr>
            <w:noProof/>
            <w:webHidden/>
          </w:rPr>
          <w:fldChar w:fldCharType="begin"/>
        </w:r>
        <w:r w:rsidR="005E7515">
          <w:rPr>
            <w:noProof/>
            <w:webHidden/>
          </w:rPr>
          <w:instrText xml:space="preserve"> PAGEREF _Toc422298420 \h </w:instrText>
        </w:r>
        <w:r w:rsidR="005E7515">
          <w:rPr>
            <w:noProof/>
            <w:webHidden/>
          </w:rPr>
        </w:r>
        <w:r w:rsidR="005E7515">
          <w:rPr>
            <w:noProof/>
            <w:webHidden/>
          </w:rPr>
          <w:fldChar w:fldCharType="separate"/>
        </w:r>
        <w:r w:rsidR="005E7515">
          <w:rPr>
            <w:noProof/>
            <w:webHidden/>
          </w:rPr>
          <w:t>81</w:t>
        </w:r>
        <w:r w:rsidR="005E7515">
          <w:rPr>
            <w:noProof/>
            <w:webHidden/>
          </w:rPr>
          <w:fldChar w:fldCharType="end"/>
        </w:r>
      </w:hyperlink>
    </w:p>
    <w:p w14:paraId="2129707D" w14:textId="77777777" w:rsidR="005E7515" w:rsidRPr="004E7F3B" w:rsidRDefault="002B0E45">
      <w:pPr>
        <w:pStyle w:val="TOC3"/>
        <w:tabs>
          <w:tab w:val="left" w:pos="1320"/>
          <w:tab w:val="right" w:leader="dot" w:pos="9016"/>
        </w:tabs>
        <w:rPr>
          <w:noProof/>
          <w:szCs w:val="22"/>
          <w:lang w:val="en-AU" w:eastAsia="en-AU"/>
        </w:rPr>
      </w:pPr>
      <w:hyperlink w:anchor="_Toc422298421" w:history="1">
        <w:r w:rsidR="005E7515" w:rsidRPr="00C04338">
          <w:rPr>
            <w:rStyle w:val="Hyperlink"/>
            <w:noProof/>
          </w:rPr>
          <w:t>7.4.3</w:t>
        </w:r>
        <w:r w:rsidR="005E7515" w:rsidRPr="004E7F3B">
          <w:rPr>
            <w:noProof/>
            <w:szCs w:val="22"/>
            <w:lang w:val="en-AU" w:eastAsia="en-AU"/>
          </w:rPr>
          <w:tab/>
        </w:r>
        <w:r w:rsidR="005E7515" w:rsidRPr="00C04338">
          <w:rPr>
            <w:rStyle w:val="Hyperlink"/>
            <w:noProof/>
          </w:rPr>
          <w:t>Alternative government funding options</w:t>
        </w:r>
        <w:r w:rsidR="005E7515">
          <w:rPr>
            <w:noProof/>
            <w:webHidden/>
          </w:rPr>
          <w:tab/>
        </w:r>
        <w:r w:rsidR="005E7515">
          <w:rPr>
            <w:noProof/>
            <w:webHidden/>
          </w:rPr>
          <w:fldChar w:fldCharType="begin"/>
        </w:r>
        <w:r w:rsidR="005E7515">
          <w:rPr>
            <w:noProof/>
            <w:webHidden/>
          </w:rPr>
          <w:instrText xml:space="preserve"> PAGEREF _Toc422298421 \h </w:instrText>
        </w:r>
        <w:r w:rsidR="005E7515">
          <w:rPr>
            <w:noProof/>
            <w:webHidden/>
          </w:rPr>
        </w:r>
        <w:r w:rsidR="005E7515">
          <w:rPr>
            <w:noProof/>
            <w:webHidden/>
          </w:rPr>
          <w:fldChar w:fldCharType="separate"/>
        </w:r>
        <w:r w:rsidR="005E7515">
          <w:rPr>
            <w:noProof/>
            <w:webHidden/>
          </w:rPr>
          <w:t>85</w:t>
        </w:r>
        <w:r w:rsidR="005E7515">
          <w:rPr>
            <w:noProof/>
            <w:webHidden/>
          </w:rPr>
          <w:fldChar w:fldCharType="end"/>
        </w:r>
      </w:hyperlink>
    </w:p>
    <w:p w14:paraId="4DCD3FC7" w14:textId="77777777" w:rsidR="005E7515" w:rsidRPr="004E7F3B" w:rsidRDefault="002B0E45">
      <w:pPr>
        <w:pStyle w:val="TOC3"/>
        <w:tabs>
          <w:tab w:val="left" w:pos="1320"/>
          <w:tab w:val="right" w:leader="dot" w:pos="9016"/>
        </w:tabs>
        <w:rPr>
          <w:noProof/>
          <w:szCs w:val="22"/>
          <w:lang w:val="en-AU" w:eastAsia="en-AU"/>
        </w:rPr>
      </w:pPr>
      <w:hyperlink w:anchor="_Toc422298422" w:history="1">
        <w:r w:rsidR="005E7515" w:rsidRPr="00C04338">
          <w:rPr>
            <w:rStyle w:val="Hyperlink"/>
            <w:noProof/>
          </w:rPr>
          <w:t>7.4.4</w:t>
        </w:r>
        <w:r w:rsidR="005E7515" w:rsidRPr="004E7F3B">
          <w:rPr>
            <w:noProof/>
            <w:szCs w:val="22"/>
            <w:lang w:val="en-AU" w:eastAsia="en-AU"/>
          </w:rPr>
          <w:tab/>
        </w:r>
        <w:r w:rsidR="005E7515" w:rsidRPr="00C04338">
          <w:rPr>
            <w:rStyle w:val="Hyperlink"/>
            <w:noProof/>
          </w:rPr>
          <w:t>Conclusions</w:t>
        </w:r>
        <w:r w:rsidR="005E7515">
          <w:rPr>
            <w:noProof/>
            <w:webHidden/>
          </w:rPr>
          <w:tab/>
        </w:r>
        <w:r w:rsidR="005E7515">
          <w:rPr>
            <w:noProof/>
            <w:webHidden/>
          </w:rPr>
          <w:fldChar w:fldCharType="begin"/>
        </w:r>
        <w:r w:rsidR="005E7515">
          <w:rPr>
            <w:noProof/>
            <w:webHidden/>
          </w:rPr>
          <w:instrText xml:space="preserve"> PAGEREF _Toc422298422 \h </w:instrText>
        </w:r>
        <w:r w:rsidR="005E7515">
          <w:rPr>
            <w:noProof/>
            <w:webHidden/>
          </w:rPr>
        </w:r>
        <w:r w:rsidR="005E7515">
          <w:rPr>
            <w:noProof/>
            <w:webHidden/>
          </w:rPr>
          <w:fldChar w:fldCharType="separate"/>
        </w:r>
        <w:r w:rsidR="005E7515">
          <w:rPr>
            <w:noProof/>
            <w:webHidden/>
          </w:rPr>
          <w:t>87</w:t>
        </w:r>
        <w:r w:rsidR="005E7515">
          <w:rPr>
            <w:noProof/>
            <w:webHidden/>
          </w:rPr>
          <w:fldChar w:fldCharType="end"/>
        </w:r>
      </w:hyperlink>
    </w:p>
    <w:p w14:paraId="5614A35D" w14:textId="77777777" w:rsidR="005E7515" w:rsidRPr="004E7F3B" w:rsidRDefault="002B0E45">
      <w:pPr>
        <w:pStyle w:val="TOC3"/>
        <w:tabs>
          <w:tab w:val="left" w:pos="1320"/>
          <w:tab w:val="right" w:leader="dot" w:pos="9016"/>
        </w:tabs>
        <w:rPr>
          <w:noProof/>
          <w:szCs w:val="22"/>
          <w:lang w:val="en-AU" w:eastAsia="en-AU"/>
        </w:rPr>
      </w:pPr>
      <w:hyperlink w:anchor="_Toc422298423" w:history="1">
        <w:r w:rsidR="005E7515" w:rsidRPr="00C04338">
          <w:rPr>
            <w:rStyle w:val="Hyperlink"/>
            <w:noProof/>
          </w:rPr>
          <w:t>7.4.5</w:t>
        </w:r>
        <w:r w:rsidR="005E7515" w:rsidRPr="004E7F3B">
          <w:rPr>
            <w:noProof/>
            <w:szCs w:val="22"/>
            <w:lang w:val="en-AU" w:eastAsia="en-AU"/>
          </w:rPr>
          <w:tab/>
        </w:r>
        <w:r w:rsidR="005E7515" w:rsidRPr="00C04338">
          <w:rPr>
            <w:rStyle w:val="Hyperlink"/>
            <w:noProof/>
          </w:rPr>
          <w:t>Recommendations</w:t>
        </w:r>
        <w:r w:rsidR="005E7515">
          <w:rPr>
            <w:noProof/>
            <w:webHidden/>
          </w:rPr>
          <w:tab/>
        </w:r>
        <w:r w:rsidR="005E7515">
          <w:rPr>
            <w:noProof/>
            <w:webHidden/>
          </w:rPr>
          <w:fldChar w:fldCharType="begin"/>
        </w:r>
        <w:r w:rsidR="005E7515">
          <w:rPr>
            <w:noProof/>
            <w:webHidden/>
          </w:rPr>
          <w:instrText xml:space="preserve"> PAGEREF _Toc422298423 \h </w:instrText>
        </w:r>
        <w:r w:rsidR="005E7515">
          <w:rPr>
            <w:noProof/>
            <w:webHidden/>
          </w:rPr>
        </w:r>
        <w:r w:rsidR="005E7515">
          <w:rPr>
            <w:noProof/>
            <w:webHidden/>
          </w:rPr>
          <w:fldChar w:fldCharType="separate"/>
        </w:r>
        <w:r w:rsidR="005E7515">
          <w:rPr>
            <w:noProof/>
            <w:webHidden/>
          </w:rPr>
          <w:t>88</w:t>
        </w:r>
        <w:r w:rsidR="005E7515">
          <w:rPr>
            <w:noProof/>
            <w:webHidden/>
          </w:rPr>
          <w:fldChar w:fldCharType="end"/>
        </w:r>
      </w:hyperlink>
    </w:p>
    <w:p w14:paraId="70CBFA1A" w14:textId="77777777" w:rsidR="00101A06" w:rsidRDefault="00331CD9" w:rsidP="009B48A4">
      <w:pPr>
        <w:spacing w:after="0"/>
      </w:pPr>
      <w:r>
        <w:fldChar w:fldCharType="end"/>
      </w:r>
      <w:bookmarkStart w:id="1" w:name="_Toc397519971"/>
    </w:p>
    <w:p w14:paraId="5C46B70C" w14:textId="77777777" w:rsidR="0092537B" w:rsidRDefault="00B55308" w:rsidP="00565E13">
      <w:pPr>
        <w:pStyle w:val="Heading1"/>
      </w:pPr>
      <w:r>
        <w:br w:type="page"/>
      </w:r>
      <w:bookmarkStart w:id="2" w:name="_Toc422298352"/>
      <w:r w:rsidR="0092537B">
        <w:lastRenderedPageBreak/>
        <w:t>Glossary</w:t>
      </w:r>
      <w:bookmarkEnd w:id="2"/>
    </w:p>
    <w:tbl>
      <w:tblPr>
        <w:tblW w:w="1900" w:type="dxa"/>
        <w:tblCellMar>
          <w:left w:w="0" w:type="dxa"/>
          <w:right w:w="0" w:type="dxa"/>
        </w:tblCellMar>
        <w:tblLook w:val="04A0" w:firstRow="1" w:lastRow="0" w:firstColumn="1" w:lastColumn="0" w:noHBand="0" w:noVBand="1"/>
      </w:tblPr>
      <w:tblGrid>
        <w:gridCol w:w="940"/>
        <w:gridCol w:w="7611"/>
      </w:tblGrid>
      <w:tr w:rsidR="00A03B5F" w14:paraId="5CBE6A1C" w14:textId="77777777" w:rsidTr="00A03B5F">
        <w:trPr>
          <w:trHeight w:val="300"/>
        </w:trPr>
        <w:tc>
          <w:tcPr>
            <w:tcW w:w="940" w:type="dxa"/>
            <w:tcBorders>
              <w:top w:val="nil"/>
              <w:left w:val="nil"/>
              <w:bottom w:val="nil"/>
              <w:right w:val="nil"/>
            </w:tcBorders>
            <w:shd w:val="clear" w:color="auto" w:fill="auto"/>
            <w:noWrap/>
            <w:tcMar>
              <w:top w:w="15" w:type="dxa"/>
              <w:left w:w="15" w:type="dxa"/>
              <w:bottom w:w="0" w:type="dxa"/>
              <w:right w:w="15" w:type="dxa"/>
            </w:tcMar>
            <w:vAlign w:val="center"/>
            <w:hideMark/>
          </w:tcPr>
          <w:p w14:paraId="1FE92E17" w14:textId="77777777" w:rsidR="00A03B5F" w:rsidRDefault="00A03B5F" w:rsidP="000117EE">
            <w:pPr>
              <w:spacing w:after="0"/>
              <w:rPr>
                <w:rFonts w:cs="Calibri"/>
                <w:b/>
                <w:bCs/>
                <w:color w:val="000000"/>
                <w:szCs w:val="22"/>
              </w:rPr>
            </w:pPr>
          </w:p>
        </w:tc>
        <w:tc>
          <w:tcPr>
            <w:tcW w:w="960" w:type="dxa"/>
            <w:tcBorders>
              <w:top w:val="nil"/>
              <w:left w:val="nil"/>
              <w:bottom w:val="nil"/>
              <w:right w:val="nil"/>
            </w:tcBorders>
            <w:shd w:val="clear" w:color="auto" w:fill="auto"/>
            <w:noWrap/>
            <w:tcMar>
              <w:top w:w="15" w:type="dxa"/>
              <w:left w:w="15" w:type="dxa"/>
              <w:bottom w:w="0" w:type="dxa"/>
              <w:right w:w="15" w:type="dxa"/>
            </w:tcMar>
            <w:vAlign w:val="center"/>
            <w:hideMark/>
          </w:tcPr>
          <w:p w14:paraId="4F99DCF4" w14:textId="77777777" w:rsidR="00A03B5F" w:rsidRDefault="00A03B5F" w:rsidP="000117EE">
            <w:pPr>
              <w:spacing w:after="0"/>
              <w:rPr>
                <w:rFonts w:cs="Calibri"/>
                <w:color w:val="000000"/>
                <w:szCs w:val="22"/>
              </w:rPr>
            </w:pPr>
          </w:p>
        </w:tc>
      </w:tr>
      <w:tr w:rsidR="00A03B5F" w14:paraId="44F01921" w14:textId="77777777" w:rsidTr="00A03B5F">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FF99C7A" w14:textId="77777777" w:rsidR="00A03B5F" w:rsidRDefault="00A03B5F" w:rsidP="000117EE">
            <w:pPr>
              <w:spacing w:after="0"/>
              <w:rPr>
                <w:rFonts w:cs="Calibri"/>
                <w:b/>
                <w:bCs/>
                <w:color w:val="000000"/>
                <w:szCs w:val="22"/>
              </w:rPr>
            </w:pPr>
            <w:r>
              <w:rPr>
                <w:rFonts w:cs="Calibri"/>
                <w:b/>
                <w:bCs/>
                <w:color w:val="000000"/>
                <w:szCs w:val="22"/>
              </w:rPr>
              <w:t>Ai Group</w:t>
            </w:r>
            <w:r>
              <w:rPr>
                <w:rFonts w:cs="Calibri"/>
                <w:color w:val="000000"/>
                <w:szCs w:val="22"/>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F4A1CC" w14:textId="77777777" w:rsidR="00A03B5F" w:rsidRDefault="00A03B5F" w:rsidP="000117EE">
            <w:pPr>
              <w:spacing w:after="0"/>
              <w:rPr>
                <w:rFonts w:cs="Calibri"/>
                <w:color w:val="000000"/>
                <w:szCs w:val="22"/>
              </w:rPr>
            </w:pPr>
            <w:r>
              <w:rPr>
                <w:rFonts w:cs="Calibri"/>
                <w:color w:val="000000"/>
                <w:szCs w:val="22"/>
              </w:rPr>
              <w:t>Australian Industry Group</w:t>
            </w:r>
          </w:p>
        </w:tc>
      </w:tr>
      <w:tr w:rsidR="00A03B5F" w14:paraId="265DE682" w14:textId="77777777" w:rsidTr="00A03B5F">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A00D0F1" w14:textId="77777777" w:rsidR="00A03B5F" w:rsidRDefault="00A03B5F" w:rsidP="000117EE">
            <w:pPr>
              <w:spacing w:after="0"/>
              <w:rPr>
                <w:rFonts w:cs="Calibri"/>
                <w:b/>
                <w:bCs/>
                <w:color w:val="000000"/>
                <w:szCs w:val="22"/>
              </w:rPr>
            </w:pPr>
            <w:r>
              <w:rPr>
                <w:rFonts w:cs="Calibri"/>
                <w:b/>
                <w:bCs/>
                <w:color w:val="000000"/>
                <w:szCs w:val="22"/>
              </w:rPr>
              <w:t>AIIA</w:t>
            </w:r>
            <w:r>
              <w:rPr>
                <w:rFonts w:cs="Calibri"/>
                <w:color w:val="000000"/>
                <w:szCs w:val="22"/>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C5C921B" w14:textId="77777777" w:rsidR="00A03B5F" w:rsidRDefault="00A03B5F" w:rsidP="000117EE">
            <w:pPr>
              <w:spacing w:after="0"/>
              <w:rPr>
                <w:rFonts w:cs="Calibri"/>
                <w:color w:val="000000"/>
                <w:szCs w:val="22"/>
              </w:rPr>
            </w:pPr>
            <w:r>
              <w:rPr>
                <w:rFonts w:cs="Calibri"/>
                <w:color w:val="000000"/>
                <w:szCs w:val="22"/>
              </w:rPr>
              <w:t>Australian Information Industry Association</w:t>
            </w:r>
          </w:p>
        </w:tc>
      </w:tr>
      <w:tr w:rsidR="00A03B5F" w14:paraId="34B0612E" w14:textId="77777777" w:rsidTr="00A03B5F">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B60D4C0" w14:textId="77777777" w:rsidR="00A03B5F" w:rsidRDefault="00A03B5F" w:rsidP="000117EE">
            <w:pPr>
              <w:spacing w:after="0"/>
              <w:rPr>
                <w:rFonts w:cs="Calibri"/>
                <w:b/>
                <w:bCs/>
                <w:color w:val="000000"/>
                <w:szCs w:val="22"/>
              </w:rPr>
            </w:pPr>
            <w:r>
              <w:rPr>
                <w:rFonts w:cs="Calibri"/>
                <w:b/>
                <w:bCs/>
                <w:color w:val="000000"/>
                <w:szCs w:val="22"/>
              </w:rPr>
              <w:t>AREMA</w:t>
            </w:r>
            <w:r>
              <w:rPr>
                <w:rFonts w:cs="Calibri"/>
                <w:color w:val="000000"/>
                <w:szCs w:val="22"/>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CECD8C" w14:textId="77777777" w:rsidR="00A03B5F" w:rsidRDefault="00A03B5F" w:rsidP="000117EE">
            <w:pPr>
              <w:spacing w:after="0"/>
              <w:rPr>
                <w:rFonts w:cs="Calibri"/>
                <w:color w:val="000000"/>
                <w:szCs w:val="22"/>
              </w:rPr>
            </w:pPr>
            <w:r>
              <w:rPr>
                <w:rFonts w:cs="Calibri"/>
                <w:color w:val="000000"/>
                <w:szCs w:val="22"/>
              </w:rPr>
              <w:t>Air conditioning and Refrigeration Equipment Manufacturers Association of Australia</w:t>
            </w:r>
          </w:p>
        </w:tc>
      </w:tr>
      <w:tr w:rsidR="00A03B5F" w14:paraId="625D0CE3" w14:textId="77777777" w:rsidTr="00A03B5F">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D8CFC12" w14:textId="77777777" w:rsidR="00A03B5F" w:rsidRDefault="00A03B5F" w:rsidP="000117EE">
            <w:pPr>
              <w:spacing w:after="0"/>
              <w:rPr>
                <w:rFonts w:cs="Calibri"/>
                <w:b/>
                <w:bCs/>
                <w:color w:val="000000"/>
                <w:szCs w:val="22"/>
              </w:rPr>
            </w:pPr>
            <w:r>
              <w:rPr>
                <w:rFonts w:cs="Calibri"/>
                <w:b/>
                <w:bCs/>
                <w:color w:val="000000"/>
                <w:szCs w:val="22"/>
              </w:rPr>
              <w:t>BAU</w:t>
            </w:r>
            <w:r>
              <w:rPr>
                <w:rFonts w:cs="Calibri"/>
                <w:color w:val="000000"/>
                <w:szCs w:val="22"/>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4AF40FD" w14:textId="77777777" w:rsidR="00A03B5F" w:rsidRDefault="00A03B5F" w:rsidP="000117EE">
            <w:pPr>
              <w:spacing w:after="0"/>
              <w:rPr>
                <w:rFonts w:cs="Calibri"/>
                <w:color w:val="000000"/>
                <w:szCs w:val="22"/>
              </w:rPr>
            </w:pPr>
            <w:r>
              <w:rPr>
                <w:rFonts w:cs="Calibri"/>
                <w:color w:val="000000"/>
                <w:szCs w:val="22"/>
              </w:rPr>
              <w:t>Business as Usual</w:t>
            </w:r>
          </w:p>
        </w:tc>
      </w:tr>
      <w:tr w:rsidR="00A03B5F" w14:paraId="168A8717" w14:textId="77777777" w:rsidTr="00A03B5F">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6C45EA5" w14:textId="77777777" w:rsidR="00A03B5F" w:rsidRDefault="00A03B5F" w:rsidP="000117EE">
            <w:pPr>
              <w:spacing w:after="0"/>
              <w:rPr>
                <w:rFonts w:cs="Calibri"/>
                <w:b/>
                <w:bCs/>
                <w:color w:val="000000"/>
                <w:szCs w:val="22"/>
              </w:rPr>
            </w:pPr>
            <w:r>
              <w:rPr>
                <w:rFonts w:cs="Calibri"/>
                <w:b/>
                <w:bCs/>
                <w:color w:val="000000"/>
                <w:szCs w:val="22"/>
              </w:rPr>
              <w:t>CBA</w:t>
            </w:r>
            <w:r>
              <w:rPr>
                <w:rFonts w:cs="Calibri"/>
                <w:color w:val="000000"/>
                <w:szCs w:val="22"/>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66FB549" w14:textId="77777777" w:rsidR="00A03B5F" w:rsidRDefault="00A03B5F" w:rsidP="000117EE">
            <w:pPr>
              <w:spacing w:after="0"/>
              <w:rPr>
                <w:rFonts w:cs="Calibri"/>
                <w:color w:val="000000"/>
                <w:szCs w:val="22"/>
              </w:rPr>
            </w:pPr>
            <w:r>
              <w:rPr>
                <w:rFonts w:cs="Calibri"/>
                <w:color w:val="000000"/>
                <w:szCs w:val="22"/>
              </w:rPr>
              <w:t>Cost Benefit Analysis</w:t>
            </w:r>
          </w:p>
        </w:tc>
      </w:tr>
      <w:tr w:rsidR="00A03B5F" w14:paraId="7497F8D6" w14:textId="77777777" w:rsidTr="00A03B5F">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B6D4177" w14:textId="77777777" w:rsidR="00A03B5F" w:rsidRDefault="00A03B5F" w:rsidP="000117EE">
            <w:pPr>
              <w:spacing w:after="0"/>
              <w:rPr>
                <w:rFonts w:cs="Calibri"/>
                <w:b/>
                <w:bCs/>
                <w:color w:val="000000"/>
                <w:szCs w:val="22"/>
              </w:rPr>
            </w:pPr>
            <w:r>
              <w:rPr>
                <w:rFonts w:cs="Calibri"/>
                <w:b/>
                <w:bCs/>
                <w:color w:val="000000"/>
                <w:szCs w:val="22"/>
              </w:rPr>
              <w:t>CEC</w:t>
            </w:r>
            <w:r>
              <w:rPr>
                <w:rFonts w:cs="Calibri"/>
                <w:color w:val="000000"/>
                <w:szCs w:val="22"/>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9755058" w14:textId="77777777" w:rsidR="00A03B5F" w:rsidRDefault="00A03B5F" w:rsidP="000117EE">
            <w:pPr>
              <w:spacing w:after="0"/>
              <w:rPr>
                <w:rFonts w:cs="Calibri"/>
                <w:color w:val="000000"/>
                <w:szCs w:val="22"/>
              </w:rPr>
            </w:pPr>
            <w:r>
              <w:rPr>
                <w:rFonts w:cs="Calibri"/>
                <w:color w:val="000000"/>
                <w:szCs w:val="22"/>
              </w:rPr>
              <w:t>Clean Energy Council</w:t>
            </w:r>
          </w:p>
        </w:tc>
      </w:tr>
      <w:tr w:rsidR="00A03B5F" w14:paraId="3FC85B2B" w14:textId="77777777" w:rsidTr="00A03B5F">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53224C7" w14:textId="77777777" w:rsidR="00A03B5F" w:rsidRDefault="00A03B5F" w:rsidP="000117EE">
            <w:pPr>
              <w:spacing w:after="0"/>
              <w:rPr>
                <w:rFonts w:cs="Calibri"/>
                <w:b/>
                <w:bCs/>
                <w:color w:val="000000"/>
                <w:szCs w:val="22"/>
              </w:rPr>
            </w:pPr>
            <w:r>
              <w:rPr>
                <w:rFonts w:cs="Calibri"/>
                <w:b/>
                <w:bCs/>
                <w:color w:val="000000"/>
                <w:szCs w:val="22"/>
              </w:rPr>
              <w:t>CUAC</w:t>
            </w:r>
            <w:r>
              <w:rPr>
                <w:rFonts w:cs="Calibri"/>
                <w:color w:val="000000"/>
                <w:szCs w:val="22"/>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FB9A3A8" w14:textId="77777777" w:rsidR="00A03B5F" w:rsidRDefault="00A03B5F" w:rsidP="000117EE">
            <w:pPr>
              <w:spacing w:after="0"/>
              <w:rPr>
                <w:rFonts w:cs="Calibri"/>
                <w:color w:val="000000"/>
                <w:szCs w:val="22"/>
              </w:rPr>
            </w:pPr>
            <w:r>
              <w:rPr>
                <w:rFonts w:cs="Calibri"/>
                <w:color w:val="000000"/>
                <w:szCs w:val="22"/>
              </w:rPr>
              <w:t>Consumer Utilities Advocacy Centre</w:t>
            </w:r>
          </w:p>
        </w:tc>
      </w:tr>
      <w:tr w:rsidR="00A03B5F" w14:paraId="5E54FC04" w14:textId="77777777" w:rsidTr="00A03B5F">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45E5345" w14:textId="77777777" w:rsidR="00A03B5F" w:rsidRDefault="00A03B5F" w:rsidP="000117EE">
            <w:pPr>
              <w:spacing w:after="0"/>
              <w:rPr>
                <w:rFonts w:cs="Calibri"/>
                <w:b/>
                <w:bCs/>
                <w:color w:val="000000"/>
                <w:szCs w:val="22"/>
              </w:rPr>
            </w:pPr>
            <w:r>
              <w:rPr>
                <w:rFonts w:cs="Calibri"/>
                <w:b/>
                <w:bCs/>
                <w:color w:val="000000"/>
                <w:szCs w:val="22"/>
              </w:rPr>
              <w:t>E2WG</w:t>
            </w:r>
            <w:r>
              <w:rPr>
                <w:rFonts w:cs="Calibri"/>
                <w:color w:val="000000"/>
                <w:szCs w:val="22"/>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1AD3EF5" w14:textId="77777777" w:rsidR="00A03B5F" w:rsidRDefault="00A03B5F" w:rsidP="000117EE">
            <w:pPr>
              <w:spacing w:after="0"/>
              <w:rPr>
                <w:rFonts w:cs="Calibri"/>
                <w:color w:val="000000"/>
                <w:szCs w:val="22"/>
              </w:rPr>
            </w:pPr>
            <w:r>
              <w:rPr>
                <w:rFonts w:cs="Calibri"/>
                <w:color w:val="000000"/>
                <w:szCs w:val="22"/>
              </w:rPr>
              <w:t>Energy Efficiency Working Group</w:t>
            </w:r>
          </w:p>
        </w:tc>
      </w:tr>
      <w:tr w:rsidR="00A03B5F" w14:paraId="7EFF454D" w14:textId="77777777" w:rsidTr="00A03B5F">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D551C70" w14:textId="77777777" w:rsidR="00A03B5F" w:rsidRDefault="00A03B5F" w:rsidP="000117EE">
            <w:pPr>
              <w:spacing w:after="0"/>
              <w:rPr>
                <w:rFonts w:cs="Calibri"/>
                <w:b/>
                <w:bCs/>
                <w:color w:val="000000"/>
                <w:szCs w:val="22"/>
              </w:rPr>
            </w:pPr>
            <w:r>
              <w:rPr>
                <w:rFonts w:cs="Calibri"/>
                <w:b/>
                <w:bCs/>
                <w:color w:val="000000"/>
                <w:szCs w:val="22"/>
              </w:rPr>
              <w:t>EUP</w:t>
            </w:r>
            <w:r>
              <w:rPr>
                <w:rFonts w:cs="Calibri"/>
                <w:color w:val="000000"/>
                <w:szCs w:val="22"/>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530DF9C" w14:textId="77777777" w:rsidR="00A03B5F" w:rsidRDefault="00A03B5F" w:rsidP="000117EE">
            <w:pPr>
              <w:spacing w:after="0"/>
              <w:rPr>
                <w:rFonts w:cs="Calibri"/>
                <w:color w:val="000000"/>
                <w:szCs w:val="22"/>
              </w:rPr>
            </w:pPr>
            <w:r>
              <w:rPr>
                <w:rFonts w:cs="Calibri"/>
                <w:color w:val="000000"/>
                <w:szCs w:val="22"/>
              </w:rPr>
              <w:t>Energy Using Product</w:t>
            </w:r>
          </w:p>
        </w:tc>
      </w:tr>
      <w:tr w:rsidR="00A03B5F" w14:paraId="67371BFC" w14:textId="77777777" w:rsidTr="00A03B5F">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2128ED0" w14:textId="77777777" w:rsidR="00A03B5F" w:rsidRDefault="00A03B5F" w:rsidP="000117EE">
            <w:pPr>
              <w:spacing w:after="0"/>
              <w:rPr>
                <w:rFonts w:cs="Calibri"/>
                <w:b/>
                <w:bCs/>
                <w:color w:val="000000"/>
                <w:szCs w:val="22"/>
              </w:rPr>
            </w:pPr>
            <w:r>
              <w:rPr>
                <w:rFonts w:cs="Calibri"/>
                <w:b/>
                <w:bCs/>
                <w:color w:val="000000"/>
                <w:szCs w:val="22"/>
              </w:rPr>
              <w:t>GAMAA</w:t>
            </w:r>
            <w:r>
              <w:rPr>
                <w:rFonts w:cs="Calibri"/>
                <w:color w:val="000000"/>
                <w:szCs w:val="22"/>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FD9482" w14:textId="77777777" w:rsidR="00A03B5F" w:rsidRDefault="00A03B5F" w:rsidP="000117EE">
            <w:pPr>
              <w:spacing w:after="0"/>
              <w:rPr>
                <w:rFonts w:cs="Calibri"/>
                <w:color w:val="000000"/>
                <w:szCs w:val="22"/>
              </w:rPr>
            </w:pPr>
            <w:r>
              <w:rPr>
                <w:rFonts w:cs="Calibri"/>
                <w:color w:val="000000"/>
                <w:szCs w:val="22"/>
              </w:rPr>
              <w:t>Gas Appliance Manufacturers Association of Australia</w:t>
            </w:r>
          </w:p>
        </w:tc>
      </w:tr>
      <w:tr w:rsidR="00A03B5F" w14:paraId="5B7938D7" w14:textId="77777777" w:rsidTr="00A03B5F">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8398DCE" w14:textId="77777777" w:rsidR="00A03B5F" w:rsidRDefault="00A03B5F" w:rsidP="000117EE">
            <w:pPr>
              <w:spacing w:after="0"/>
              <w:rPr>
                <w:rFonts w:cs="Calibri"/>
                <w:b/>
                <w:bCs/>
                <w:color w:val="000000"/>
                <w:szCs w:val="22"/>
              </w:rPr>
            </w:pPr>
            <w:r>
              <w:rPr>
                <w:rFonts w:cs="Calibri"/>
                <w:b/>
                <w:bCs/>
                <w:color w:val="000000"/>
                <w:szCs w:val="22"/>
                <w:lang w:eastAsia="x-none"/>
              </w:rPr>
              <w:t>HEPS</w:t>
            </w:r>
            <w:r>
              <w:rPr>
                <w:rFonts w:cs="Calibri"/>
                <w:color w:val="000000"/>
                <w:szCs w:val="22"/>
                <w:lang w:eastAsia="x-none"/>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301E9F5" w14:textId="77777777" w:rsidR="00A03B5F" w:rsidRDefault="00A03B5F" w:rsidP="000117EE">
            <w:pPr>
              <w:spacing w:after="0"/>
              <w:rPr>
                <w:rFonts w:cs="Calibri"/>
                <w:color w:val="000000"/>
                <w:szCs w:val="22"/>
              </w:rPr>
            </w:pPr>
            <w:r>
              <w:rPr>
                <w:rFonts w:cs="Calibri"/>
                <w:color w:val="000000"/>
                <w:szCs w:val="22"/>
              </w:rPr>
              <w:t>High Energy Performance Standards</w:t>
            </w:r>
          </w:p>
        </w:tc>
      </w:tr>
      <w:tr w:rsidR="00A03B5F" w14:paraId="569090EE" w14:textId="77777777" w:rsidTr="00A03B5F">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4866BF7" w14:textId="77777777" w:rsidR="00A03B5F" w:rsidRPr="00DF7158" w:rsidRDefault="00A03B5F" w:rsidP="000117EE">
            <w:pPr>
              <w:spacing w:after="0"/>
              <w:rPr>
                <w:rFonts w:cs="Calibri"/>
                <w:b/>
                <w:color w:val="000000"/>
                <w:szCs w:val="22"/>
              </w:rPr>
            </w:pPr>
            <w:r w:rsidRPr="00DF7158">
              <w:rPr>
                <w:rFonts w:cs="Calibri"/>
                <w:b/>
                <w:color w:val="000000"/>
                <w:szCs w:val="22"/>
              </w:rPr>
              <w:t>IGA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3E8D718" w14:textId="77777777" w:rsidR="00A03B5F" w:rsidRDefault="00A03B5F" w:rsidP="000117EE">
            <w:pPr>
              <w:spacing w:after="0"/>
              <w:rPr>
                <w:rFonts w:cs="Calibri"/>
                <w:color w:val="000000"/>
                <w:szCs w:val="22"/>
              </w:rPr>
            </w:pPr>
            <w:r>
              <w:rPr>
                <w:rFonts w:cs="Calibri"/>
                <w:color w:val="000000"/>
                <w:szCs w:val="22"/>
              </w:rPr>
              <w:t>Inter</w:t>
            </w:r>
            <w:r w:rsidR="00E55ECD">
              <w:rPr>
                <w:rFonts w:cs="Calibri"/>
                <w:color w:val="000000"/>
                <w:szCs w:val="22"/>
              </w:rPr>
              <w:t>-G</w:t>
            </w:r>
            <w:r>
              <w:rPr>
                <w:rFonts w:cs="Calibri"/>
                <w:color w:val="000000"/>
                <w:szCs w:val="22"/>
              </w:rPr>
              <w:t>overnmental Agreement</w:t>
            </w:r>
          </w:p>
        </w:tc>
      </w:tr>
      <w:tr w:rsidR="00A03B5F" w14:paraId="6ADED085" w14:textId="77777777" w:rsidTr="00A03B5F">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314D2CE" w14:textId="77777777" w:rsidR="00A03B5F" w:rsidRDefault="00A03B5F" w:rsidP="000117EE">
            <w:pPr>
              <w:spacing w:after="0"/>
              <w:rPr>
                <w:rFonts w:cs="Calibri"/>
                <w:b/>
                <w:bCs/>
                <w:color w:val="000000"/>
                <w:szCs w:val="22"/>
              </w:rPr>
            </w:pPr>
            <w:r>
              <w:rPr>
                <w:rFonts w:cs="Calibri"/>
                <w:b/>
                <w:bCs/>
                <w:color w:val="000000"/>
                <w:szCs w:val="22"/>
              </w:rPr>
              <w:t>LCA</w:t>
            </w:r>
            <w:r>
              <w:rPr>
                <w:rFonts w:cs="Calibri"/>
                <w:color w:val="000000"/>
                <w:szCs w:val="22"/>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0E7E23B" w14:textId="77777777" w:rsidR="00A03B5F" w:rsidRDefault="00A03B5F" w:rsidP="000117EE">
            <w:pPr>
              <w:spacing w:after="0"/>
              <w:rPr>
                <w:rFonts w:cs="Calibri"/>
                <w:color w:val="000000"/>
                <w:szCs w:val="22"/>
              </w:rPr>
            </w:pPr>
            <w:r>
              <w:rPr>
                <w:rFonts w:cs="Calibri"/>
                <w:color w:val="000000"/>
                <w:szCs w:val="22"/>
              </w:rPr>
              <w:t>Lighting Council Australia</w:t>
            </w:r>
          </w:p>
        </w:tc>
      </w:tr>
      <w:tr w:rsidR="00A03B5F" w14:paraId="7359AE77" w14:textId="77777777" w:rsidTr="00A03B5F">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0F25C0E" w14:textId="77777777" w:rsidR="00A03B5F" w:rsidRDefault="00A03B5F" w:rsidP="000117EE">
            <w:pPr>
              <w:spacing w:after="0"/>
              <w:rPr>
                <w:rFonts w:cs="Calibri"/>
                <w:b/>
                <w:bCs/>
                <w:color w:val="000000"/>
                <w:szCs w:val="22"/>
              </w:rPr>
            </w:pPr>
            <w:r>
              <w:rPr>
                <w:rFonts w:cs="Calibri"/>
                <w:b/>
                <w:bCs/>
                <w:color w:val="000000"/>
                <w:szCs w:val="22"/>
              </w:rPr>
              <w:t>MCE</w:t>
            </w:r>
            <w:r>
              <w:rPr>
                <w:rFonts w:cs="Calibri"/>
                <w:color w:val="000000"/>
                <w:szCs w:val="22"/>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CC2418D" w14:textId="77777777" w:rsidR="00A03B5F" w:rsidRDefault="00A03B5F" w:rsidP="000117EE">
            <w:pPr>
              <w:spacing w:after="0"/>
              <w:rPr>
                <w:rFonts w:cs="Calibri"/>
                <w:color w:val="000000"/>
                <w:szCs w:val="22"/>
              </w:rPr>
            </w:pPr>
            <w:r>
              <w:rPr>
                <w:rFonts w:cs="Calibri"/>
                <w:color w:val="000000"/>
                <w:szCs w:val="22"/>
              </w:rPr>
              <w:t>Ministerial Council on Energy</w:t>
            </w:r>
          </w:p>
        </w:tc>
      </w:tr>
      <w:tr w:rsidR="00A03B5F" w14:paraId="5B69F392" w14:textId="77777777" w:rsidTr="00A03B5F">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286F45B" w14:textId="77777777" w:rsidR="00A03B5F" w:rsidRPr="00DF7158" w:rsidRDefault="00A03B5F" w:rsidP="000117EE">
            <w:pPr>
              <w:spacing w:after="0"/>
              <w:rPr>
                <w:rFonts w:cs="Calibri"/>
                <w:b/>
                <w:color w:val="000000"/>
                <w:szCs w:val="22"/>
              </w:rPr>
            </w:pPr>
            <w:r w:rsidRPr="00DF7158">
              <w:rPr>
                <w:rFonts w:cs="Calibri"/>
                <w:b/>
                <w:color w:val="000000"/>
                <w:szCs w:val="22"/>
              </w:rPr>
              <w:t>NPA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E591AE8" w14:textId="77777777" w:rsidR="00A03B5F" w:rsidRDefault="00A03B5F" w:rsidP="000117EE">
            <w:pPr>
              <w:spacing w:after="0"/>
              <w:rPr>
                <w:rFonts w:cs="Calibri"/>
                <w:color w:val="000000"/>
                <w:szCs w:val="22"/>
              </w:rPr>
            </w:pPr>
            <w:r>
              <w:rPr>
                <w:rFonts w:cs="Calibri"/>
                <w:color w:val="000000"/>
                <w:szCs w:val="22"/>
              </w:rPr>
              <w:t>National Partnership Agreement</w:t>
            </w:r>
          </w:p>
        </w:tc>
      </w:tr>
      <w:tr w:rsidR="00A03B5F" w14:paraId="50D166F3" w14:textId="77777777" w:rsidTr="00A03B5F">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AB21836" w14:textId="77777777" w:rsidR="00A03B5F" w:rsidRDefault="00A03B5F" w:rsidP="000117EE">
            <w:pPr>
              <w:spacing w:after="0"/>
              <w:rPr>
                <w:rFonts w:cs="Calibri"/>
                <w:b/>
                <w:bCs/>
                <w:color w:val="000000"/>
                <w:szCs w:val="22"/>
              </w:rPr>
            </w:pPr>
            <w:r>
              <w:rPr>
                <w:rFonts w:cs="Calibri"/>
                <w:b/>
                <w:bCs/>
                <w:color w:val="000000"/>
                <w:szCs w:val="22"/>
              </w:rPr>
              <w:t>OPBR</w:t>
            </w:r>
            <w:r>
              <w:rPr>
                <w:rFonts w:cs="Calibri"/>
                <w:color w:val="000000"/>
                <w:szCs w:val="22"/>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D577FDE" w14:textId="77777777" w:rsidR="00A03B5F" w:rsidRDefault="00A03B5F" w:rsidP="000117EE">
            <w:pPr>
              <w:spacing w:after="0"/>
              <w:rPr>
                <w:rFonts w:cs="Calibri"/>
                <w:color w:val="000000"/>
                <w:szCs w:val="22"/>
              </w:rPr>
            </w:pPr>
            <w:r>
              <w:rPr>
                <w:rFonts w:cs="Calibri"/>
                <w:color w:val="000000"/>
                <w:szCs w:val="22"/>
              </w:rPr>
              <w:t>Office of Best Practice Regulation</w:t>
            </w:r>
          </w:p>
        </w:tc>
      </w:tr>
      <w:tr w:rsidR="00A03B5F" w14:paraId="1AC73A51" w14:textId="77777777" w:rsidTr="00A03B5F">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C67697F" w14:textId="77777777" w:rsidR="00A03B5F" w:rsidRDefault="00A03B5F" w:rsidP="000117EE">
            <w:pPr>
              <w:spacing w:after="0"/>
              <w:rPr>
                <w:rFonts w:cs="Calibri"/>
                <w:b/>
                <w:bCs/>
                <w:color w:val="000000"/>
                <w:szCs w:val="22"/>
              </w:rPr>
            </w:pPr>
            <w:r>
              <w:rPr>
                <w:rFonts w:cs="Calibri"/>
                <w:b/>
                <w:bCs/>
                <w:color w:val="000000"/>
                <w:szCs w:val="22"/>
              </w:rPr>
              <w:t>RIA</w:t>
            </w:r>
            <w:r>
              <w:rPr>
                <w:rFonts w:cs="Calibri"/>
                <w:color w:val="000000"/>
                <w:szCs w:val="22"/>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646F238" w14:textId="77777777" w:rsidR="00A03B5F" w:rsidRDefault="00A03B5F" w:rsidP="000117EE">
            <w:pPr>
              <w:spacing w:after="0"/>
              <w:rPr>
                <w:rFonts w:cs="Calibri"/>
                <w:color w:val="000000"/>
                <w:szCs w:val="22"/>
              </w:rPr>
            </w:pPr>
            <w:r>
              <w:rPr>
                <w:rFonts w:cs="Calibri"/>
                <w:color w:val="000000"/>
                <w:szCs w:val="22"/>
              </w:rPr>
              <w:t>Regulation Impact Assessment</w:t>
            </w:r>
          </w:p>
        </w:tc>
      </w:tr>
      <w:tr w:rsidR="00A03B5F" w14:paraId="529CF77A" w14:textId="77777777" w:rsidTr="00A03B5F">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8150586" w14:textId="77777777" w:rsidR="00A03B5F" w:rsidRDefault="00A03B5F" w:rsidP="000117EE">
            <w:pPr>
              <w:spacing w:after="0"/>
              <w:rPr>
                <w:rFonts w:cs="Calibri"/>
                <w:b/>
                <w:bCs/>
                <w:color w:val="000000"/>
                <w:szCs w:val="22"/>
              </w:rPr>
            </w:pPr>
            <w:r>
              <w:rPr>
                <w:rFonts w:cs="Calibri"/>
                <w:b/>
                <w:bCs/>
                <w:color w:val="000000"/>
                <w:szCs w:val="22"/>
              </w:rPr>
              <w:t>RIAT</w:t>
            </w:r>
            <w:r>
              <w:rPr>
                <w:rFonts w:cs="Calibri"/>
                <w:color w:val="000000"/>
                <w:szCs w:val="22"/>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981C631" w14:textId="77777777" w:rsidR="00A03B5F" w:rsidRDefault="00A03B5F" w:rsidP="000117EE">
            <w:pPr>
              <w:spacing w:after="0"/>
              <w:rPr>
                <w:rFonts w:cs="Calibri"/>
                <w:color w:val="000000"/>
                <w:szCs w:val="22"/>
              </w:rPr>
            </w:pPr>
            <w:r>
              <w:rPr>
                <w:rFonts w:cs="Calibri"/>
                <w:color w:val="000000"/>
                <w:szCs w:val="22"/>
              </w:rPr>
              <w:t>Regulatory Impact Assessment Team</w:t>
            </w:r>
          </w:p>
        </w:tc>
      </w:tr>
      <w:tr w:rsidR="00A03B5F" w14:paraId="105B0D33" w14:textId="77777777" w:rsidTr="00A03B5F">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ACEED91" w14:textId="77777777" w:rsidR="00A03B5F" w:rsidRDefault="00A03B5F" w:rsidP="000117EE">
            <w:pPr>
              <w:spacing w:after="0"/>
              <w:rPr>
                <w:rFonts w:cs="Calibri"/>
                <w:b/>
                <w:bCs/>
                <w:color w:val="000000"/>
                <w:szCs w:val="22"/>
              </w:rPr>
            </w:pPr>
            <w:r>
              <w:rPr>
                <w:rFonts w:cs="Calibri"/>
                <w:b/>
                <w:bCs/>
                <w:color w:val="000000"/>
                <w:szCs w:val="22"/>
              </w:rPr>
              <w:t>RIS</w:t>
            </w:r>
            <w:r>
              <w:rPr>
                <w:rFonts w:cs="Calibri"/>
                <w:color w:val="000000"/>
                <w:szCs w:val="22"/>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F7CC33F" w14:textId="77777777" w:rsidR="00A03B5F" w:rsidRDefault="00A03B5F" w:rsidP="000117EE">
            <w:pPr>
              <w:spacing w:after="0"/>
              <w:rPr>
                <w:rFonts w:cs="Calibri"/>
                <w:color w:val="000000"/>
                <w:szCs w:val="22"/>
              </w:rPr>
            </w:pPr>
            <w:r>
              <w:rPr>
                <w:rFonts w:cs="Calibri"/>
                <w:color w:val="000000"/>
                <w:szCs w:val="22"/>
              </w:rPr>
              <w:t>Regulation Impact Statement</w:t>
            </w:r>
          </w:p>
        </w:tc>
      </w:tr>
      <w:tr w:rsidR="00A03B5F" w14:paraId="56EE5CAD" w14:textId="77777777" w:rsidTr="00A03B5F">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01611AE" w14:textId="77777777" w:rsidR="00A03B5F" w:rsidRDefault="00A03B5F" w:rsidP="000117EE">
            <w:pPr>
              <w:spacing w:after="0"/>
              <w:rPr>
                <w:rFonts w:cs="Calibri"/>
                <w:b/>
                <w:bCs/>
                <w:color w:val="000000"/>
                <w:szCs w:val="22"/>
              </w:rPr>
            </w:pPr>
            <w:r>
              <w:rPr>
                <w:rFonts w:cs="Calibri"/>
                <w:b/>
                <w:bCs/>
                <w:color w:val="000000"/>
                <w:szCs w:val="22"/>
                <w:lang w:eastAsia="x-none"/>
              </w:rPr>
              <w:t>S&amp;L</w:t>
            </w:r>
            <w:r>
              <w:rPr>
                <w:rFonts w:cs="Calibri"/>
                <w:color w:val="000000"/>
                <w:szCs w:val="22"/>
                <w:lang w:eastAsia="x-none"/>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9B103DF" w14:textId="77777777" w:rsidR="00A03B5F" w:rsidRDefault="00A03B5F" w:rsidP="000117EE">
            <w:pPr>
              <w:spacing w:after="0"/>
              <w:rPr>
                <w:rFonts w:cs="Calibri"/>
                <w:color w:val="000000"/>
                <w:szCs w:val="22"/>
              </w:rPr>
            </w:pPr>
            <w:r>
              <w:rPr>
                <w:rFonts w:cs="Calibri"/>
                <w:color w:val="000000"/>
                <w:szCs w:val="22"/>
              </w:rPr>
              <w:t>Standards and Labelling</w:t>
            </w:r>
          </w:p>
        </w:tc>
      </w:tr>
      <w:tr w:rsidR="00A03B5F" w14:paraId="518CC916" w14:textId="77777777" w:rsidTr="00A03B5F">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1662A73" w14:textId="77777777" w:rsidR="00A03B5F" w:rsidRDefault="00A03B5F" w:rsidP="000117EE">
            <w:pPr>
              <w:spacing w:after="0"/>
              <w:rPr>
                <w:rFonts w:cs="Calibri"/>
                <w:b/>
                <w:bCs/>
                <w:color w:val="000000"/>
                <w:szCs w:val="22"/>
              </w:rPr>
            </w:pPr>
            <w:r>
              <w:rPr>
                <w:rFonts w:cs="Calibri"/>
                <w:b/>
                <w:bCs/>
                <w:color w:val="000000"/>
                <w:szCs w:val="22"/>
              </w:rPr>
              <w:t>SCO</w:t>
            </w:r>
            <w:r>
              <w:rPr>
                <w:rFonts w:cs="Calibri"/>
                <w:color w:val="000000"/>
                <w:szCs w:val="22"/>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77729D7" w14:textId="77777777" w:rsidR="00A03B5F" w:rsidRDefault="00A82223" w:rsidP="000117EE">
            <w:pPr>
              <w:spacing w:after="0"/>
              <w:rPr>
                <w:rFonts w:cs="Calibri"/>
                <w:color w:val="000000"/>
                <w:szCs w:val="22"/>
              </w:rPr>
            </w:pPr>
            <w:r>
              <w:rPr>
                <w:rFonts w:cs="Calibri"/>
                <w:color w:val="000000"/>
                <w:szCs w:val="22"/>
              </w:rPr>
              <w:t xml:space="preserve">Senior </w:t>
            </w:r>
            <w:r w:rsidR="00A03B5F">
              <w:rPr>
                <w:rFonts w:cs="Calibri"/>
                <w:color w:val="000000"/>
                <w:szCs w:val="22"/>
              </w:rPr>
              <w:t>Committee of Officials</w:t>
            </w:r>
          </w:p>
        </w:tc>
      </w:tr>
      <w:tr w:rsidR="00A03B5F" w14:paraId="0DE1623D" w14:textId="77777777" w:rsidTr="00A03B5F">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10B42BC" w14:textId="77777777" w:rsidR="00A03B5F" w:rsidRDefault="00A03B5F" w:rsidP="000117EE">
            <w:pPr>
              <w:spacing w:after="0"/>
              <w:rPr>
                <w:rFonts w:cs="Calibri"/>
                <w:b/>
                <w:bCs/>
                <w:color w:val="000000"/>
                <w:szCs w:val="22"/>
              </w:rPr>
            </w:pPr>
            <w:r>
              <w:rPr>
                <w:rFonts w:cs="Calibri"/>
                <w:b/>
                <w:bCs/>
                <w:color w:val="000000"/>
                <w:szCs w:val="22"/>
              </w:rPr>
              <w:t>TasCOSS</w:t>
            </w:r>
            <w:r>
              <w:rPr>
                <w:rFonts w:cs="Calibri"/>
                <w:color w:val="000000"/>
                <w:szCs w:val="22"/>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0BF5CC" w14:textId="77777777" w:rsidR="00A03B5F" w:rsidRDefault="00A03B5F" w:rsidP="000117EE">
            <w:pPr>
              <w:spacing w:after="0"/>
              <w:rPr>
                <w:rFonts w:cs="Calibri"/>
                <w:color w:val="000000"/>
                <w:szCs w:val="22"/>
              </w:rPr>
            </w:pPr>
            <w:r>
              <w:rPr>
                <w:rFonts w:cs="Calibri"/>
                <w:color w:val="000000"/>
                <w:szCs w:val="22"/>
              </w:rPr>
              <w:t>Tasmanian Council of Social Service</w:t>
            </w:r>
          </w:p>
        </w:tc>
      </w:tr>
      <w:tr w:rsidR="00A03B5F" w14:paraId="115A675B" w14:textId="77777777" w:rsidTr="00A03B5F">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A826A72" w14:textId="77777777" w:rsidR="00A03B5F" w:rsidRDefault="00A03B5F" w:rsidP="000117EE">
            <w:pPr>
              <w:spacing w:after="0"/>
              <w:rPr>
                <w:rFonts w:cs="Calibri"/>
                <w:b/>
                <w:bCs/>
                <w:color w:val="000000"/>
                <w:szCs w:val="22"/>
              </w:rPr>
            </w:pPr>
            <w:r>
              <w:rPr>
                <w:rFonts w:cs="Calibri"/>
                <w:b/>
                <w:bCs/>
                <w:color w:val="000000"/>
                <w:szCs w:val="22"/>
                <w:lang w:eastAsia="x-none"/>
              </w:rPr>
              <w:t>TTMRA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3A584E" w14:textId="77777777" w:rsidR="00A03B5F" w:rsidRDefault="00A03B5F" w:rsidP="000117EE">
            <w:pPr>
              <w:spacing w:after="0"/>
              <w:rPr>
                <w:rFonts w:cs="Calibri"/>
                <w:color w:val="000000"/>
                <w:szCs w:val="22"/>
              </w:rPr>
            </w:pPr>
            <w:r>
              <w:rPr>
                <w:rFonts w:cs="Calibri"/>
                <w:color w:val="000000"/>
                <w:szCs w:val="22"/>
              </w:rPr>
              <w:t xml:space="preserve"> Trans-Tasman Mutual Recognition Act</w:t>
            </w:r>
          </w:p>
        </w:tc>
      </w:tr>
      <w:tr w:rsidR="00A03B5F" w14:paraId="2D03C5E4" w14:textId="77777777" w:rsidTr="00A03B5F">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43BB851" w14:textId="77777777" w:rsidR="00A03B5F" w:rsidRDefault="00A03B5F" w:rsidP="000117EE">
            <w:pPr>
              <w:spacing w:after="0"/>
              <w:rPr>
                <w:rFonts w:cs="Calibri"/>
                <w:b/>
                <w:bCs/>
                <w:color w:val="000000"/>
                <w:szCs w:val="22"/>
              </w:rPr>
            </w:pPr>
            <w:r>
              <w:rPr>
                <w:rFonts w:cs="Calibri"/>
                <w:b/>
                <w:bCs/>
                <w:color w:val="000000"/>
                <w:szCs w:val="22"/>
              </w:rPr>
              <w:t>VCOSS</w:t>
            </w:r>
            <w:r>
              <w:rPr>
                <w:rFonts w:cs="Calibri"/>
                <w:color w:val="000000"/>
                <w:szCs w:val="22"/>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21AE65A" w14:textId="77777777" w:rsidR="00A03B5F" w:rsidRDefault="00A03B5F" w:rsidP="000117EE">
            <w:pPr>
              <w:spacing w:after="0"/>
              <w:rPr>
                <w:rFonts w:cs="Calibri"/>
                <w:color w:val="000000"/>
                <w:szCs w:val="22"/>
              </w:rPr>
            </w:pPr>
            <w:r>
              <w:rPr>
                <w:rFonts w:cs="Calibri"/>
                <w:color w:val="000000"/>
                <w:szCs w:val="22"/>
              </w:rPr>
              <w:t>Victorian Council of Social Service</w:t>
            </w:r>
          </w:p>
        </w:tc>
      </w:tr>
      <w:tr w:rsidR="00A03B5F" w14:paraId="45CA9758" w14:textId="77777777" w:rsidTr="00A03B5F">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4CB8257" w14:textId="77777777" w:rsidR="00A03B5F" w:rsidRDefault="00A03B5F" w:rsidP="000117EE">
            <w:pPr>
              <w:spacing w:after="0"/>
              <w:rPr>
                <w:rFonts w:cs="Calibri"/>
                <w:b/>
                <w:bCs/>
                <w:color w:val="000000"/>
                <w:szCs w:val="22"/>
              </w:rPr>
            </w:pPr>
            <w:r>
              <w:rPr>
                <w:rFonts w:cs="Calibri"/>
                <w:b/>
                <w:bCs/>
                <w:color w:val="000000"/>
                <w:szCs w:val="22"/>
                <w:lang w:eastAsia="x-none"/>
              </w:rPr>
              <w:t>WELS</w:t>
            </w:r>
            <w:r>
              <w:rPr>
                <w:rFonts w:cs="Calibri"/>
                <w:color w:val="000000"/>
                <w:szCs w:val="22"/>
                <w:lang w:eastAsia="x-none"/>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E53F42A" w14:textId="77777777" w:rsidR="00A03B5F" w:rsidRDefault="00A03B5F" w:rsidP="000117EE">
            <w:pPr>
              <w:spacing w:after="0"/>
              <w:rPr>
                <w:rFonts w:cs="Calibri"/>
                <w:color w:val="000000"/>
                <w:szCs w:val="22"/>
              </w:rPr>
            </w:pPr>
            <w:r>
              <w:rPr>
                <w:rFonts w:cs="Calibri"/>
                <w:color w:val="000000"/>
                <w:szCs w:val="22"/>
              </w:rPr>
              <w:t>Water Efficiency Labelling and Standards Scheme</w:t>
            </w:r>
          </w:p>
        </w:tc>
      </w:tr>
      <w:tr w:rsidR="00A03B5F" w14:paraId="7DE9AA73" w14:textId="77777777" w:rsidTr="00A03B5F">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81CEBA1" w14:textId="77777777" w:rsidR="00A03B5F" w:rsidRDefault="00A03B5F" w:rsidP="000117EE">
            <w:pPr>
              <w:spacing w:after="0"/>
              <w:rPr>
                <w:rFonts w:cs="Calibri"/>
                <w:b/>
                <w:bCs/>
                <w:color w:val="000000"/>
                <w:szCs w:val="22"/>
              </w:rPr>
            </w:pPr>
            <w:r>
              <w:rPr>
                <w:rFonts w:cs="Calibri"/>
                <w:b/>
                <w:bCs/>
                <w:color w:val="000000"/>
                <w:szCs w:val="22"/>
              </w:rPr>
              <w:t>WTO</w:t>
            </w:r>
            <w:r>
              <w:rPr>
                <w:rFonts w:cs="Calibri"/>
                <w:color w:val="000000"/>
                <w:szCs w:val="22"/>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8883F1A" w14:textId="77777777" w:rsidR="00A03B5F" w:rsidRDefault="00A03B5F" w:rsidP="000117EE">
            <w:pPr>
              <w:spacing w:after="0"/>
              <w:rPr>
                <w:rFonts w:cs="Calibri"/>
                <w:color w:val="000000"/>
                <w:szCs w:val="22"/>
              </w:rPr>
            </w:pPr>
            <w:r>
              <w:rPr>
                <w:rFonts w:cs="Calibri"/>
                <w:color w:val="000000"/>
                <w:szCs w:val="22"/>
              </w:rPr>
              <w:t>World Trade Organisation</w:t>
            </w:r>
          </w:p>
        </w:tc>
      </w:tr>
    </w:tbl>
    <w:p w14:paraId="083CEE19" w14:textId="77777777" w:rsidR="00997283" w:rsidRDefault="00997283" w:rsidP="00997283"/>
    <w:p w14:paraId="2486F359" w14:textId="77777777" w:rsidR="005D483B" w:rsidRDefault="00997283" w:rsidP="00997283">
      <w:pPr>
        <w:pStyle w:val="Heading1"/>
      </w:pPr>
      <w:r>
        <w:br w:type="page"/>
      </w:r>
      <w:r w:rsidR="00A03B5F" w:rsidRPr="00FC302F" w:rsidDel="00A03B5F">
        <w:lastRenderedPageBreak/>
        <w:t xml:space="preserve"> </w:t>
      </w:r>
      <w:bookmarkStart w:id="3" w:name="_Toc422298353"/>
      <w:bookmarkStart w:id="4" w:name="_Ref409090203"/>
      <w:r w:rsidR="005D483B">
        <w:t>Executive Summary</w:t>
      </w:r>
      <w:bookmarkEnd w:id="3"/>
    </w:p>
    <w:p w14:paraId="683274FF" w14:textId="77777777" w:rsidR="005D483B" w:rsidRDefault="005D483B" w:rsidP="005D483B">
      <w:pPr>
        <w:pStyle w:val="Heading2"/>
      </w:pPr>
      <w:bookmarkStart w:id="5" w:name="_Toc422298354"/>
      <w:r>
        <w:t>Introduction</w:t>
      </w:r>
      <w:bookmarkEnd w:id="5"/>
    </w:p>
    <w:p w14:paraId="72BF4867" w14:textId="77777777" w:rsidR="007D55B8" w:rsidRPr="007D55B8" w:rsidRDefault="007D55B8" w:rsidP="007D55B8">
      <w:pPr>
        <w:rPr>
          <w:rFonts w:eastAsia="Calibri"/>
          <w:szCs w:val="22"/>
          <w:lang w:val="en-AU" w:eastAsia="en-US"/>
        </w:rPr>
      </w:pPr>
      <w:r w:rsidRPr="007D55B8">
        <w:rPr>
          <w:rFonts w:eastAsia="Calibri"/>
          <w:szCs w:val="22"/>
          <w:lang w:val="en-AU" w:eastAsia="en-US"/>
        </w:rPr>
        <w:t>The Department of Industry and Science, on behalf of the Equipment Energy Efficiency (E3) Program Committee, commissioned Databuild Research and Solutions to undertake an independent review of the Inter-Governmental Agreement (IGA) for the Greenhouse and Energy Minimum Standards (GEMS) legislative scheme</w:t>
      </w:r>
      <w:r w:rsidR="008E0AAE">
        <w:rPr>
          <w:rFonts w:eastAsia="Calibri"/>
          <w:szCs w:val="22"/>
          <w:lang w:val="en-AU" w:eastAsia="en-US"/>
        </w:rPr>
        <w:t xml:space="preserve"> and the GEMS Act</w:t>
      </w:r>
      <w:r w:rsidRPr="007D55B8">
        <w:rPr>
          <w:rFonts w:eastAsia="Calibri"/>
          <w:szCs w:val="22"/>
          <w:lang w:val="en-AU" w:eastAsia="en-US"/>
        </w:rPr>
        <w:t>, which gives effect to the E3 Program.</w:t>
      </w:r>
    </w:p>
    <w:p w14:paraId="2F499B98" w14:textId="77777777" w:rsidR="007D55B8" w:rsidRPr="007D55B8" w:rsidRDefault="007D55B8" w:rsidP="007D55B8">
      <w:pPr>
        <w:rPr>
          <w:rFonts w:eastAsia="Calibri"/>
          <w:szCs w:val="22"/>
          <w:lang w:val="en-AU" w:eastAsia="en-US"/>
        </w:rPr>
      </w:pPr>
      <w:r w:rsidRPr="007D55B8">
        <w:rPr>
          <w:rFonts w:eastAsia="Calibri"/>
          <w:szCs w:val="22"/>
          <w:lang w:val="en-AU" w:eastAsia="en-US"/>
        </w:rPr>
        <w:t xml:space="preserve">The E3 program is a cross jurisdictional program through which the Australian Government, states and territories and the New Zealand Government collaborate to deliver a single, integrated energy efficiency standards and energy labelling program for equipment and appliances. </w:t>
      </w:r>
      <w:r w:rsidR="00A82223">
        <w:rPr>
          <w:rFonts w:eastAsia="Calibri"/>
          <w:szCs w:val="22"/>
          <w:lang w:val="en-AU" w:eastAsia="en-US"/>
        </w:rPr>
        <w:t xml:space="preserve"> </w:t>
      </w:r>
      <w:r w:rsidRPr="007D55B8">
        <w:rPr>
          <w:rFonts w:eastAsia="Calibri"/>
          <w:szCs w:val="22"/>
          <w:lang w:val="en-AU" w:eastAsia="en-US"/>
        </w:rPr>
        <w:t>It is one of the suite of programs implemented by COAG’s Energy Council.</w:t>
      </w:r>
    </w:p>
    <w:p w14:paraId="35E2D995" w14:textId="77777777" w:rsidR="00370E6D" w:rsidRDefault="00370E6D" w:rsidP="00370E6D">
      <w:pPr>
        <w:rPr>
          <w:color w:val="1F497D"/>
        </w:rPr>
      </w:pPr>
      <w:r>
        <w:t xml:space="preserve">The program </w:t>
      </w:r>
      <w:r w:rsidR="00A25B7E">
        <w:t xml:space="preserve">aligns with national energy efficiency policies, being an identified action under </w:t>
      </w:r>
      <w:r>
        <w:t xml:space="preserve">COAG’s National Strategy on Energy Efficiency, and is a key deliverable under the theme - Reducing impediments to the uptake of energy efficiency. The National Partnership </w:t>
      </w:r>
      <w:r w:rsidR="00E165E5">
        <w:t xml:space="preserve">Agreement </w:t>
      </w:r>
      <w:r>
        <w:t>on Energy Efficiency is the enabling instrument that gives effect to the National Strategy and remains in force until 30 June 2020, or until it is expired and replaced by an alternative agreement</w:t>
      </w:r>
      <w:r>
        <w:rPr>
          <w:color w:val="1F497D"/>
        </w:rPr>
        <w:t xml:space="preserve">. </w:t>
      </w:r>
    </w:p>
    <w:p w14:paraId="5AC1E7EB" w14:textId="77777777" w:rsidR="00370E6D" w:rsidRDefault="00370E6D" w:rsidP="00370E6D">
      <w:pPr>
        <w:rPr>
          <w:color w:val="1F497D"/>
        </w:rPr>
      </w:pPr>
      <w:r>
        <w:t>The Energy White Paper, released April 2015, identifies that the Australian Government will work through the COAG Energy Council to develop a national energy productivity policy framework to deliver the collaborative actions in a National Energy Productivity Plan. The White Paper also identifies that continuous improvement in labelling and minimum energy performance standards (MEPS) under GEMS will continue. Opportunities for continuous improvement in MEPS and Labelling - under GEMS - are expected to be included in the National Energy Productivity Plan.</w:t>
      </w:r>
    </w:p>
    <w:p w14:paraId="5BEB0473" w14:textId="77777777" w:rsidR="00E165E5" w:rsidRPr="00E165E5" w:rsidRDefault="00370E6D" w:rsidP="00E165E5">
      <w:r>
        <w:t xml:space="preserve">Individual state and territory programs also provide policy and program context for delivering E3 program outcomes. </w:t>
      </w:r>
      <w:r w:rsidR="00E165E5">
        <w:t xml:space="preserve">For example, </w:t>
      </w:r>
      <w:r w:rsidR="00E165E5" w:rsidRPr="00E165E5">
        <w:t xml:space="preserve">the program contributes to meeting targets of </w:t>
      </w:r>
      <w:hyperlink r:id="rId11" w:history="1">
        <w:r w:rsidR="00E165E5" w:rsidRPr="00E165E5">
          <w:rPr>
            <w:rStyle w:val="Hyperlink"/>
            <w:color w:val="auto"/>
            <w:u w:val="none"/>
          </w:rPr>
          <w:t>South Australia’s Strategic Plan</w:t>
        </w:r>
      </w:hyperlink>
      <w:r w:rsidR="00E165E5" w:rsidRPr="00E165E5">
        <w:t xml:space="preserve"> including:</w:t>
      </w:r>
    </w:p>
    <w:p w14:paraId="6216A710" w14:textId="77777777" w:rsidR="00E165E5" w:rsidRPr="00E165E5" w:rsidRDefault="00E165E5" w:rsidP="00E165E5">
      <w:pPr>
        <w:numPr>
          <w:ilvl w:val="0"/>
          <w:numId w:val="88"/>
        </w:numPr>
        <w:spacing w:after="0" w:line="240" w:lineRule="auto"/>
      </w:pPr>
      <w:r w:rsidRPr="00E165E5">
        <w:rPr>
          <w:bCs/>
        </w:rPr>
        <w:t>Target 59: Greenhouse gas emissions reductions</w:t>
      </w:r>
      <w:r w:rsidRPr="00E165E5">
        <w:t xml:space="preserve"> - limit to 108% of 1990 levels during 2008-2012 and 60% reduction by 2050.</w:t>
      </w:r>
    </w:p>
    <w:p w14:paraId="1A13F13F" w14:textId="77777777" w:rsidR="00E165E5" w:rsidRPr="00E165E5" w:rsidRDefault="00E165E5" w:rsidP="00E165E5">
      <w:pPr>
        <w:numPr>
          <w:ilvl w:val="0"/>
          <w:numId w:val="88"/>
        </w:numPr>
        <w:spacing w:after="0" w:line="240" w:lineRule="auto"/>
      </w:pPr>
      <w:r w:rsidRPr="00E165E5">
        <w:rPr>
          <w:bCs/>
        </w:rPr>
        <w:t>Target 60:</w:t>
      </w:r>
      <w:r w:rsidRPr="00E165E5">
        <w:t xml:space="preserve"> </w:t>
      </w:r>
      <w:r w:rsidRPr="00E165E5">
        <w:rPr>
          <w:bCs/>
        </w:rPr>
        <w:t>Energy efficiency of dwelling</w:t>
      </w:r>
      <w:r w:rsidRPr="00E165E5">
        <w:t xml:space="preserve"> - improve the energy efficiency of dwellings by 15% by 2020. </w:t>
      </w:r>
    </w:p>
    <w:p w14:paraId="0A1ACEF6" w14:textId="77777777" w:rsidR="00370E6D" w:rsidRPr="00E165E5" w:rsidRDefault="00E165E5" w:rsidP="00E165E5">
      <w:pPr>
        <w:numPr>
          <w:ilvl w:val="0"/>
          <w:numId w:val="88"/>
        </w:numPr>
      </w:pPr>
      <w:r w:rsidRPr="00E165E5">
        <w:rPr>
          <w:bCs/>
        </w:rPr>
        <w:t>Target 61:</w:t>
      </w:r>
      <w:r w:rsidRPr="00E165E5">
        <w:t xml:space="preserve"> </w:t>
      </w:r>
      <w:r w:rsidRPr="00E165E5">
        <w:rPr>
          <w:bCs/>
        </w:rPr>
        <w:t>Energy efficiency of government buildings</w:t>
      </w:r>
      <w:r w:rsidRPr="00E165E5">
        <w:t xml:space="preserve"> - improve the energy efficiency of government buildings by 30% by 2020.</w:t>
      </w:r>
      <w:r w:rsidR="00370E6D" w:rsidRPr="00E165E5">
        <w:t xml:space="preserve"> </w:t>
      </w:r>
    </w:p>
    <w:p w14:paraId="41827B60" w14:textId="77777777" w:rsidR="00B279BE" w:rsidRDefault="005D483B" w:rsidP="005D483B">
      <w:pPr>
        <w:rPr>
          <w:lang w:eastAsia="x-none"/>
        </w:rPr>
      </w:pPr>
      <w:r>
        <w:t xml:space="preserve">The </w:t>
      </w:r>
      <w:r w:rsidR="007D55B8">
        <w:t>T</w:t>
      </w:r>
      <w:r>
        <w:t xml:space="preserve">erms of </w:t>
      </w:r>
      <w:r w:rsidR="007D55B8">
        <w:t>R</w:t>
      </w:r>
      <w:r>
        <w:t>eference of the review were agreed by COAG ministers</w:t>
      </w:r>
      <w:r>
        <w:rPr>
          <w:rStyle w:val="FootnoteReference"/>
        </w:rPr>
        <w:footnoteReference w:id="1"/>
      </w:r>
      <w:r>
        <w:t xml:space="preserve">.  </w:t>
      </w:r>
      <w:r>
        <w:rPr>
          <w:lang w:eastAsia="x-none"/>
        </w:rPr>
        <w:t>These requirements were</w:t>
      </w:r>
      <w:r w:rsidRPr="00C67AEC">
        <w:rPr>
          <w:lang w:eastAsia="x-none"/>
        </w:rPr>
        <w:t xml:space="preserve"> further developed </w:t>
      </w:r>
      <w:r>
        <w:rPr>
          <w:lang w:eastAsia="x-none"/>
        </w:rPr>
        <w:t>at the outset of the review through workshops with the Department</w:t>
      </w:r>
      <w:r w:rsidRPr="00C67AEC">
        <w:rPr>
          <w:lang w:eastAsia="x-none"/>
        </w:rPr>
        <w:t>, E3 Committee and stakehol</w:t>
      </w:r>
      <w:r>
        <w:rPr>
          <w:lang w:eastAsia="x-none"/>
        </w:rPr>
        <w:t>der groups, to inform the objectives of the review.</w:t>
      </w:r>
      <w:r w:rsidR="00B279BE">
        <w:rPr>
          <w:lang w:eastAsia="x-none"/>
        </w:rPr>
        <w:t xml:space="preserve"> </w:t>
      </w:r>
    </w:p>
    <w:p w14:paraId="45C3DAB5" w14:textId="77777777" w:rsidR="00B279BE" w:rsidRDefault="00B279BE">
      <w:pPr>
        <w:spacing w:after="0" w:line="240" w:lineRule="auto"/>
        <w:rPr>
          <w:lang w:eastAsia="x-none"/>
        </w:rPr>
      </w:pPr>
      <w:r>
        <w:rPr>
          <w:lang w:eastAsia="x-none"/>
        </w:rPr>
        <w:br w:type="page"/>
      </w:r>
    </w:p>
    <w:p w14:paraId="05AA1A83" w14:textId="77777777" w:rsidR="00007B30" w:rsidRDefault="00007B30" w:rsidP="005D483B">
      <w:pPr>
        <w:rPr>
          <w:lang w:eastAsia="x-none"/>
        </w:rPr>
      </w:pPr>
    </w:p>
    <w:p w14:paraId="69C7D560" w14:textId="77777777" w:rsidR="005D483B" w:rsidRDefault="005D483B" w:rsidP="005D483B">
      <w:pPr>
        <w:spacing w:after="0"/>
        <w:rPr>
          <w:lang w:eastAsia="x-none"/>
        </w:rPr>
      </w:pPr>
      <w:r w:rsidRPr="00B21DA9">
        <w:rPr>
          <w:b/>
          <w:lang w:eastAsia="x-none"/>
        </w:rPr>
        <w:t>Objectives</w:t>
      </w:r>
      <w:r>
        <w:rPr>
          <w:lang w:eastAsia="x-none"/>
        </w:rPr>
        <w:t>:  The objectives of the review were to</w:t>
      </w:r>
      <w:r w:rsidR="00D11A68">
        <w:rPr>
          <w:lang w:eastAsia="x-none"/>
        </w:rPr>
        <w:t>:</w:t>
      </w:r>
    </w:p>
    <w:p w14:paraId="3251B026" w14:textId="77777777" w:rsidR="005D483B" w:rsidRDefault="005D483B" w:rsidP="0089600F">
      <w:pPr>
        <w:pStyle w:val="ListParagraph"/>
        <w:numPr>
          <w:ilvl w:val="0"/>
          <w:numId w:val="61"/>
        </w:numPr>
        <w:rPr>
          <w:lang w:eastAsia="x-none"/>
        </w:rPr>
      </w:pPr>
      <w:r>
        <w:rPr>
          <w:u w:val="single"/>
          <w:lang w:eastAsia="x-none"/>
        </w:rPr>
        <w:t>Review t</w:t>
      </w:r>
      <w:r w:rsidRPr="00B21DA9">
        <w:rPr>
          <w:u w:val="single"/>
          <w:lang w:eastAsia="x-none"/>
        </w:rPr>
        <w:t>he case for policy intervention</w:t>
      </w:r>
      <w:r>
        <w:rPr>
          <w:lang w:eastAsia="x-none"/>
        </w:rPr>
        <w:t xml:space="preserve">:  To inform </w:t>
      </w:r>
    </w:p>
    <w:p w14:paraId="02DF6758" w14:textId="77777777" w:rsidR="005D483B" w:rsidRDefault="005D483B" w:rsidP="0089600F">
      <w:pPr>
        <w:pStyle w:val="ListParagraph"/>
        <w:numPr>
          <w:ilvl w:val="1"/>
          <w:numId w:val="61"/>
        </w:numPr>
        <w:rPr>
          <w:lang w:eastAsia="x-none"/>
        </w:rPr>
      </w:pPr>
      <w:r w:rsidRPr="00960BF2">
        <w:rPr>
          <w:lang w:eastAsia="x-none"/>
        </w:rPr>
        <w:t>What form the intervention should take</w:t>
      </w:r>
      <w:r w:rsidR="00A82223">
        <w:rPr>
          <w:lang w:eastAsia="x-none"/>
        </w:rPr>
        <w:t xml:space="preserve">? </w:t>
      </w:r>
      <w:r w:rsidRPr="00960BF2">
        <w:rPr>
          <w:lang w:eastAsia="x-none"/>
        </w:rPr>
        <w:t>(e.g. mandatory, voluntary) – exploring viable cost effective alternatives which meet the objectives of GEMS</w:t>
      </w:r>
      <w:r w:rsidR="007D55B8">
        <w:rPr>
          <w:lang w:eastAsia="x-none"/>
        </w:rPr>
        <w:t>; and</w:t>
      </w:r>
      <w:r w:rsidRPr="00960BF2">
        <w:rPr>
          <w:lang w:eastAsia="x-none"/>
        </w:rPr>
        <w:t xml:space="preserve">  </w:t>
      </w:r>
    </w:p>
    <w:p w14:paraId="4F8C3DA9" w14:textId="77777777" w:rsidR="005D483B" w:rsidRDefault="005D483B" w:rsidP="0089600F">
      <w:pPr>
        <w:pStyle w:val="ListParagraph"/>
        <w:numPr>
          <w:ilvl w:val="1"/>
          <w:numId w:val="61"/>
        </w:numPr>
        <w:rPr>
          <w:lang w:eastAsia="x-none"/>
        </w:rPr>
      </w:pPr>
      <w:r>
        <w:rPr>
          <w:lang w:eastAsia="x-none"/>
        </w:rPr>
        <w:t>Who should implement the E3 program</w:t>
      </w:r>
      <w:r w:rsidR="00A82223">
        <w:rPr>
          <w:lang w:eastAsia="x-none"/>
        </w:rPr>
        <w:t>?</w:t>
      </w:r>
      <w:r>
        <w:rPr>
          <w:lang w:eastAsia="x-none"/>
        </w:rPr>
        <w:t xml:space="preserve">  </w:t>
      </w:r>
    </w:p>
    <w:p w14:paraId="52265A0E" w14:textId="77777777" w:rsidR="005D483B" w:rsidRDefault="005D483B" w:rsidP="0089600F">
      <w:pPr>
        <w:pStyle w:val="ListParagraph"/>
        <w:numPr>
          <w:ilvl w:val="0"/>
          <w:numId w:val="61"/>
        </w:numPr>
        <w:rPr>
          <w:lang w:eastAsia="x-none"/>
        </w:rPr>
      </w:pPr>
      <w:r>
        <w:rPr>
          <w:u w:val="single"/>
          <w:lang w:eastAsia="x-none"/>
        </w:rPr>
        <w:t xml:space="preserve">Review the </w:t>
      </w:r>
      <w:r w:rsidRPr="00B21DA9">
        <w:rPr>
          <w:u w:val="single"/>
          <w:lang w:eastAsia="x-none"/>
        </w:rPr>
        <w:t>outcomes of the E3 program</w:t>
      </w:r>
      <w:r>
        <w:rPr>
          <w:lang w:eastAsia="x-none"/>
        </w:rPr>
        <w:t xml:space="preserve">:  To understand whether the program has met its stated objectives and how cost effectively it has done so, as well as understanding the impact of the program on consumers and industry. </w:t>
      </w:r>
    </w:p>
    <w:p w14:paraId="2459BDE1" w14:textId="77777777" w:rsidR="005D483B" w:rsidRDefault="005D483B" w:rsidP="0089600F">
      <w:pPr>
        <w:pStyle w:val="ListParagraph"/>
        <w:numPr>
          <w:ilvl w:val="0"/>
          <w:numId w:val="61"/>
        </w:numPr>
        <w:rPr>
          <w:lang w:eastAsia="x-none"/>
        </w:rPr>
      </w:pPr>
      <w:r>
        <w:rPr>
          <w:u w:val="single"/>
          <w:lang w:eastAsia="x-none"/>
        </w:rPr>
        <w:t>Review p</w:t>
      </w:r>
      <w:r w:rsidRPr="00B21DA9">
        <w:rPr>
          <w:u w:val="single"/>
          <w:lang w:eastAsia="x-none"/>
        </w:rPr>
        <w:t>rogram processes</w:t>
      </w:r>
      <w:r>
        <w:rPr>
          <w:lang w:eastAsia="x-none"/>
        </w:rPr>
        <w:t>:  T</w:t>
      </w:r>
      <w:r>
        <w:t>o understand whether existing processes could be made more efficient and/or effective, whilst maintaining an even market for all competitors and achieving an appropriate level of risk control.</w:t>
      </w:r>
    </w:p>
    <w:p w14:paraId="21D61EB5" w14:textId="77777777" w:rsidR="005D483B" w:rsidRDefault="005D483B" w:rsidP="005D483B">
      <w:pPr>
        <w:tabs>
          <w:tab w:val="left" w:pos="0"/>
        </w:tabs>
      </w:pPr>
      <w:r>
        <w:rPr>
          <w:b/>
        </w:rPr>
        <w:t xml:space="preserve">Methodology:  </w:t>
      </w:r>
      <w:r>
        <w:t xml:space="preserve">The review was conducted between September 2014 and February 2015 and comprised a method development stage, followed by a review of secondary evidence and 98 in-depth interviews with a range of stakeholders.  These included </w:t>
      </w:r>
      <w:r w:rsidR="00827D2C">
        <w:t>g</w:t>
      </w:r>
      <w:r>
        <w:t xml:space="preserve">overnment, industry, consumer and environmental groups, retailers, sector experts and test laboratories.  </w:t>
      </w:r>
      <w:r w:rsidRPr="004E4B3E">
        <w:t>In addition</w:t>
      </w:r>
      <w:r w:rsidR="00827D2C">
        <w:t>,</w:t>
      </w:r>
      <w:r w:rsidRPr="004E4B3E">
        <w:t xml:space="preserve"> an online survey was hosted to gather further feedback and two submissions were received from industry and consumer/environmental representatives.  </w:t>
      </w:r>
    </w:p>
    <w:p w14:paraId="2E64C18C" w14:textId="77777777" w:rsidR="005D483B" w:rsidRDefault="005D483B" w:rsidP="005D483B">
      <w:pPr>
        <w:pStyle w:val="Heading2"/>
      </w:pPr>
      <w:bookmarkStart w:id="6" w:name="_Toc422298355"/>
      <w:r>
        <w:t>Findings:  The case for policy intervention</w:t>
      </w:r>
      <w:r w:rsidRPr="00764AEC">
        <w:t>, types of intervention, scheme design and administration</w:t>
      </w:r>
      <w:bookmarkEnd w:id="6"/>
    </w:p>
    <w:p w14:paraId="6A61EFBF" w14:textId="77777777" w:rsidR="005D483B" w:rsidRDefault="005D483B" w:rsidP="00F966A8">
      <w:pPr>
        <w:spacing w:after="0"/>
      </w:pPr>
      <w:r w:rsidRPr="00B21DA9">
        <w:rPr>
          <w:b/>
        </w:rPr>
        <w:t xml:space="preserve">The case for intervention:  </w:t>
      </w:r>
      <w:r>
        <w:t xml:space="preserve">There are a range of significant market failures which lead to consumers and businesses purchasing energy inefficient products.  </w:t>
      </w:r>
      <w:r w:rsidR="008E0AAE">
        <w:t>These include</w:t>
      </w:r>
      <w:r w:rsidR="008E0AAE" w:rsidRPr="008E0AAE">
        <w:t xml:space="preserve"> imperfect or insufficient information</w:t>
      </w:r>
      <w:r w:rsidR="008E0AAE">
        <w:t>, split incentives, access to capital, externalities and</w:t>
      </w:r>
      <w:r w:rsidR="008E0AAE" w:rsidRPr="008E0AAE">
        <w:t xml:space="preserve"> bounded rationality</w:t>
      </w:r>
      <w:r w:rsidR="008E0AAE">
        <w:rPr>
          <w:rStyle w:val="FootnoteReference"/>
        </w:rPr>
        <w:footnoteReference w:id="2"/>
      </w:r>
      <w:r w:rsidR="008E0AAE">
        <w:t xml:space="preserve">.  </w:t>
      </w:r>
      <w:r>
        <w:t xml:space="preserve">As a result, there is a strong case for policy intervention to tackle them.  </w:t>
      </w:r>
    </w:p>
    <w:p w14:paraId="4A377510" w14:textId="77777777" w:rsidR="005D483B" w:rsidRDefault="005D483B" w:rsidP="005D483B">
      <w:r w:rsidRPr="00B21DA9">
        <w:rPr>
          <w:b/>
        </w:rPr>
        <w:t xml:space="preserve">Types of intervention:  </w:t>
      </w:r>
      <w:r>
        <w:t>Policy interventions such as</w:t>
      </w:r>
      <w:r w:rsidR="000D1CB7">
        <w:t xml:space="preserve"> mandatory</w:t>
      </w:r>
      <w:r>
        <w:t xml:space="preserve"> minimum energy performance standards (MEPS) and</w:t>
      </w:r>
      <w:r w:rsidR="000D1CB7">
        <w:t xml:space="preserve"> mandatory energy</w:t>
      </w:r>
      <w:r>
        <w:t xml:space="preserve"> labelling programs are highly effective at tackling these market failures, providing significant benefits to consumers and businesses compared to their costs and burden on industry.  </w:t>
      </w:r>
    </w:p>
    <w:p w14:paraId="4C92B842" w14:textId="77777777" w:rsidR="005D483B" w:rsidRDefault="005D483B" w:rsidP="005D483B">
      <w:r w:rsidRPr="00B21DA9">
        <w:rPr>
          <w:u w:val="single"/>
        </w:rPr>
        <w:t>MEPS</w:t>
      </w:r>
      <w:r>
        <w:t xml:space="preserve">:  </w:t>
      </w:r>
      <w:r w:rsidRPr="00235D42">
        <w:t>MEPS are generally mandatory</w:t>
      </w:r>
      <w:r w:rsidR="000420FC">
        <w:t xml:space="preserve"> because regulation, with good compliance, delivers </w:t>
      </w:r>
      <w:r w:rsidR="003B484F">
        <w:t xml:space="preserve">certainty and </w:t>
      </w:r>
      <w:r w:rsidR="000420FC">
        <w:t>consistent outcomes</w:t>
      </w:r>
      <w:r w:rsidR="003B484F">
        <w:t xml:space="preserve"> for businesses and consumers</w:t>
      </w:r>
      <w:r w:rsidR="000420FC">
        <w:t xml:space="preserve">.  </w:t>
      </w:r>
      <w:r w:rsidR="00F966A8">
        <w:t>V</w:t>
      </w:r>
      <w:r w:rsidRPr="00235D42">
        <w:t>oluntary agreements and other alternatives to MEP</w:t>
      </w:r>
      <w:r w:rsidR="000D1CB7">
        <w:t>S</w:t>
      </w:r>
      <w:r w:rsidRPr="00235D42">
        <w:t xml:space="preserve"> can and have been implemented</w:t>
      </w:r>
      <w:r w:rsidR="00F966A8">
        <w:t>, although not in Australia or New Zealand, with the exception of set top boxes and swimming pool pumps</w:t>
      </w:r>
      <w:r w:rsidRPr="00235D42">
        <w:t xml:space="preserve">.  These appear successful only in specific circumstances, </w:t>
      </w:r>
      <w:r w:rsidR="00FB0950">
        <w:t xml:space="preserve">such as when markets are dominated by a limited number of domestic manufacturers, with similar (high) technical competency and incentives to develop energy efficient product.  These circumstances </w:t>
      </w:r>
      <w:r w:rsidR="0059439F">
        <w:t>do</w:t>
      </w:r>
      <w:r w:rsidR="00FB0950">
        <w:t xml:space="preserve"> not</w:t>
      </w:r>
      <w:r w:rsidR="0059439F">
        <w:t xml:space="preserve"> apply to </w:t>
      </w:r>
      <w:r w:rsidRPr="00235D42">
        <w:t>the Australian and New Zealand markets.</w:t>
      </w:r>
    </w:p>
    <w:p w14:paraId="33B3A6D3" w14:textId="77777777" w:rsidR="005D483B" w:rsidRDefault="000D1CB7" w:rsidP="005D483B">
      <w:r>
        <w:rPr>
          <w:u w:val="single"/>
        </w:rPr>
        <w:t xml:space="preserve">Energy </w:t>
      </w:r>
      <w:r w:rsidR="005D483B" w:rsidRPr="00B21DA9">
        <w:rPr>
          <w:u w:val="single"/>
        </w:rPr>
        <w:t>Labelling</w:t>
      </w:r>
      <w:r w:rsidR="005D483B">
        <w:t xml:space="preserve">:  </w:t>
      </w:r>
      <w:r w:rsidR="005D483B" w:rsidRPr="00235D42">
        <w:t xml:space="preserve">Comparison </w:t>
      </w:r>
      <w:r>
        <w:t xml:space="preserve">energy rating </w:t>
      </w:r>
      <w:r w:rsidR="005D483B" w:rsidRPr="00235D42">
        <w:t>labels work best when all or most products in retail outlets are labelled and therefore these programs are typically mandatory.</w:t>
      </w:r>
      <w:r w:rsidR="005D483B">
        <w:t xml:space="preserve">  M</w:t>
      </w:r>
      <w:r w:rsidR="005D483B" w:rsidRPr="00764FF1">
        <w:t>andatory co</w:t>
      </w:r>
      <w:r w:rsidR="005D483B">
        <w:t>mparison labels provide authoritat</w:t>
      </w:r>
      <w:r w:rsidR="005D483B" w:rsidRPr="00764FF1">
        <w:t xml:space="preserve">ive and trusted information for consumers and for </w:t>
      </w:r>
      <w:r w:rsidR="005D483B">
        <w:t>this reason</w:t>
      </w:r>
      <w:r w:rsidR="005D483B" w:rsidRPr="00764FF1">
        <w:t xml:space="preserve"> the large majority of stakeholders support their use</w:t>
      </w:r>
      <w:r w:rsidR="005D483B">
        <w:t xml:space="preserve">.  Endorsement labels are almost always voluntary and </w:t>
      </w:r>
      <w:r w:rsidR="005D483B">
        <w:lastRenderedPageBreak/>
        <w:t xml:space="preserve">appear to present a potentially useful non-regulatory opportunity.  However, </w:t>
      </w:r>
      <w:r w:rsidR="00F966A8">
        <w:t xml:space="preserve">where they have been used in Australia or New Zealand, they have leveraged off the mandatory labelling scheme.  Also, </w:t>
      </w:r>
      <w:r w:rsidR="005D483B">
        <w:t>national and international experience shows that they require significant, long term resources for promotional and other activities</w:t>
      </w:r>
      <w:r>
        <w:t>, such as compliance,</w:t>
      </w:r>
      <w:r w:rsidR="005D483B">
        <w:t xml:space="preserve"> to generate consumer value on which such schemes rely.</w:t>
      </w:r>
    </w:p>
    <w:p w14:paraId="0E13C73E" w14:textId="77777777" w:rsidR="005D483B" w:rsidRPr="00B21DA9" w:rsidRDefault="005D483B" w:rsidP="005D483B">
      <w:pPr>
        <w:spacing w:after="0"/>
      </w:pPr>
      <w:r w:rsidRPr="00B21DA9">
        <w:rPr>
          <w:b/>
        </w:rPr>
        <w:t>Scheme design and administration</w:t>
      </w:r>
    </w:p>
    <w:p w14:paraId="27CF6027" w14:textId="77777777" w:rsidR="005D483B" w:rsidRDefault="005D483B" w:rsidP="005D483B">
      <w:r w:rsidRPr="00B21DA9">
        <w:rPr>
          <w:u w:val="single"/>
        </w:rPr>
        <w:t>MEPS and comparison labels</w:t>
      </w:r>
      <w:r w:rsidR="00B403B1">
        <w:rPr>
          <w:rStyle w:val="FootnoteReference"/>
          <w:u w:val="single"/>
        </w:rPr>
        <w:footnoteReference w:id="3"/>
      </w:r>
      <w:r w:rsidRPr="00B21DA9">
        <w:rPr>
          <w:u w:val="single"/>
        </w:rPr>
        <w:t>:</w:t>
      </w:r>
      <w:r w:rsidRPr="00B21DA9">
        <w:rPr>
          <w:b/>
        </w:rPr>
        <w:t xml:space="preserve">  </w:t>
      </w:r>
      <w:r w:rsidRPr="0004258F">
        <w:t>MEPS and comparison labelling schemes should be run by</w:t>
      </w:r>
      <w:r>
        <w:t xml:space="preserve"> Government and stakeholders support a Commonwealth-led approach.  </w:t>
      </w:r>
      <w:r w:rsidRPr="0004258F">
        <w:t>However, as there are multiple requirements/ conditions for effective design and administration</w:t>
      </w:r>
      <w:r>
        <w:t>,</w:t>
      </w:r>
      <w:r w:rsidRPr="0004258F">
        <w:t xml:space="preserve"> </w:t>
      </w:r>
      <w:r>
        <w:t>involvement i</w:t>
      </w:r>
      <w:r w:rsidRPr="0004258F">
        <w:t xml:space="preserve">s </w:t>
      </w:r>
      <w:r>
        <w:t xml:space="preserve">also </w:t>
      </w:r>
      <w:r w:rsidRPr="0004258F">
        <w:t xml:space="preserve">needed </w:t>
      </w:r>
      <w:r>
        <w:t xml:space="preserve">from </w:t>
      </w:r>
      <w:r w:rsidR="00A82223">
        <w:t>s</w:t>
      </w:r>
      <w:r>
        <w:t xml:space="preserve">tate </w:t>
      </w:r>
      <w:r w:rsidR="00A82223">
        <w:t>g</w:t>
      </w:r>
      <w:r>
        <w:t xml:space="preserve">overnment, </w:t>
      </w:r>
      <w:r w:rsidRPr="0004258F">
        <w:t xml:space="preserve">industry and consumer groups. </w:t>
      </w:r>
      <w:r w:rsidR="00A82223">
        <w:t xml:space="preserve"> </w:t>
      </w:r>
      <w:r w:rsidRPr="0004258F">
        <w:t xml:space="preserve">As a result, an approach which has </w:t>
      </w:r>
      <w:r w:rsidR="003B484F">
        <w:t>g</w:t>
      </w:r>
      <w:r w:rsidRPr="0004258F">
        <w:t xml:space="preserve">overnance structures and agreements to facilitate this are likely to be more effective. </w:t>
      </w:r>
    </w:p>
    <w:p w14:paraId="59A88EB5" w14:textId="77777777" w:rsidR="005D483B" w:rsidRPr="0004258F" w:rsidRDefault="005D483B" w:rsidP="005D483B">
      <w:r w:rsidRPr="00B21DA9">
        <w:rPr>
          <w:u w:val="single"/>
        </w:rPr>
        <w:t>Endorsement labelling</w:t>
      </w:r>
      <w:r>
        <w:t xml:space="preserve">:  </w:t>
      </w:r>
      <w:r w:rsidR="007D55B8">
        <w:t>The stakeholders’ view is that e</w:t>
      </w:r>
      <w:r w:rsidRPr="00764AEC">
        <w:t xml:space="preserve">ndorsement labels can be run by </w:t>
      </w:r>
      <w:r w:rsidR="00A82223">
        <w:t>g</w:t>
      </w:r>
      <w:r w:rsidRPr="00764AEC">
        <w:t>overnment, non-</w:t>
      </w:r>
      <w:r w:rsidR="00A82223">
        <w:t>g</w:t>
      </w:r>
      <w:r w:rsidRPr="00764AEC">
        <w:t>overnmental bodies or industry bodies</w:t>
      </w:r>
      <w:r w:rsidR="00FC0198">
        <w:t>, although recognising the significant and long-term commitment of resources required.</w:t>
      </w:r>
      <w:r w:rsidRPr="00764AEC">
        <w:t xml:space="preserve">  </w:t>
      </w:r>
    </w:p>
    <w:p w14:paraId="3277AE17" w14:textId="77777777" w:rsidR="005D483B" w:rsidRDefault="005D483B" w:rsidP="005D483B">
      <w:pPr>
        <w:pStyle w:val="Heading2"/>
      </w:pPr>
      <w:bookmarkStart w:id="7" w:name="_Toc422298356"/>
      <w:r>
        <w:t>Findings:  Meeting IGA, GEMS and E3 objectives, impacts on consumers and industry</w:t>
      </w:r>
      <w:bookmarkEnd w:id="7"/>
    </w:p>
    <w:p w14:paraId="345E7742" w14:textId="77777777" w:rsidR="005D483B" w:rsidRPr="00A07FE8" w:rsidRDefault="005D483B" w:rsidP="005D483B">
      <w:pPr>
        <w:rPr>
          <w:color w:val="FF0000"/>
        </w:rPr>
      </w:pPr>
      <w:r>
        <w:rPr>
          <w:b/>
        </w:rPr>
        <w:t>Program outcomes</w:t>
      </w:r>
      <w:r>
        <w:t xml:space="preserve">: </w:t>
      </w:r>
      <w:r w:rsidR="00BA3A01">
        <w:t xml:space="preserve"> S</w:t>
      </w:r>
      <w:r w:rsidR="00887598">
        <w:t xml:space="preserve">ignificant </w:t>
      </w:r>
      <w:r w:rsidR="0027634F">
        <w:t xml:space="preserve">energy cost </w:t>
      </w:r>
      <w:r w:rsidR="00887598">
        <w:t>savings are likely to</w:t>
      </w:r>
      <w:r w:rsidR="00182AFF">
        <w:t xml:space="preserve"> be realised by the program, and in a cost-effective manner.  </w:t>
      </w:r>
      <w:r w:rsidR="00BA3A01">
        <w:t xml:space="preserve">Projections </w:t>
      </w:r>
      <w:r w:rsidR="00785BB7">
        <w:t xml:space="preserve">for the E3 Program in Australia, developed </w:t>
      </w:r>
      <w:r w:rsidR="00BA3A01">
        <w:t>by the Department of Industry and Science (DoIS)</w:t>
      </w:r>
      <w:r w:rsidR="00785BB7">
        <w:t xml:space="preserve">, </w:t>
      </w:r>
      <w:r w:rsidR="00BA3A01">
        <w:t xml:space="preserve">show a Net Present Value in the range of </w:t>
      </w:r>
      <w:r w:rsidR="00617BB0">
        <w:t>$</w:t>
      </w:r>
      <w:r w:rsidR="00BA3A01">
        <w:t>3</w:t>
      </w:r>
      <w:r w:rsidR="00732041">
        <w:t>.3</w:t>
      </w:r>
      <w:r w:rsidR="00BA3A01">
        <w:t xml:space="preserve"> - $7</w:t>
      </w:r>
      <w:r w:rsidR="00732041">
        <w:t>.3</w:t>
      </w:r>
      <w:r w:rsidR="00BA3A01">
        <w:t xml:space="preserve"> </w:t>
      </w:r>
      <w:r w:rsidR="00732041">
        <w:t>b</w:t>
      </w:r>
      <w:r w:rsidR="00BA3A01">
        <w:t>illion; and a Benefit : Cost Ratio in the range of 1.7 – 5.2</w:t>
      </w:r>
      <w:r w:rsidR="00BA3A01" w:rsidRPr="00A07FE8">
        <w:t>, over the period 2014-2020</w:t>
      </w:r>
      <w:r w:rsidR="00785BB7">
        <w:rPr>
          <w:rStyle w:val="FootnoteReference"/>
        </w:rPr>
        <w:footnoteReference w:id="4"/>
      </w:r>
      <w:r w:rsidR="00BA3A01" w:rsidRPr="00A07FE8">
        <w:t>.</w:t>
      </w:r>
      <w:r w:rsidRPr="000E6047">
        <w:t xml:space="preserve"> </w:t>
      </w:r>
      <w:r>
        <w:t xml:space="preserve"> The majority of savings are likely to have been delivered by MEPS (and associated compliance activities).  Whilst it is challenging to find useful comparators, GEMS savings compare reasonably well to other schemes.  Notwithstanding this, the review found opportunities for the program to achieve further savings, by extending the range of products covered and/or setting more stringent standards for currently regulated products.  </w:t>
      </w:r>
    </w:p>
    <w:p w14:paraId="2711DCB8" w14:textId="77777777" w:rsidR="005D483B" w:rsidRDefault="005D483B" w:rsidP="005D483B">
      <w:r w:rsidRPr="00B21DA9">
        <w:rPr>
          <w:b/>
        </w:rPr>
        <w:t>Impact on consumers and industry</w:t>
      </w:r>
      <w:r>
        <w:t>:  There is l</w:t>
      </w:r>
      <w:r w:rsidRPr="00B21DA9">
        <w:t xml:space="preserve">ittle evidence to suggest that </w:t>
      </w:r>
      <w:r>
        <w:t>consumers h</w:t>
      </w:r>
      <w:r w:rsidRPr="00B21DA9">
        <w:t>ave been significantly negatively impacted by increased product prices and/or reduced choice as a result of the program</w:t>
      </w:r>
      <w:r w:rsidR="009078AE">
        <w:rPr>
          <w:rStyle w:val="FootnoteReference"/>
        </w:rPr>
        <w:footnoteReference w:id="5"/>
      </w:r>
      <w:r>
        <w:t xml:space="preserve">.  </w:t>
      </w:r>
      <w:r w:rsidRPr="003730E7">
        <w:t>There are costs to industry in delivering the program, however only a minor proportion is born by domestic industry.  Overall the costs are significantly outweighed by energy bill savings, experienced by consumers and businesses.</w:t>
      </w:r>
    </w:p>
    <w:p w14:paraId="734D4C18" w14:textId="77777777" w:rsidR="005D483B" w:rsidRPr="009918A7" w:rsidRDefault="005D483B" w:rsidP="005D483B">
      <w:pPr>
        <w:pStyle w:val="Heading2"/>
      </w:pPr>
      <w:bookmarkStart w:id="8" w:name="_Toc422298357"/>
      <w:r>
        <w:t xml:space="preserve">Findings:  Program processes – the IGA, GEMS Act, program </w:t>
      </w:r>
      <w:r w:rsidRPr="009918A7">
        <w:t>administration and funding</w:t>
      </w:r>
      <w:bookmarkEnd w:id="8"/>
    </w:p>
    <w:p w14:paraId="776D18F8" w14:textId="77777777" w:rsidR="009918A7" w:rsidRDefault="005D483B" w:rsidP="003B6661">
      <w:pPr>
        <w:tabs>
          <w:tab w:val="left" w:pos="0"/>
        </w:tabs>
        <w:spacing w:after="0"/>
        <w:rPr>
          <w:lang w:eastAsia="x-none"/>
        </w:rPr>
      </w:pPr>
      <w:r w:rsidRPr="003B6661">
        <w:rPr>
          <w:b/>
        </w:rPr>
        <w:t xml:space="preserve">The IGA:  </w:t>
      </w:r>
      <w:r w:rsidR="009918A7" w:rsidRPr="009918A7">
        <w:rPr>
          <w:lang w:eastAsia="x-none"/>
        </w:rPr>
        <w:t>The IGA</w:t>
      </w:r>
      <w:r w:rsidR="009918A7">
        <w:rPr>
          <w:lang w:eastAsia="x-none"/>
        </w:rPr>
        <w:t xml:space="preserve"> provides a sound g</w:t>
      </w:r>
      <w:r w:rsidR="009918A7" w:rsidRPr="00377DD5">
        <w:rPr>
          <w:lang w:eastAsia="x-none"/>
        </w:rPr>
        <w:t>overnance structure, which is good practice as it formally involves all jurisdictions</w:t>
      </w:r>
      <w:r w:rsidR="00A967F6">
        <w:rPr>
          <w:lang w:eastAsia="x-none"/>
        </w:rPr>
        <w:t xml:space="preserve"> (apart from the Northern Territory)</w:t>
      </w:r>
      <w:r w:rsidR="009918A7" w:rsidRPr="00377DD5">
        <w:rPr>
          <w:lang w:eastAsia="x-none"/>
        </w:rPr>
        <w:t xml:space="preserve"> in the policy process, bringing them together to deliver a national program led by the Commonwealth.</w:t>
      </w:r>
      <w:r w:rsidR="00A82223">
        <w:rPr>
          <w:lang w:eastAsia="x-none"/>
        </w:rPr>
        <w:t xml:space="preserve"> </w:t>
      </w:r>
      <w:r w:rsidR="009918A7" w:rsidRPr="00377DD5">
        <w:rPr>
          <w:lang w:eastAsia="x-none"/>
        </w:rPr>
        <w:t xml:space="preserve"> It also allows a pooling of </w:t>
      </w:r>
      <w:r w:rsidR="009918A7" w:rsidRPr="00377DD5">
        <w:rPr>
          <w:lang w:eastAsia="x-none"/>
        </w:rPr>
        <w:lastRenderedPageBreak/>
        <w:t>resources and expertise to help deliver greater outcomes more effectively than would be achieved otherwise.</w:t>
      </w:r>
      <w:r w:rsidR="00A82223">
        <w:rPr>
          <w:lang w:eastAsia="x-none"/>
        </w:rPr>
        <w:t xml:space="preserve"> </w:t>
      </w:r>
      <w:r w:rsidR="009918A7" w:rsidRPr="00377DD5">
        <w:rPr>
          <w:lang w:eastAsia="x-none"/>
        </w:rPr>
        <w:t xml:space="preserve"> This is in general supported by members of the E3 Committee who recognise key advantages over the previous state and territory run scheme.  However, there are issues in practice</w:t>
      </w:r>
      <w:r w:rsidR="00041F87">
        <w:rPr>
          <w:lang w:eastAsia="x-none"/>
        </w:rPr>
        <w:t xml:space="preserve"> which can create </w:t>
      </w:r>
      <w:r w:rsidR="00041F87" w:rsidRPr="00377DD5">
        <w:rPr>
          <w:lang w:eastAsia="x-none"/>
        </w:rPr>
        <w:t>tension</w:t>
      </w:r>
      <w:r w:rsidR="00041F87">
        <w:rPr>
          <w:rStyle w:val="FootnoteReference"/>
          <w:lang w:eastAsia="x-none"/>
        </w:rPr>
        <w:footnoteReference w:id="6"/>
      </w:r>
      <w:r w:rsidR="0051210E">
        <w:rPr>
          <w:lang w:eastAsia="x-none"/>
        </w:rPr>
        <w:t xml:space="preserve"> </w:t>
      </w:r>
      <w:r w:rsidR="00041F87">
        <w:rPr>
          <w:lang w:eastAsia="x-none"/>
        </w:rPr>
        <w:t>such as differences in priorities</w:t>
      </w:r>
      <w:r w:rsidR="0051210E">
        <w:rPr>
          <w:lang w:eastAsia="x-none"/>
        </w:rPr>
        <w:t xml:space="preserve"> between jurisdictions (although this </w:t>
      </w:r>
      <w:r w:rsidR="00B76D07">
        <w:rPr>
          <w:lang w:eastAsia="x-none"/>
        </w:rPr>
        <w:t xml:space="preserve">is inherent in a federal system and was </w:t>
      </w:r>
      <w:r w:rsidR="0051210E">
        <w:rPr>
          <w:lang w:eastAsia="x-none"/>
        </w:rPr>
        <w:t>also evident under the previous arrangements)</w:t>
      </w:r>
      <w:r w:rsidR="00041F87">
        <w:rPr>
          <w:lang w:eastAsia="x-none"/>
        </w:rPr>
        <w:t xml:space="preserve">.  </w:t>
      </w:r>
      <w:r w:rsidR="009110CF">
        <w:rPr>
          <w:lang w:eastAsia="x-none"/>
        </w:rPr>
        <w:t>For example, some jurisdictions have raised concerns about the Commonwealth’s regulatory offsetting policy stopping regulatory proposals being implemented if offsets are not identified.</w:t>
      </w:r>
      <w:r w:rsidR="0065504B">
        <w:rPr>
          <w:lang w:eastAsia="x-none"/>
        </w:rPr>
        <w:t xml:space="preserve"> </w:t>
      </w:r>
      <w:r w:rsidR="00FA2EBD">
        <w:rPr>
          <w:lang w:eastAsia="x-none"/>
        </w:rPr>
        <w:t xml:space="preserve">Other issues include </w:t>
      </w:r>
      <w:r w:rsidR="009918A7">
        <w:rPr>
          <w:lang w:eastAsia="x-none"/>
        </w:rPr>
        <w:t>l</w:t>
      </w:r>
      <w:r w:rsidR="009918A7" w:rsidRPr="00377DD5">
        <w:rPr>
          <w:lang w:eastAsia="x-none"/>
        </w:rPr>
        <w:t>ack of active involvement f</w:t>
      </w:r>
      <w:r w:rsidR="009918A7">
        <w:rPr>
          <w:lang w:eastAsia="x-none"/>
        </w:rPr>
        <w:t>rom some states and territories; and s</w:t>
      </w:r>
      <w:r w:rsidR="009918A7" w:rsidRPr="00377DD5">
        <w:rPr>
          <w:lang w:eastAsia="x-none"/>
        </w:rPr>
        <w:t>ome perceptions that the structure holds up the process</w:t>
      </w:r>
      <w:r w:rsidR="009918A7">
        <w:rPr>
          <w:lang w:eastAsia="x-none"/>
        </w:rPr>
        <w:t xml:space="preserve">. </w:t>
      </w:r>
      <w:r w:rsidR="00A82223">
        <w:rPr>
          <w:lang w:eastAsia="x-none"/>
        </w:rPr>
        <w:t xml:space="preserve"> </w:t>
      </w:r>
      <w:r w:rsidR="009918A7" w:rsidRPr="00377DD5">
        <w:rPr>
          <w:lang w:eastAsia="x-none"/>
        </w:rPr>
        <w:t xml:space="preserve">Despite these issues, wider stakeholders are supportive of the E3 Committee and its work and perceive benefits over the previous scheme. </w:t>
      </w:r>
    </w:p>
    <w:p w14:paraId="2F63E3CC" w14:textId="77777777" w:rsidR="009F48A7" w:rsidRDefault="009F48A7" w:rsidP="003B6661">
      <w:pPr>
        <w:tabs>
          <w:tab w:val="left" w:pos="0"/>
        </w:tabs>
        <w:spacing w:after="0"/>
        <w:rPr>
          <w:lang w:eastAsia="x-none"/>
        </w:rPr>
      </w:pPr>
    </w:p>
    <w:p w14:paraId="2626CCC6" w14:textId="77777777" w:rsidR="009F48A7" w:rsidRPr="00377DD5" w:rsidRDefault="009F48A7" w:rsidP="00FB0950">
      <w:pPr>
        <w:spacing w:after="0"/>
      </w:pPr>
      <w:r w:rsidRPr="00377DD5">
        <w:t xml:space="preserve">The review concludes that the IGA provides a strong framework for national cooperation in implementing GEMS and the E3 Program. </w:t>
      </w:r>
      <w:r w:rsidR="00A82223">
        <w:t xml:space="preserve"> </w:t>
      </w:r>
      <w:r w:rsidRPr="00377DD5">
        <w:t xml:space="preserve">However, should any party to the IGA decide not to meet their obligation to provide annual funding to the program, </w:t>
      </w:r>
      <w:r w:rsidR="009E4D2F">
        <w:t xml:space="preserve">the IGA provisions </w:t>
      </w:r>
      <w:r w:rsidRPr="00377DD5">
        <w:t>that only those jurisdictions contributing funding participate in decision making</w:t>
      </w:r>
      <w:r w:rsidR="009E4D2F">
        <w:t xml:space="preserve"> should be </w:t>
      </w:r>
      <w:r w:rsidR="005A31BA">
        <w:t>applied</w:t>
      </w:r>
    </w:p>
    <w:p w14:paraId="398A7C3B" w14:textId="77777777" w:rsidR="009918A7" w:rsidRPr="00B21DA9" w:rsidRDefault="009918A7" w:rsidP="005D483B">
      <w:pPr>
        <w:spacing w:after="0"/>
        <w:rPr>
          <w:rFonts w:ascii="Times New Roman" w:hAnsi="Times New Roman"/>
          <w:b/>
          <w:sz w:val="28"/>
          <w:szCs w:val="28"/>
          <w:highlight w:val="yellow"/>
        </w:rPr>
      </w:pPr>
    </w:p>
    <w:p w14:paraId="10CCB509" w14:textId="77777777" w:rsidR="00B76D07" w:rsidRDefault="005D483B" w:rsidP="00383914">
      <w:pPr>
        <w:spacing w:after="0"/>
      </w:pPr>
      <w:r w:rsidRPr="00B21DA9">
        <w:rPr>
          <w:b/>
        </w:rPr>
        <w:t xml:space="preserve">The GEMS Act:  </w:t>
      </w:r>
      <w:r>
        <w:t xml:space="preserve">The Act supports the delivery of significant benefits compared to costs. </w:t>
      </w:r>
      <w:r w:rsidRPr="00201E20">
        <w:t xml:space="preserve">It is not possible </w:t>
      </w:r>
      <w:r>
        <w:t xml:space="preserve">at this early stage </w:t>
      </w:r>
      <w:r w:rsidRPr="00201E20">
        <w:t xml:space="preserve">to conclude with confidence that the </w:t>
      </w:r>
      <w:r>
        <w:t xml:space="preserve">Act is </w:t>
      </w:r>
      <w:r w:rsidRPr="00201E20">
        <w:t>supporting delivery</w:t>
      </w:r>
      <w:r>
        <w:t xml:space="preserve"> of improved outcomes over the previous multi-jurisdiction scheme, however there are indications to suggest it is.  </w:t>
      </w:r>
      <w:r w:rsidR="00383914">
        <w:t>In general, stakeholders felt that</w:t>
      </w:r>
      <w:r w:rsidR="005A31BA">
        <w:t xml:space="preserve"> the GEMS scheme, as a national program compared to the previous</w:t>
      </w:r>
      <w:r w:rsidR="00785BB7">
        <w:t xml:space="preserve"> multi-jurisdictional scheme,</w:t>
      </w:r>
      <w:r w:rsidR="00383914">
        <w:t xml:space="preserve"> </w:t>
      </w:r>
      <w:r w:rsidR="00B76D07" w:rsidRPr="003C1508">
        <w:t>provides co</w:t>
      </w:r>
      <w:r w:rsidR="00B76D07">
        <w:t xml:space="preserve">nsistency within the market; </w:t>
      </w:r>
      <w:r w:rsidR="00B76D07" w:rsidRPr="003C1508">
        <w:t>is more economical to comply with</w:t>
      </w:r>
      <w:r w:rsidR="00B76D07">
        <w:t>, mainly</w:t>
      </w:r>
      <w:r w:rsidR="00B76D07" w:rsidRPr="003C1508">
        <w:t xml:space="preserve"> due to reduced uncertainty and administrative burden</w:t>
      </w:r>
      <w:r w:rsidR="00B76D07">
        <w:t xml:space="preserve">; </w:t>
      </w:r>
      <w:r w:rsidR="00383914">
        <w:t xml:space="preserve">and </w:t>
      </w:r>
      <w:r w:rsidR="00B76D07" w:rsidRPr="00E83AE1">
        <w:t>is less confusing for consumers</w:t>
      </w:r>
      <w:r w:rsidR="00785BB7">
        <w:t>.</w:t>
      </w:r>
    </w:p>
    <w:p w14:paraId="1849C655" w14:textId="77777777" w:rsidR="00383914" w:rsidRPr="004A46DB" w:rsidRDefault="00383914" w:rsidP="00383914">
      <w:pPr>
        <w:spacing w:after="0"/>
        <w:rPr>
          <w:i/>
        </w:rPr>
      </w:pPr>
    </w:p>
    <w:p w14:paraId="614A56DC" w14:textId="77777777" w:rsidR="005D483B" w:rsidRDefault="005D483B" w:rsidP="00383914">
      <w:pPr>
        <w:spacing w:after="0"/>
      </w:pPr>
      <w:r>
        <w:t xml:space="preserve">Overall, the Act appears to be effective and necessary with provisions in place to ensure they are delivered at least cost to consumers and industry, whilst maintaining a fair and equitable market.  Some opportunities have been identified for streamlining to improve </w:t>
      </w:r>
      <w:r w:rsidR="00614F53">
        <w:t xml:space="preserve">administrative </w:t>
      </w:r>
      <w:r>
        <w:t xml:space="preserve">efficiency and for amendment </w:t>
      </w:r>
      <w:r w:rsidR="007D55B8">
        <w:t xml:space="preserve">to the Act </w:t>
      </w:r>
      <w:r>
        <w:t xml:space="preserve">to improve effectiveness.  Those which are recommended for action are detailed below.  None of the opportunities identified </w:t>
      </w:r>
      <w:r w:rsidRPr="00B21DA9">
        <w:t xml:space="preserve">represent a fundamental risk to the achievement </w:t>
      </w:r>
      <w:r w:rsidR="007F3654">
        <w:t xml:space="preserve">of the program’s </w:t>
      </w:r>
      <w:r w:rsidRPr="00B21DA9">
        <w:t>objectives.</w:t>
      </w:r>
    </w:p>
    <w:p w14:paraId="7BF327A9" w14:textId="77777777" w:rsidR="005D483B" w:rsidRPr="00B21DA9" w:rsidRDefault="005D483B" w:rsidP="005D483B">
      <w:pPr>
        <w:spacing w:after="0"/>
        <w:contextualSpacing/>
        <w:rPr>
          <w:rFonts w:ascii="Times New Roman" w:hAnsi="Times New Roman"/>
          <w:b/>
          <w:sz w:val="28"/>
          <w:szCs w:val="28"/>
        </w:rPr>
      </w:pPr>
    </w:p>
    <w:p w14:paraId="3A457442" w14:textId="77777777" w:rsidR="005D483B" w:rsidRDefault="005D483B" w:rsidP="005D483B">
      <w:pPr>
        <w:spacing w:after="0"/>
      </w:pPr>
      <w:r w:rsidRPr="00B21DA9">
        <w:rPr>
          <w:b/>
        </w:rPr>
        <w:t>Program administration</w:t>
      </w:r>
      <w:r>
        <w:rPr>
          <w:b/>
        </w:rPr>
        <w:t xml:space="preserve">:  </w:t>
      </w:r>
      <w:r w:rsidRPr="00B21DA9">
        <w:t xml:space="preserve">The program is still bedding into its delivery role.  Bearing this in mind, the program’s administration is being delivered reasonably effectively.  </w:t>
      </w:r>
      <w:r>
        <w:t xml:space="preserve">Some aspects of administration demonstrate best practice in delivery, including compliance and enforcement (and the infrastructure </w:t>
      </w:r>
      <w:r w:rsidR="007F3654">
        <w:t xml:space="preserve">is </w:t>
      </w:r>
      <w:r>
        <w:t>in place to deliver it).</w:t>
      </w:r>
    </w:p>
    <w:p w14:paraId="1589D72E" w14:textId="77777777" w:rsidR="005D483B" w:rsidRDefault="005D483B" w:rsidP="005D483B">
      <w:pPr>
        <w:spacing w:after="0"/>
      </w:pPr>
    </w:p>
    <w:p w14:paraId="6410B2F6" w14:textId="77777777" w:rsidR="00D569C4" w:rsidRDefault="005D483B" w:rsidP="005D483B">
      <w:pPr>
        <w:spacing w:after="0"/>
      </w:pPr>
      <w:r>
        <w:t xml:space="preserve">In addition, the </w:t>
      </w:r>
      <w:r w:rsidRPr="00422181">
        <w:t>process for developing GEMS determinations appears to be broadly robust and examples</w:t>
      </w:r>
      <w:r>
        <w:t xml:space="preserve"> of </w:t>
      </w:r>
      <w:r w:rsidR="00334F4D">
        <w:t xml:space="preserve">good practice and </w:t>
      </w:r>
      <w:r w:rsidR="00796495">
        <w:t xml:space="preserve">administrative </w:t>
      </w:r>
      <w:r>
        <w:t>efficiency are demonstrated (e.g. international harmonisation efforts</w:t>
      </w:r>
      <w:r w:rsidR="00334F4D">
        <w:t xml:space="preserve"> are seen as best practice</w:t>
      </w:r>
      <w:r>
        <w:t xml:space="preserve">).  There are some areas where the process could be improved, </w:t>
      </w:r>
      <w:r w:rsidR="00D569C4">
        <w:t>such as:</w:t>
      </w:r>
      <w:r>
        <w:t xml:space="preserve"> further use of evidence to inform policies; exploration of all possible interventions; consistency in stakeholder consultation; and </w:t>
      </w:r>
      <w:r w:rsidR="00D569C4">
        <w:t xml:space="preserve">improved </w:t>
      </w:r>
      <w:r>
        <w:t xml:space="preserve">interactions with </w:t>
      </w:r>
      <w:r w:rsidR="00A82223">
        <w:t>the Office of Best Practice Regulation (</w:t>
      </w:r>
      <w:r>
        <w:t>OBPR</w:t>
      </w:r>
      <w:r w:rsidR="00A82223">
        <w:t>)</w:t>
      </w:r>
      <w:r>
        <w:t xml:space="preserve">.  </w:t>
      </w:r>
      <w:r w:rsidR="00D569C4">
        <w:t xml:space="preserve">Increasing the pace at which determinations are developed would also help, noting that often a combination of factors impacted timescales, including: negotiations </w:t>
      </w:r>
      <w:r w:rsidR="00D569C4">
        <w:lastRenderedPageBreak/>
        <w:t>with industry, particularly where new stakeholders joined the process at a late stage; reaching agreement within the E3 Committee; slow progress through OBPR approval; and internal disruptions within jurisdictions (such as agency reorganisations and staff turnover).</w:t>
      </w:r>
    </w:p>
    <w:p w14:paraId="6FAE6A7F" w14:textId="77777777" w:rsidR="005D483B" w:rsidRDefault="005D483B" w:rsidP="005D483B">
      <w:pPr>
        <w:spacing w:after="0"/>
      </w:pPr>
    </w:p>
    <w:p w14:paraId="11386FE4" w14:textId="77777777" w:rsidR="005D483B" w:rsidRDefault="005D483B" w:rsidP="005D483B">
      <w:pPr>
        <w:spacing w:after="0"/>
      </w:pPr>
      <w:r>
        <w:t xml:space="preserve">In addition to core MEPS and </w:t>
      </w:r>
      <w:r w:rsidR="00DF2F8C">
        <w:t xml:space="preserve">energy </w:t>
      </w:r>
      <w:r>
        <w:t>labelling activities</w:t>
      </w:r>
      <w:r w:rsidR="00383914">
        <w:t xml:space="preserve"> (including innovations such as climate zone labelling)</w:t>
      </w:r>
      <w:r>
        <w:t>, the development of supporting initiatives, such as further development of the website and recently launched smartphone App</w:t>
      </w:r>
      <w:r w:rsidR="00383914">
        <w:t>,</w:t>
      </w:r>
      <w:r>
        <w:t xml:space="preserve"> were seen as positive steps which will help achieve </w:t>
      </w:r>
      <w:r w:rsidR="007F3654">
        <w:t xml:space="preserve">the program’s </w:t>
      </w:r>
      <w:r>
        <w:t>policy objectives more effectively.</w:t>
      </w:r>
    </w:p>
    <w:p w14:paraId="3D294B14" w14:textId="77777777" w:rsidR="00495ACC" w:rsidRDefault="00495ACC" w:rsidP="005D483B">
      <w:pPr>
        <w:spacing w:after="0"/>
      </w:pPr>
    </w:p>
    <w:p w14:paraId="74322284" w14:textId="77777777" w:rsidR="005D483B" w:rsidRDefault="005D483B" w:rsidP="005D483B">
      <w:pPr>
        <w:spacing w:after="0"/>
        <w:rPr>
          <w:b/>
        </w:rPr>
      </w:pPr>
      <w:r>
        <w:rPr>
          <w:b/>
        </w:rPr>
        <w:t>Funding</w:t>
      </w:r>
    </w:p>
    <w:p w14:paraId="42632381" w14:textId="77777777" w:rsidR="005D483B" w:rsidRDefault="005D483B" w:rsidP="005D483B">
      <w:pPr>
        <w:spacing w:after="0"/>
      </w:pPr>
      <w:r w:rsidRPr="004E2987">
        <w:rPr>
          <w:u w:val="single"/>
        </w:rPr>
        <w:t>Cost recovery:</w:t>
      </w:r>
      <w:r>
        <w:rPr>
          <w:b/>
        </w:rPr>
        <w:t xml:space="preserve">  </w:t>
      </w:r>
      <w:r w:rsidRPr="004E2987">
        <w:t xml:space="preserve">The general level of industry funding </w:t>
      </w:r>
      <w:r w:rsidR="005A79FF">
        <w:t xml:space="preserve">(via registration fees) </w:t>
      </w:r>
      <w:r w:rsidRPr="004E2987">
        <w:t>appears accepted by the majority of stakeholders.</w:t>
      </w:r>
      <w:r w:rsidR="00A82223">
        <w:t xml:space="preserve"> </w:t>
      </w:r>
      <w:r w:rsidRPr="004E2987">
        <w:t xml:space="preserve"> There would be value in better communicating the contribution of fees to the overall program budget. Some adjustment to the registration requirements for particular categories of products may also make the fees appear more equitable. </w:t>
      </w:r>
      <w:r w:rsidR="00A82223">
        <w:t xml:space="preserve"> </w:t>
      </w:r>
      <w:r>
        <w:t>I</w:t>
      </w:r>
      <w:r w:rsidRPr="004E2987">
        <w:t xml:space="preserve">ndustry could potentially tolerate a reasonably minor increase in cost recovery, although respondents were generally resistive to this and noted that costs would be passed on to the consumer.  </w:t>
      </w:r>
      <w:r w:rsidR="00806C30">
        <w:t xml:space="preserve">In setting up GEMS and the current fee levels, the Commonwealth determined that fees would be reviewed at three yearly intervals, and that over time the program will move to a full cost recovery model.  </w:t>
      </w:r>
      <w:r w:rsidR="00D94724">
        <w:t>A</w:t>
      </w:r>
      <w:r w:rsidR="00806C30">
        <w:t xml:space="preserve"> fee review will occur in October 2015 and should take account of stakeholder comments provided in this review.</w:t>
      </w:r>
    </w:p>
    <w:p w14:paraId="7055E7F3" w14:textId="77777777" w:rsidR="005D483B" w:rsidRDefault="005D483B" w:rsidP="005D483B">
      <w:pPr>
        <w:spacing w:after="0"/>
      </w:pPr>
    </w:p>
    <w:p w14:paraId="2AB0382F" w14:textId="77777777" w:rsidR="005D483B" w:rsidRDefault="005D483B" w:rsidP="005D483B">
      <w:pPr>
        <w:spacing w:after="0"/>
        <w:rPr>
          <w:lang w:eastAsia="x-none"/>
        </w:rPr>
      </w:pPr>
      <w:r w:rsidRPr="004E2987">
        <w:rPr>
          <w:u w:val="single"/>
        </w:rPr>
        <w:t>Alternative Government funding options</w:t>
      </w:r>
      <w:r>
        <w:t xml:space="preserve">:  </w:t>
      </w:r>
      <w:r>
        <w:rPr>
          <w:lang w:eastAsia="x-none"/>
        </w:rPr>
        <w:t xml:space="preserve">The issue of funding, in particular </w:t>
      </w:r>
      <w:r w:rsidR="007F3654">
        <w:rPr>
          <w:lang w:eastAsia="x-none"/>
        </w:rPr>
        <w:t>s</w:t>
      </w:r>
      <w:r>
        <w:rPr>
          <w:lang w:eastAsia="x-none"/>
        </w:rPr>
        <w:t xml:space="preserve">tate and </w:t>
      </w:r>
      <w:r w:rsidR="007F3654">
        <w:rPr>
          <w:lang w:eastAsia="x-none"/>
        </w:rPr>
        <w:t>t</w:t>
      </w:r>
      <w:r>
        <w:rPr>
          <w:lang w:eastAsia="x-none"/>
        </w:rPr>
        <w:t xml:space="preserve">erritory </w:t>
      </w:r>
      <w:r w:rsidR="007F3654">
        <w:rPr>
          <w:lang w:eastAsia="x-none"/>
        </w:rPr>
        <w:t xml:space="preserve">government </w:t>
      </w:r>
      <w:r>
        <w:rPr>
          <w:lang w:eastAsia="x-none"/>
        </w:rPr>
        <w:t>contributions</w:t>
      </w:r>
      <w:r w:rsidR="00A82223">
        <w:rPr>
          <w:lang w:eastAsia="x-none"/>
        </w:rPr>
        <w:t>,</w:t>
      </w:r>
      <w:r>
        <w:rPr>
          <w:lang w:eastAsia="x-none"/>
        </w:rPr>
        <w:t xml:space="preserve"> is a complex and sensitive issue and it is difficult to make robust conclusions either way based on the exploration undertaken within the scope of this review.  The majority of stakeholders are clearly in favour of maintaining the partial cost-recovery model at approximately the current level.  There appears to very little understanding by most stakeholders of the split between industry and government contributions</w:t>
      </w:r>
      <w:r w:rsidR="00A82223">
        <w:rPr>
          <w:lang w:eastAsia="x-none"/>
        </w:rPr>
        <w:t>.  However,</w:t>
      </w:r>
      <w:r>
        <w:rPr>
          <w:lang w:eastAsia="x-none"/>
        </w:rPr>
        <w:t xml:space="preserve"> there is an assumption by industry that current government funding levels will be maintained.</w:t>
      </w:r>
    </w:p>
    <w:p w14:paraId="456833EC" w14:textId="77777777" w:rsidR="005D483B" w:rsidRDefault="005D483B" w:rsidP="005D483B">
      <w:pPr>
        <w:pStyle w:val="Heading2"/>
      </w:pPr>
      <w:bookmarkStart w:id="9" w:name="_Toc422298358"/>
      <w:r w:rsidRPr="00580F70">
        <w:t>Recommendations</w:t>
      </w:r>
      <w:bookmarkEnd w:id="9"/>
      <w:r>
        <w:t xml:space="preserve"> </w:t>
      </w:r>
    </w:p>
    <w:p w14:paraId="499CBE33" w14:textId="77777777" w:rsidR="005D483B" w:rsidRPr="00B714A2" w:rsidRDefault="005D483B" w:rsidP="005D483B">
      <w:pPr>
        <w:pStyle w:val="Heading3"/>
      </w:pPr>
      <w:bookmarkStart w:id="10" w:name="_Toc422298359"/>
      <w:r>
        <w:t>Program design</w:t>
      </w:r>
      <w:bookmarkEnd w:id="10"/>
    </w:p>
    <w:p w14:paraId="1D397FB9" w14:textId="77777777" w:rsidR="005D483B" w:rsidRPr="005D483B" w:rsidRDefault="005D483B" w:rsidP="005D483B">
      <w:pPr>
        <w:spacing w:after="0"/>
        <w:rPr>
          <w:rFonts w:cs="Calibri"/>
        </w:rPr>
      </w:pPr>
      <w:r w:rsidRPr="005D483B">
        <w:rPr>
          <w:rFonts w:cs="Calibri"/>
        </w:rPr>
        <w:t xml:space="preserve">The review recommends that MEPS and labelling should be retained as national </w:t>
      </w:r>
      <w:r w:rsidR="007F3654">
        <w:rPr>
          <w:rFonts w:cs="Calibri"/>
        </w:rPr>
        <w:t>g</w:t>
      </w:r>
      <w:r w:rsidRPr="005D483B">
        <w:rPr>
          <w:rFonts w:cs="Calibri"/>
        </w:rPr>
        <w:t>overnment measures.  Improvements to design of the program should consider</w:t>
      </w:r>
      <w:r w:rsidR="007F3654">
        <w:rPr>
          <w:rFonts w:cs="Calibri"/>
        </w:rPr>
        <w:t>:</w:t>
      </w:r>
    </w:p>
    <w:p w14:paraId="41E5A3D7" w14:textId="77777777" w:rsidR="005D483B" w:rsidRPr="005D483B" w:rsidRDefault="005D483B" w:rsidP="007049A0">
      <w:pPr>
        <w:pStyle w:val="ListParagraph"/>
        <w:numPr>
          <w:ilvl w:val="0"/>
          <w:numId w:val="62"/>
        </w:numPr>
        <w:ind w:left="426"/>
        <w:rPr>
          <w:rFonts w:cs="Calibri"/>
        </w:rPr>
      </w:pPr>
      <w:r w:rsidRPr="005D483B">
        <w:rPr>
          <w:rFonts w:cs="Calibri"/>
          <w:u w:val="single"/>
        </w:rPr>
        <w:t>For MEPS and comparison labelling</w:t>
      </w:r>
      <w:r w:rsidRPr="005D483B">
        <w:rPr>
          <w:rFonts w:cs="Calibri"/>
        </w:rPr>
        <w:t>:  Exploring all possible voluntary and mandatory interventions.  However, as current practice demonstrates, most future standards are expected to be mandatory as they provide the greatest level of certainty for businesses and consumers and deliver significant savings at least cost.</w:t>
      </w:r>
    </w:p>
    <w:p w14:paraId="21CB3B76" w14:textId="77777777" w:rsidR="005D483B" w:rsidRPr="005D483B" w:rsidRDefault="005D483B" w:rsidP="007049A0">
      <w:pPr>
        <w:pStyle w:val="ListParagraph"/>
        <w:numPr>
          <w:ilvl w:val="0"/>
          <w:numId w:val="62"/>
        </w:numPr>
        <w:ind w:left="426"/>
        <w:rPr>
          <w:rFonts w:cs="Calibri"/>
        </w:rPr>
      </w:pPr>
      <w:r w:rsidRPr="005D483B">
        <w:rPr>
          <w:rFonts w:cs="Calibri"/>
          <w:u w:val="single"/>
        </w:rPr>
        <w:t>For endorsement labelling</w:t>
      </w:r>
      <w:r w:rsidRPr="005D483B">
        <w:rPr>
          <w:rFonts w:cs="Calibri"/>
        </w:rPr>
        <w:t>:  Exploring voluntary interventions</w:t>
      </w:r>
      <w:r w:rsidR="00E802AC">
        <w:rPr>
          <w:rFonts w:cs="Calibri"/>
        </w:rPr>
        <w:t>, noting that in the Australian and New Zealand markets, these have sat on top of the mandatory regulations.</w:t>
      </w:r>
      <w:r w:rsidR="00E802AC">
        <w:t xml:space="preserve">  I</w:t>
      </w:r>
      <w:r>
        <w:t xml:space="preserve">f </w:t>
      </w:r>
      <w:r w:rsidR="00E802AC">
        <w:t xml:space="preserve">voluntary </w:t>
      </w:r>
      <w:r>
        <w:t>schemes are supported</w:t>
      </w:r>
      <w:r w:rsidR="007F3654">
        <w:t>,</w:t>
      </w:r>
      <w:r>
        <w:t xml:space="preserve"> to attract strong consumer support and acceptance they will need significant financial and administrative resources for their development, implementation and promotion.</w:t>
      </w:r>
    </w:p>
    <w:p w14:paraId="0CB4D4DE" w14:textId="77777777" w:rsidR="005D483B" w:rsidRPr="005D483B" w:rsidRDefault="005D483B" w:rsidP="005D483B">
      <w:pPr>
        <w:ind w:left="66"/>
        <w:rPr>
          <w:rFonts w:cs="Calibri"/>
          <w:i/>
        </w:rPr>
      </w:pPr>
      <w:r w:rsidRPr="005D483B">
        <w:rPr>
          <w:rFonts w:cs="Calibri"/>
          <w:i/>
        </w:rPr>
        <w:t>Key recommendation</w:t>
      </w:r>
    </w:p>
    <w:p w14:paraId="10570891" w14:textId="77777777" w:rsidR="005D483B" w:rsidRPr="005D483B" w:rsidRDefault="005D483B" w:rsidP="005D483B">
      <w:pPr>
        <w:ind w:left="66"/>
        <w:rPr>
          <w:rFonts w:cs="Calibri"/>
        </w:rPr>
      </w:pPr>
      <w:r w:rsidRPr="005D483B">
        <w:rPr>
          <w:rFonts w:cs="Calibri"/>
        </w:rPr>
        <w:t xml:space="preserve">In future, both MEPS and labelling schemes should be retained as national </w:t>
      </w:r>
      <w:r w:rsidR="009E2ED0">
        <w:rPr>
          <w:rFonts w:cs="Calibri"/>
        </w:rPr>
        <w:t>g</w:t>
      </w:r>
      <w:r w:rsidRPr="005D483B">
        <w:rPr>
          <w:rFonts w:cs="Calibri"/>
        </w:rPr>
        <w:t xml:space="preserve">overnment measures. </w:t>
      </w:r>
    </w:p>
    <w:p w14:paraId="75F053D3" w14:textId="77777777" w:rsidR="005D483B" w:rsidRPr="00352519" w:rsidRDefault="005D483B" w:rsidP="005D483B">
      <w:pPr>
        <w:pStyle w:val="Heading3"/>
      </w:pPr>
      <w:bookmarkStart w:id="11" w:name="_Toc422298360"/>
      <w:r>
        <w:lastRenderedPageBreak/>
        <w:t xml:space="preserve">Delivering </w:t>
      </w:r>
      <w:r w:rsidRPr="004F4C40">
        <w:t>IGA, GEMS and E3 objectives</w:t>
      </w:r>
      <w:bookmarkEnd w:id="11"/>
    </w:p>
    <w:p w14:paraId="1FCCCBDA" w14:textId="77777777" w:rsidR="005D483B" w:rsidRPr="005D483B" w:rsidRDefault="005D483B" w:rsidP="005D483B">
      <w:pPr>
        <w:spacing w:after="0"/>
        <w:rPr>
          <w:rFonts w:cs="Calibri"/>
          <w:szCs w:val="24"/>
        </w:rPr>
      </w:pPr>
      <w:r w:rsidRPr="005D483B">
        <w:rPr>
          <w:rFonts w:cs="Calibri"/>
          <w:szCs w:val="24"/>
        </w:rPr>
        <w:t>Existing product specific work should continue but areas for improvement include</w:t>
      </w:r>
      <w:r w:rsidR="007F3654">
        <w:rPr>
          <w:rFonts w:cs="Calibri"/>
          <w:szCs w:val="24"/>
        </w:rPr>
        <w:t>:</w:t>
      </w:r>
    </w:p>
    <w:p w14:paraId="0EB529F6" w14:textId="77777777" w:rsidR="005D483B" w:rsidRPr="005D483B" w:rsidRDefault="005D483B" w:rsidP="007049A0">
      <w:pPr>
        <w:pStyle w:val="ListParagraph"/>
        <w:numPr>
          <w:ilvl w:val="0"/>
          <w:numId w:val="63"/>
        </w:numPr>
        <w:spacing w:after="0"/>
        <w:rPr>
          <w:rFonts w:cs="Calibri"/>
          <w:szCs w:val="24"/>
        </w:rPr>
      </w:pPr>
      <w:r w:rsidRPr="005D483B">
        <w:rPr>
          <w:rFonts w:cs="Calibri"/>
          <w:szCs w:val="24"/>
          <w:u w:val="single"/>
        </w:rPr>
        <w:t>Improving the evidence base</w:t>
      </w:r>
      <w:r w:rsidRPr="005D483B">
        <w:rPr>
          <w:rFonts w:cs="Calibri"/>
          <w:szCs w:val="24"/>
        </w:rPr>
        <w:t xml:space="preserve">:  The program should undertake further outcome evaluation studies to improve the evidence on program savings and cost effectiveness. </w:t>
      </w:r>
      <w:r w:rsidR="00A82223">
        <w:rPr>
          <w:rFonts w:cs="Calibri"/>
          <w:szCs w:val="24"/>
        </w:rPr>
        <w:t xml:space="preserve"> </w:t>
      </w:r>
      <w:r w:rsidRPr="005D483B">
        <w:rPr>
          <w:rFonts w:cs="Calibri"/>
          <w:szCs w:val="24"/>
        </w:rPr>
        <w:t xml:space="preserve">In particular, this should continue to focus on actual market impacts rather than projections and isolating the impact of the program from other factors.  Furthermore, it would be useful to better understand the impacts of labelling through further research in order to help understand the costs and benefits of labelling vs. MEPS.  </w:t>
      </w:r>
    </w:p>
    <w:p w14:paraId="57178BF2" w14:textId="77777777" w:rsidR="005D483B" w:rsidRPr="005D483B" w:rsidRDefault="005D483B" w:rsidP="007049A0">
      <w:pPr>
        <w:pStyle w:val="ListParagraph"/>
        <w:numPr>
          <w:ilvl w:val="0"/>
          <w:numId w:val="63"/>
        </w:numPr>
        <w:spacing w:after="0"/>
        <w:rPr>
          <w:rFonts w:cs="Calibri"/>
          <w:szCs w:val="24"/>
        </w:rPr>
      </w:pPr>
      <w:r w:rsidRPr="005D483B">
        <w:rPr>
          <w:rFonts w:cs="Calibri"/>
          <w:szCs w:val="24"/>
          <w:u w:val="single"/>
        </w:rPr>
        <w:t>Increasing impacts</w:t>
      </w:r>
      <w:r w:rsidRPr="005D483B">
        <w:rPr>
          <w:rFonts w:cs="Calibri"/>
          <w:szCs w:val="24"/>
        </w:rPr>
        <w:t>:  The program should:</w:t>
      </w:r>
    </w:p>
    <w:p w14:paraId="3D60AAFD" w14:textId="77777777" w:rsidR="005D483B" w:rsidRPr="005D483B" w:rsidRDefault="005D483B" w:rsidP="007049A0">
      <w:pPr>
        <w:pStyle w:val="ListParagraph"/>
        <w:numPr>
          <w:ilvl w:val="1"/>
          <w:numId w:val="63"/>
        </w:numPr>
        <w:spacing w:after="0"/>
        <w:rPr>
          <w:rFonts w:cs="Calibri"/>
          <w:szCs w:val="24"/>
        </w:rPr>
      </w:pPr>
      <w:r w:rsidRPr="005D483B">
        <w:rPr>
          <w:rFonts w:cs="Calibri"/>
          <w:szCs w:val="24"/>
        </w:rPr>
        <w:t>Implement MEPS and labelling for planned products groups and consider further broadening coverage of product groups</w:t>
      </w:r>
      <w:r w:rsidR="007F3654">
        <w:rPr>
          <w:rFonts w:cs="Calibri"/>
          <w:szCs w:val="24"/>
        </w:rPr>
        <w:t>;</w:t>
      </w:r>
      <w:r w:rsidRPr="005D483B">
        <w:rPr>
          <w:rFonts w:cs="Calibri"/>
          <w:szCs w:val="24"/>
        </w:rPr>
        <w:t xml:space="preserve"> </w:t>
      </w:r>
    </w:p>
    <w:p w14:paraId="408C9137" w14:textId="77777777" w:rsidR="005D483B" w:rsidRPr="005D483B" w:rsidRDefault="005D483B" w:rsidP="007049A0">
      <w:pPr>
        <w:pStyle w:val="ListParagraph"/>
        <w:numPr>
          <w:ilvl w:val="1"/>
          <w:numId w:val="63"/>
        </w:numPr>
        <w:spacing w:after="0"/>
        <w:rPr>
          <w:rFonts w:cs="Calibri"/>
          <w:szCs w:val="24"/>
        </w:rPr>
      </w:pPr>
      <w:r w:rsidRPr="005D483B">
        <w:rPr>
          <w:rFonts w:cs="Calibri"/>
          <w:szCs w:val="24"/>
        </w:rPr>
        <w:t xml:space="preserve">Increase the stringency of </w:t>
      </w:r>
      <w:r w:rsidR="003F03E7">
        <w:rPr>
          <w:rFonts w:cs="Calibri"/>
          <w:szCs w:val="24"/>
        </w:rPr>
        <w:t>MEPS levels or the energy labelling requirements</w:t>
      </w:r>
      <w:r w:rsidRPr="005D483B">
        <w:rPr>
          <w:rFonts w:cs="Calibri"/>
          <w:szCs w:val="24"/>
        </w:rPr>
        <w:t xml:space="preserve"> for existing product groups</w:t>
      </w:r>
      <w:r w:rsidR="007F3654">
        <w:rPr>
          <w:rFonts w:cs="Calibri"/>
          <w:szCs w:val="24"/>
        </w:rPr>
        <w:t>; and</w:t>
      </w:r>
      <w:r w:rsidRPr="005D483B">
        <w:rPr>
          <w:rFonts w:cs="Calibri"/>
          <w:szCs w:val="24"/>
        </w:rPr>
        <w:t xml:space="preserve">  </w:t>
      </w:r>
    </w:p>
    <w:p w14:paraId="6BABB4A2" w14:textId="77777777" w:rsidR="005D483B" w:rsidRPr="005D483B" w:rsidRDefault="005D483B" w:rsidP="007049A0">
      <w:pPr>
        <w:pStyle w:val="ListParagraph"/>
        <w:numPr>
          <w:ilvl w:val="1"/>
          <w:numId w:val="63"/>
        </w:numPr>
        <w:spacing w:after="0"/>
        <w:rPr>
          <w:rFonts w:cs="Calibri"/>
          <w:szCs w:val="24"/>
        </w:rPr>
      </w:pPr>
      <w:r w:rsidRPr="005D483B">
        <w:rPr>
          <w:rFonts w:cs="Calibri"/>
          <w:szCs w:val="24"/>
        </w:rPr>
        <w:t>Give consideration to the further use of endorsement labelling</w:t>
      </w:r>
      <w:r w:rsidR="003F03E7">
        <w:rPr>
          <w:rFonts w:cs="Calibri"/>
          <w:szCs w:val="24"/>
        </w:rPr>
        <w:t xml:space="preserve"> where it can be demonstrated that this would add value to the Program</w:t>
      </w:r>
      <w:r w:rsidRPr="005D483B">
        <w:rPr>
          <w:rFonts w:cs="Calibri"/>
          <w:szCs w:val="24"/>
        </w:rPr>
        <w:t>.</w:t>
      </w:r>
    </w:p>
    <w:p w14:paraId="353D99E5" w14:textId="77777777" w:rsidR="005D483B" w:rsidRPr="005D483B" w:rsidRDefault="005D483B" w:rsidP="005D483B">
      <w:pPr>
        <w:spacing w:after="0"/>
        <w:rPr>
          <w:rFonts w:cs="Calibri"/>
          <w:i/>
          <w:szCs w:val="24"/>
        </w:rPr>
      </w:pPr>
    </w:p>
    <w:p w14:paraId="1745C787" w14:textId="77777777" w:rsidR="005D483B" w:rsidRPr="005D483B" w:rsidRDefault="005D483B" w:rsidP="005D483B">
      <w:pPr>
        <w:spacing w:after="0"/>
        <w:rPr>
          <w:rFonts w:cs="Calibri"/>
          <w:szCs w:val="24"/>
        </w:rPr>
      </w:pPr>
      <w:r w:rsidRPr="005D483B">
        <w:rPr>
          <w:rFonts w:cs="Calibri"/>
          <w:i/>
          <w:szCs w:val="24"/>
        </w:rPr>
        <w:t>Key recommendation</w:t>
      </w:r>
    </w:p>
    <w:p w14:paraId="6B0437A5" w14:textId="77777777" w:rsidR="005D483B" w:rsidRPr="005D483B" w:rsidRDefault="005D483B" w:rsidP="005D483B">
      <w:pPr>
        <w:spacing w:after="0"/>
        <w:rPr>
          <w:rFonts w:cs="Calibri"/>
          <w:szCs w:val="24"/>
        </w:rPr>
      </w:pPr>
      <w:r w:rsidRPr="005D483B">
        <w:rPr>
          <w:rFonts w:cs="Calibri"/>
          <w:szCs w:val="24"/>
        </w:rPr>
        <w:t>The program should implement MEPS and labelling for planned products groups and consider further broadening coverage of product groups.</w:t>
      </w:r>
    </w:p>
    <w:p w14:paraId="1BD79839" w14:textId="77777777" w:rsidR="005D483B" w:rsidRDefault="005D483B" w:rsidP="005D483B">
      <w:pPr>
        <w:pStyle w:val="Heading3"/>
      </w:pPr>
      <w:bookmarkStart w:id="12" w:name="_Toc422298361"/>
      <w:r>
        <w:t>Opportunities to reduce burden and improve outcomes</w:t>
      </w:r>
      <w:bookmarkEnd w:id="12"/>
    </w:p>
    <w:p w14:paraId="38F7901C" w14:textId="77777777" w:rsidR="005A31BA" w:rsidRDefault="005A31BA" w:rsidP="005A31BA">
      <w:r>
        <w:t xml:space="preserve">The introduction of the GEMS legislation and the IGA were significant steps to reducing the regulatory burden arising from the previous multi-jurisdictional arrangements.  Further opportunities for major reform are therefore limited. </w:t>
      </w:r>
    </w:p>
    <w:p w14:paraId="0C604E01" w14:textId="77777777" w:rsidR="00235B8C" w:rsidRPr="009B15FD" w:rsidRDefault="00235B8C" w:rsidP="005D483B">
      <w:pPr>
        <w:spacing w:after="0"/>
        <w:rPr>
          <w:rFonts w:cs="Calibri"/>
        </w:rPr>
      </w:pPr>
      <w:r w:rsidRPr="009B15FD">
        <w:rPr>
          <w:rFonts w:cs="Calibri"/>
          <w:b/>
        </w:rPr>
        <w:t>The IGA</w:t>
      </w:r>
      <w:r>
        <w:rPr>
          <w:rFonts w:cs="Calibri"/>
        </w:rPr>
        <w:t xml:space="preserve">:  </w:t>
      </w:r>
      <w:r>
        <w:t>The</w:t>
      </w:r>
      <w:r w:rsidRPr="00377DD5">
        <w:t xml:space="preserve"> IGA in its current form represents good practice, providing a strong framework for the governance of the program.</w:t>
      </w:r>
    </w:p>
    <w:p w14:paraId="659D28F2" w14:textId="77777777" w:rsidR="00235B8C" w:rsidRDefault="00235B8C" w:rsidP="005D483B">
      <w:pPr>
        <w:spacing w:after="0"/>
        <w:rPr>
          <w:rFonts w:cs="Calibri"/>
          <w:b/>
        </w:rPr>
      </w:pPr>
    </w:p>
    <w:p w14:paraId="5938A8AD" w14:textId="77777777" w:rsidR="005D483B" w:rsidRPr="005D483B" w:rsidRDefault="005D483B" w:rsidP="005D483B">
      <w:pPr>
        <w:spacing w:after="0"/>
        <w:rPr>
          <w:rFonts w:cs="Calibri"/>
        </w:rPr>
      </w:pPr>
      <w:r w:rsidRPr="005D483B">
        <w:rPr>
          <w:rFonts w:cs="Calibri"/>
          <w:b/>
        </w:rPr>
        <w:t xml:space="preserve">The Act:  </w:t>
      </w:r>
      <w:r w:rsidRPr="005D483B">
        <w:rPr>
          <w:rFonts w:cs="Calibri"/>
        </w:rPr>
        <w:t xml:space="preserve">The Act supports the delivery of significant benefits compared to costs.  While detailed review has found no fundamental gaps or </w:t>
      </w:r>
      <w:r w:rsidR="003B484F">
        <w:rPr>
          <w:rFonts w:cs="Calibri"/>
        </w:rPr>
        <w:t>in</w:t>
      </w:r>
      <w:r w:rsidRPr="005D483B">
        <w:rPr>
          <w:rFonts w:cs="Calibri"/>
        </w:rPr>
        <w:t>efficiencies, the following opportunities to reduce regulatory burden and improve outcomes have been identified.</w:t>
      </w:r>
    </w:p>
    <w:p w14:paraId="6DABC9BD" w14:textId="77777777" w:rsidR="005D483B" w:rsidRPr="005D483B" w:rsidRDefault="005D483B" w:rsidP="00B279BE">
      <w:pPr>
        <w:spacing w:after="0"/>
        <w:rPr>
          <w:rFonts w:cs="Calibri"/>
        </w:rPr>
      </w:pPr>
    </w:p>
    <w:p w14:paraId="72675024" w14:textId="77777777" w:rsidR="005D483B" w:rsidRPr="00A4317C" w:rsidRDefault="005D483B" w:rsidP="005D483B">
      <w:pPr>
        <w:spacing w:after="0"/>
        <w:rPr>
          <w:rFonts w:cs="Calibri"/>
        </w:rPr>
      </w:pPr>
      <w:r w:rsidRPr="00A4317C">
        <w:rPr>
          <w:rFonts w:cs="Calibri"/>
          <w:u w:val="single"/>
        </w:rPr>
        <w:t>Opportunities to reduce regulatory burden</w:t>
      </w:r>
      <w:r w:rsidRPr="00A4317C">
        <w:rPr>
          <w:rFonts w:cs="Calibri"/>
        </w:rPr>
        <w:t>:</w:t>
      </w:r>
    </w:p>
    <w:p w14:paraId="007A7848" w14:textId="77777777" w:rsidR="007001E9" w:rsidRPr="00A4317C" w:rsidRDefault="007001E9" w:rsidP="007049A0">
      <w:pPr>
        <w:pStyle w:val="ListParagraph"/>
        <w:numPr>
          <w:ilvl w:val="0"/>
          <w:numId w:val="64"/>
        </w:numPr>
        <w:rPr>
          <w:color w:val="1F497D"/>
        </w:rPr>
      </w:pPr>
      <w:r w:rsidRPr="00A4317C">
        <w:rPr>
          <w:rFonts w:cs="Calibri"/>
        </w:rPr>
        <w:t>Removing</w:t>
      </w:r>
      <w:r w:rsidRPr="008C730E">
        <w:rPr>
          <w:rFonts w:cs="Calibri"/>
        </w:rPr>
        <w:t xml:space="preserve"> the requirement for registrants to provide information relating to import, manufacture etc. of products</w:t>
      </w:r>
      <w:r w:rsidRPr="005D483B">
        <w:rPr>
          <w:rStyle w:val="FootnoteReference"/>
          <w:rFonts w:cs="Calibri"/>
        </w:rPr>
        <w:footnoteReference w:id="7"/>
      </w:r>
      <w:r w:rsidRPr="008C730E">
        <w:rPr>
          <w:rFonts w:cs="Calibri"/>
        </w:rPr>
        <w:t>.</w:t>
      </w:r>
      <w:r w:rsidRPr="008C730E">
        <w:rPr>
          <w:rFonts w:cs="Calibri"/>
          <w:b/>
        </w:rPr>
        <w:t xml:space="preserve">  </w:t>
      </w:r>
      <w:r>
        <w:t xml:space="preserve">Such information is necessary to help inform the impact of the program. </w:t>
      </w:r>
      <w:r w:rsidR="00421924">
        <w:t xml:space="preserve"> </w:t>
      </w:r>
      <w:r>
        <w:t xml:space="preserve">A voluntary approach to collecting this information is currently being trialled, whereby industry has agreed to provide it on an ‘as needed’, rather than regular, basis. </w:t>
      </w:r>
      <w:r w:rsidR="00C0330B">
        <w:t xml:space="preserve"> </w:t>
      </w:r>
      <w:r>
        <w:t>If this</w:t>
      </w:r>
      <w:r w:rsidR="00F36D6D">
        <w:t xml:space="preserve"> approach</w:t>
      </w:r>
      <w:r>
        <w:t xml:space="preserve"> is not successful, the provision could be brought into effect.  If it does prove successful, then this provision in the Act could be removed, cutting </w:t>
      </w:r>
      <w:r w:rsidRPr="008C730E">
        <w:t>over $12 million in costs over 10 years</w:t>
      </w:r>
      <w:r w:rsidRPr="008C730E">
        <w:rPr>
          <w:vertAlign w:val="superscript"/>
        </w:rPr>
        <w:footnoteReference w:id="8"/>
      </w:r>
      <w:r w:rsidRPr="008C730E">
        <w:t>.</w:t>
      </w:r>
    </w:p>
    <w:p w14:paraId="756517BA" w14:textId="77777777" w:rsidR="00A4317C" w:rsidRPr="008C730E" w:rsidRDefault="00A4317C" w:rsidP="00A4317C">
      <w:pPr>
        <w:pStyle w:val="ListParagraph"/>
        <w:rPr>
          <w:color w:val="1F497D"/>
        </w:rPr>
      </w:pPr>
    </w:p>
    <w:p w14:paraId="424C35E7" w14:textId="77777777" w:rsidR="005D483B" w:rsidRDefault="005D483B" w:rsidP="007049A0">
      <w:pPr>
        <w:pStyle w:val="ListParagraph"/>
        <w:numPr>
          <w:ilvl w:val="0"/>
          <w:numId w:val="64"/>
        </w:numPr>
        <w:spacing w:after="0"/>
      </w:pPr>
      <w:r>
        <w:lastRenderedPageBreak/>
        <w:t>Removing t</w:t>
      </w:r>
      <w:r w:rsidRPr="00AD34B8">
        <w:t>he allowance for state and territory laws to go beyond levels required by GEMS</w:t>
      </w:r>
      <w:r w:rsidRPr="00AD34B8">
        <w:rPr>
          <w:rStyle w:val="FootnoteReference"/>
        </w:rPr>
        <w:footnoteReference w:id="9"/>
      </w:r>
      <w:r w:rsidRPr="00AD34B8">
        <w:t>.</w:t>
      </w:r>
      <w:r w:rsidRPr="00AD34B8">
        <w:rPr>
          <w:b/>
        </w:rPr>
        <w:t xml:space="preserve">  </w:t>
      </w:r>
    </w:p>
    <w:p w14:paraId="00BCC38D" w14:textId="77777777" w:rsidR="005D483B" w:rsidRDefault="005D483B" w:rsidP="005D483B">
      <w:pPr>
        <w:pStyle w:val="ListParagraph"/>
        <w:spacing w:after="0"/>
      </w:pPr>
      <w:r>
        <w:t>This clause has not been applied to date but does place a risk of increased regulatory burden on industry if it were to be in future</w:t>
      </w:r>
      <w:r>
        <w:rPr>
          <w:rStyle w:val="FootnoteReference"/>
        </w:rPr>
        <w:footnoteReference w:id="10"/>
      </w:r>
      <w:r>
        <w:t>.</w:t>
      </w:r>
    </w:p>
    <w:p w14:paraId="64A6A986" w14:textId="77777777" w:rsidR="005D483B" w:rsidRPr="006726D5" w:rsidRDefault="005D483B" w:rsidP="007049A0">
      <w:pPr>
        <w:pStyle w:val="ListParagraph"/>
        <w:numPr>
          <w:ilvl w:val="0"/>
          <w:numId w:val="64"/>
        </w:numPr>
        <w:spacing w:after="0"/>
      </w:pPr>
      <w:r>
        <w:t>Allowing streamlining of the required process for updating GEMS determinations</w:t>
      </w:r>
      <w:r>
        <w:rPr>
          <w:rStyle w:val="FootnoteReference"/>
        </w:rPr>
        <w:footnoteReference w:id="11"/>
      </w:r>
      <w:r>
        <w:t xml:space="preserve">:  Currently, the Minister cannot vary a GEMS determination </w:t>
      </w:r>
      <w:r w:rsidR="009E71A3">
        <w:t>(except to make minor administrative changes)</w:t>
      </w:r>
      <w:r>
        <w:t xml:space="preserve">; it must be </w:t>
      </w:r>
      <w:r w:rsidRPr="006726D5">
        <w:t>made anew</w:t>
      </w:r>
      <w:r w:rsidR="009E71A3">
        <w:t>, as the procedures required to replace a determination are the same as for establishing a new one</w:t>
      </w:r>
      <w:r w:rsidRPr="006726D5">
        <w:t xml:space="preserve">.  </w:t>
      </w:r>
      <w:r w:rsidR="009E71A3">
        <w:t>In practice this results in unnecessary burden by requiring the full COAG Best Practice Regulation process to be adhered to in all cases.  This could be made more efficient and faster if a process were enabled which acknowledged previous analysis (e.g. Decision RIS) which had been accepted to establish regulations (</w:t>
      </w:r>
      <w:r w:rsidR="003B484F">
        <w:t xml:space="preserve">as long as the previous analysis </w:t>
      </w:r>
      <w:r w:rsidR="009E71A3">
        <w:t>remained relevant and if certain conditions</w:t>
      </w:r>
      <w:r w:rsidR="003B484F">
        <w:t>, such as agreement by stakeholders,</w:t>
      </w:r>
      <w:r w:rsidR="009E71A3">
        <w:t xml:space="preserve"> were met</w:t>
      </w:r>
      <w:r w:rsidR="003B484F">
        <w:t xml:space="preserve">).  </w:t>
      </w:r>
      <w:r w:rsidR="009E71A3">
        <w:t>Further investigation</w:t>
      </w:r>
      <w:r w:rsidR="00A82223">
        <w:t>,</w:t>
      </w:r>
      <w:r w:rsidR="009E71A3">
        <w:t xml:space="preserve"> including legal advice and possible changes to the COAG Best Practice Guide, may be required to enable this. </w:t>
      </w:r>
    </w:p>
    <w:p w14:paraId="68C26773" w14:textId="77777777" w:rsidR="005D483B" w:rsidRDefault="005D483B" w:rsidP="007049A0">
      <w:pPr>
        <w:pStyle w:val="ListParagraph"/>
        <w:numPr>
          <w:ilvl w:val="0"/>
          <w:numId w:val="64"/>
        </w:numPr>
      </w:pPr>
      <w:r>
        <w:t xml:space="preserve">Exploring the possibility of extending the length of registration periods (currently </w:t>
      </w:r>
      <w:r w:rsidR="007F3654">
        <w:t>five</w:t>
      </w:r>
      <w:r>
        <w:t xml:space="preserve"> years), where appropriate.  This would </w:t>
      </w:r>
      <w:r w:rsidRPr="00B93F3B">
        <w:t>provide a small saving to industry (&lt;$50</w:t>
      </w:r>
      <w:r w:rsidR="003B484F">
        <w:t>,000</w:t>
      </w:r>
      <w:r w:rsidRPr="00B93F3B">
        <w:t xml:space="preserve"> p.a.)</w:t>
      </w:r>
      <w:r>
        <w:rPr>
          <w:rStyle w:val="FootnoteReference"/>
        </w:rPr>
        <w:footnoteReference w:id="12"/>
      </w:r>
      <w:r w:rsidRPr="00B93F3B">
        <w:t>.</w:t>
      </w:r>
    </w:p>
    <w:p w14:paraId="0507900E" w14:textId="77777777" w:rsidR="005D483B" w:rsidRPr="000D3696" w:rsidRDefault="005D483B" w:rsidP="005D483B">
      <w:pPr>
        <w:pStyle w:val="ListParagraph"/>
        <w:spacing w:after="0"/>
        <w:rPr>
          <w:rFonts w:ascii="Times New Roman" w:hAnsi="Times New Roman"/>
          <w:sz w:val="24"/>
          <w:szCs w:val="24"/>
        </w:rPr>
      </w:pPr>
    </w:p>
    <w:p w14:paraId="0E2E246F" w14:textId="77777777" w:rsidR="005D483B" w:rsidRPr="005D483B" w:rsidRDefault="005D483B" w:rsidP="005D483B">
      <w:pPr>
        <w:spacing w:after="0"/>
        <w:rPr>
          <w:rFonts w:cs="Calibri"/>
        </w:rPr>
      </w:pPr>
      <w:r w:rsidRPr="005D483B">
        <w:rPr>
          <w:rFonts w:cs="Calibri"/>
          <w:u w:val="single"/>
        </w:rPr>
        <w:t>Opportunities to improve outcomes</w:t>
      </w:r>
      <w:r w:rsidRPr="005D483B">
        <w:rPr>
          <w:rFonts w:cs="Calibri"/>
        </w:rPr>
        <w:t>:  A number of opportunities to improve outcomes were identified through review of the Act in relation to the regulatory requirements of other schemes</w:t>
      </w:r>
      <w:r w:rsidRPr="005D483B">
        <w:rPr>
          <w:rStyle w:val="FootnoteReference"/>
          <w:rFonts w:cs="Calibri"/>
        </w:rPr>
        <w:footnoteReference w:id="13"/>
      </w:r>
      <w:r w:rsidRPr="005D483B">
        <w:rPr>
          <w:rFonts w:cs="Calibri"/>
        </w:rPr>
        <w:t>.  However, these opportunities are also achievable through amendments to program administrative process, so are explored there.</w:t>
      </w:r>
    </w:p>
    <w:p w14:paraId="1B386468" w14:textId="77777777" w:rsidR="005D483B" w:rsidRDefault="005D483B" w:rsidP="005D483B">
      <w:pPr>
        <w:spacing w:after="0"/>
        <w:rPr>
          <w:rFonts w:ascii="Times New Roman" w:hAnsi="Times New Roman"/>
          <w:sz w:val="24"/>
          <w:szCs w:val="24"/>
        </w:rPr>
      </w:pPr>
    </w:p>
    <w:p w14:paraId="5D70B874" w14:textId="77777777" w:rsidR="005D483B" w:rsidRPr="00B21982" w:rsidRDefault="005D483B" w:rsidP="005D483B">
      <w:pPr>
        <w:spacing w:after="0"/>
        <w:rPr>
          <w:rFonts w:ascii="Times New Roman" w:hAnsi="Times New Roman"/>
          <w:i/>
          <w:sz w:val="24"/>
          <w:szCs w:val="24"/>
        </w:rPr>
      </w:pPr>
      <w:r w:rsidRPr="00B21982">
        <w:rPr>
          <w:rFonts w:ascii="Times New Roman" w:hAnsi="Times New Roman"/>
          <w:i/>
          <w:sz w:val="24"/>
          <w:szCs w:val="24"/>
        </w:rPr>
        <w:t>Key recommendations</w:t>
      </w:r>
    </w:p>
    <w:p w14:paraId="48612FB4" w14:textId="77777777" w:rsidR="00235B8C" w:rsidRDefault="00235B8C" w:rsidP="005D483B">
      <w:pPr>
        <w:numPr>
          <w:ilvl w:val="0"/>
          <w:numId w:val="13"/>
        </w:numPr>
        <w:contextualSpacing/>
      </w:pPr>
      <w:r>
        <w:t xml:space="preserve">The </w:t>
      </w:r>
      <w:r w:rsidRPr="00377DD5">
        <w:t xml:space="preserve">IGA </w:t>
      </w:r>
      <w:r>
        <w:t xml:space="preserve">should be retained </w:t>
      </w:r>
      <w:r w:rsidRPr="00377DD5">
        <w:t>in its current form</w:t>
      </w:r>
      <w:r>
        <w:t>.</w:t>
      </w:r>
    </w:p>
    <w:p w14:paraId="536FE601" w14:textId="77777777" w:rsidR="005D483B" w:rsidRDefault="005D483B" w:rsidP="005D483B">
      <w:pPr>
        <w:numPr>
          <w:ilvl w:val="0"/>
          <w:numId w:val="13"/>
        </w:numPr>
        <w:contextualSpacing/>
      </w:pPr>
      <w:r>
        <w:t>The Act should not be fundamentally changed.  To do so would risk adverse outcomes such as reduced opportunity available for implementing energy efficiency measures and/or significantly increased risks to effective delivery and/or compromising equitable markets.</w:t>
      </w:r>
    </w:p>
    <w:p w14:paraId="06D7977F" w14:textId="77777777" w:rsidR="005D483B" w:rsidRDefault="005D483B" w:rsidP="005D483B">
      <w:pPr>
        <w:numPr>
          <w:ilvl w:val="0"/>
          <w:numId w:val="13"/>
        </w:numPr>
        <w:contextualSpacing/>
      </w:pPr>
      <w:r>
        <w:t>The program should consider and progress identified opportunities to reduce regulatory burden and improve outcomes.</w:t>
      </w:r>
    </w:p>
    <w:p w14:paraId="17DBA287" w14:textId="77777777" w:rsidR="005D483B" w:rsidRPr="005D483B" w:rsidRDefault="005D483B" w:rsidP="005D483B">
      <w:pPr>
        <w:spacing w:after="0"/>
        <w:rPr>
          <w:rFonts w:cs="Calibri"/>
        </w:rPr>
      </w:pPr>
    </w:p>
    <w:p w14:paraId="5FF6E224" w14:textId="77777777" w:rsidR="005D483B" w:rsidRPr="005D483B" w:rsidRDefault="005D483B" w:rsidP="005D483B">
      <w:pPr>
        <w:rPr>
          <w:rFonts w:cs="Calibri"/>
        </w:rPr>
      </w:pPr>
      <w:r w:rsidRPr="005D483B">
        <w:rPr>
          <w:rFonts w:cs="Calibri"/>
          <w:b/>
        </w:rPr>
        <w:t>Program Administration</w:t>
      </w:r>
      <w:r w:rsidRPr="005D483B">
        <w:rPr>
          <w:rFonts w:cs="Calibri"/>
        </w:rPr>
        <w:t xml:space="preserve">:  Whilst </w:t>
      </w:r>
      <w:r w:rsidR="00C24886">
        <w:rPr>
          <w:rFonts w:cs="Calibri"/>
        </w:rPr>
        <w:t xml:space="preserve">there are </w:t>
      </w:r>
      <w:r w:rsidRPr="005D483B">
        <w:rPr>
          <w:rFonts w:cs="Calibri"/>
        </w:rPr>
        <w:t xml:space="preserve">no gaps or issues in program administration that represent fundamental risks to the achievement of objectives, the following opportunities for improvement have been identified.  </w:t>
      </w:r>
    </w:p>
    <w:p w14:paraId="1D4E7BC3" w14:textId="77777777" w:rsidR="005D483B" w:rsidRPr="005D483B" w:rsidRDefault="005D483B" w:rsidP="005D483B">
      <w:pPr>
        <w:spacing w:after="0"/>
        <w:rPr>
          <w:rFonts w:cs="Calibri"/>
        </w:rPr>
      </w:pPr>
      <w:r w:rsidRPr="005D483B">
        <w:rPr>
          <w:rFonts w:cs="Calibri"/>
          <w:u w:val="single"/>
        </w:rPr>
        <w:t>Opportunities to reduce regulatory burden</w:t>
      </w:r>
      <w:r w:rsidRPr="005D483B">
        <w:rPr>
          <w:rFonts w:cs="Calibri"/>
        </w:rPr>
        <w:t>:</w:t>
      </w:r>
    </w:p>
    <w:p w14:paraId="66EEA4E8" w14:textId="77777777" w:rsidR="005D483B" w:rsidRDefault="005D483B" w:rsidP="007049A0">
      <w:pPr>
        <w:pStyle w:val="ListParagraph"/>
        <w:numPr>
          <w:ilvl w:val="0"/>
          <w:numId w:val="65"/>
        </w:numPr>
        <w:spacing w:after="0"/>
      </w:pPr>
      <w:r>
        <w:rPr>
          <w:u w:val="single"/>
        </w:rPr>
        <w:t>GEMS determinations:</w:t>
      </w:r>
      <w:r>
        <w:t xml:space="preserve">  </w:t>
      </w:r>
    </w:p>
    <w:p w14:paraId="6C39338B" w14:textId="77777777" w:rsidR="005D483B" w:rsidRDefault="005D483B" w:rsidP="007049A0">
      <w:pPr>
        <w:pStyle w:val="ListParagraph"/>
        <w:numPr>
          <w:ilvl w:val="1"/>
          <w:numId w:val="65"/>
        </w:numPr>
        <w:spacing w:after="0"/>
      </w:pPr>
      <w:r>
        <w:t xml:space="preserve">Stakeholders believe a continued focus on international harmonisation (for both test methods and energy efficiency standards) will be key in mitigating future burden.  </w:t>
      </w:r>
    </w:p>
    <w:p w14:paraId="697B3E79" w14:textId="77777777" w:rsidR="005D483B" w:rsidRDefault="005D483B" w:rsidP="00793E53">
      <w:pPr>
        <w:pStyle w:val="ListParagraph"/>
        <w:numPr>
          <w:ilvl w:val="1"/>
          <w:numId w:val="65"/>
        </w:numPr>
        <w:spacing w:after="0"/>
      </w:pPr>
      <w:r>
        <w:t xml:space="preserve">Increasing the pace at which determinations </w:t>
      </w:r>
      <w:r w:rsidR="009110CF">
        <w:t xml:space="preserve">(including research and RISs) </w:t>
      </w:r>
      <w:r>
        <w:t xml:space="preserve">are </w:t>
      </w:r>
      <w:r w:rsidR="00793E53">
        <w:t xml:space="preserve">developed and agreed </w:t>
      </w:r>
      <w:r>
        <w:t>will also reduce burden.</w:t>
      </w:r>
    </w:p>
    <w:p w14:paraId="3818A636" w14:textId="77777777" w:rsidR="005D483B" w:rsidRDefault="005D483B" w:rsidP="007049A0">
      <w:pPr>
        <w:pStyle w:val="ListParagraph"/>
        <w:numPr>
          <w:ilvl w:val="0"/>
          <w:numId w:val="65"/>
        </w:numPr>
        <w:spacing w:after="120"/>
      </w:pPr>
      <w:r w:rsidRPr="006726D5">
        <w:rPr>
          <w:u w:val="single"/>
        </w:rPr>
        <w:lastRenderedPageBreak/>
        <w:t>Product registration:</w:t>
      </w:r>
      <w:r w:rsidRPr="006726D5">
        <w:rPr>
          <w:b/>
        </w:rPr>
        <w:t xml:space="preserve"> </w:t>
      </w:r>
    </w:p>
    <w:p w14:paraId="24AD41EE" w14:textId="77777777" w:rsidR="005D483B" w:rsidRDefault="005D483B" w:rsidP="007049A0">
      <w:pPr>
        <w:pStyle w:val="ListParagraph"/>
        <w:numPr>
          <w:ilvl w:val="1"/>
          <w:numId w:val="65"/>
        </w:numPr>
        <w:spacing w:after="120"/>
      </w:pPr>
      <w:r>
        <w:t xml:space="preserve">Industry respondents are concerned that the Department progress several practical actions to resolve identified issues with the registration system to simplify the process.  This includes some </w:t>
      </w:r>
      <w:r w:rsidRPr="00A71C14">
        <w:t>practic</w:t>
      </w:r>
      <w:r>
        <w:t xml:space="preserve">alities of completing forms, </w:t>
      </w:r>
      <w:r w:rsidRPr="00A71C14">
        <w:t>making payments</w:t>
      </w:r>
      <w:r>
        <w:t xml:space="preserve"> and removing any information collected which isn’t strictly necessary</w:t>
      </w:r>
      <w:r>
        <w:rPr>
          <w:rStyle w:val="FootnoteReference"/>
        </w:rPr>
        <w:footnoteReference w:id="14"/>
      </w:r>
      <w:r w:rsidR="00B279BE">
        <w:t>.</w:t>
      </w:r>
    </w:p>
    <w:p w14:paraId="25C718E9" w14:textId="77777777" w:rsidR="005D483B" w:rsidRDefault="005D483B" w:rsidP="007049A0">
      <w:pPr>
        <w:pStyle w:val="ListParagraph"/>
        <w:numPr>
          <w:ilvl w:val="1"/>
          <w:numId w:val="65"/>
        </w:numPr>
        <w:spacing w:after="120"/>
      </w:pPr>
      <w:r>
        <w:t xml:space="preserve">Whilst most respondents were accepting that </w:t>
      </w:r>
      <w:r w:rsidR="006122B4">
        <w:t xml:space="preserve">financial </w:t>
      </w:r>
      <w:r>
        <w:t>contributions</w:t>
      </w:r>
      <w:r w:rsidR="006122B4">
        <w:t xml:space="preserve"> made via the registration fee</w:t>
      </w:r>
      <w:r>
        <w:t xml:space="preserve"> were appropriate, a reduction in fees would be welcome amongst industry (although it is less of a concern than administrative issues).  </w:t>
      </w:r>
    </w:p>
    <w:p w14:paraId="62136721" w14:textId="77777777" w:rsidR="005D483B" w:rsidRPr="00A71C14" w:rsidRDefault="005D483B" w:rsidP="007049A0">
      <w:pPr>
        <w:pStyle w:val="ListParagraph"/>
        <w:numPr>
          <w:ilvl w:val="1"/>
          <w:numId w:val="65"/>
        </w:numPr>
        <w:spacing w:after="120"/>
      </w:pPr>
      <w:r>
        <w:t>Consideration could also be given to removing the requirement for test reports to be lodged</w:t>
      </w:r>
      <w:r w:rsidR="002079F3">
        <w:t xml:space="preserve"> in cases where they are not routinely used by technical assessment officers in assessing a registration request</w:t>
      </w:r>
      <w:r>
        <w:t xml:space="preserve">. </w:t>
      </w:r>
      <w:r w:rsidR="00421924">
        <w:t xml:space="preserve"> </w:t>
      </w:r>
      <w:r w:rsidRPr="001D0742">
        <w:t>In th</w:t>
      </w:r>
      <w:r w:rsidR="002079F3">
        <w:t xml:space="preserve">ese </w:t>
      </w:r>
      <w:r w:rsidRPr="001D0742">
        <w:t>case</w:t>
      </w:r>
      <w:r w:rsidR="002079F3">
        <w:t>s</w:t>
      </w:r>
      <w:r w:rsidRPr="001D0742">
        <w:t>, suppliers would still be required to provide evidence for their declaration should the need arise.</w:t>
      </w:r>
      <w:r w:rsidR="00B279BE">
        <w:t xml:space="preserve"> </w:t>
      </w:r>
    </w:p>
    <w:p w14:paraId="1D683794" w14:textId="77777777" w:rsidR="005D483B" w:rsidRPr="005D483B" w:rsidRDefault="005D483B" w:rsidP="005D483B">
      <w:pPr>
        <w:pStyle w:val="ListParagraph"/>
        <w:spacing w:after="0"/>
        <w:rPr>
          <w:rFonts w:cs="Calibri"/>
        </w:rPr>
      </w:pPr>
    </w:p>
    <w:p w14:paraId="4228F365" w14:textId="77777777" w:rsidR="005D483B" w:rsidRDefault="005D483B" w:rsidP="005D483B">
      <w:r w:rsidRPr="005D483B">
        <w:rPr>
          <w:rFonts w:cs="Calibri"/>
          <w:u w:val="single"/>
        </w:rPr>
        <w:t>Opportunities to improve outcomes</w:t>
      </w:r>
      <w:r w:rsidRPr="005D483B">
        <w:rPr>
          <w:rFonts w:cs="Calibri"/>
        </w:rPr>
        <w:t xml:space="preserve">:  </w:t>
      </w:r>
    </w:p>
    <w:p w14:paraId="380E403C" w14:textId="77777777" w:rsidR="005D483B" w:rsidRDefault="005D483B" w:rsidP="007049A0">
      <w:pPr>
        <w:pStyle w:val="ListParagraph"/>
        <w:numPr>
          <w:ilvl w:val="0"/>
          <w:numId w:val="66"/>
        </w:numPr>
        <w:spacing w:after="0"/>
      </w:pPr>
      <w:r w:rsidRPr="00B40B5D">
        <w:rPr>
          <w:u w:val="single"/>
        </w:rPr>
        <w:t>Communication with stakeholders and strategic planning:</w:t>
      </w:r>
      <w:r>
        <w:t xml:space="preserve"> </w:t>
      </w:r>
    </w:p>
    <w:p w14:paraId="15C30FC5" w14:textId="77777777" w:rsidR="005D483B" w:rsidRDefault="005D483B" w:rsidP="007049A0">
      <w:pPr>
        <w:pStyle w:val="ListParagraph"/>
        <w:numPr>
          <w:ilvl w:val="1"/>
          <w:numId w:val="66"/>
        </w:numPr>
        <w:spacing w:after="0"/>
      </w:pPr>
      <w:r>
        <w:t xml:space="preserve">Stakeholders reported </w:t>
      </w:r>
      <w:r w:rsidRPr="00A71C14">
        <w:t>mixed experiences of communication with DoI</w:t>
      </w:r>
      <w:r>
        <w:t xml:space="preserve">S, an element of which included a lack of understanding and engagement on the strategic direction of the program.  </w:t>
      </w:r>
      <w:r w:rsidRPr="00A71C14">
        <w:t xml:space="preserve">The introduction of </w:t>
      </w:r>
      <w:r>
        <w:t xml:space="preserve">three year strategic planning and </w:t>
      </w:r>
      <w:r w:rsidRPr="00A71C14">
        <w:t xml:space="preserve">a stakeholder engagement plan </w:t>
      </w:r>
      <w:r>
        <w:t>sh</w:t>
      </w:r>
      <w:r w:rsidRPr="00A71C14">
        <w:t xml:space="preserve">ould </w:t>
      </w:r>
      <w:r>
        <w:t xml:space="preserve">help improve this.  Improved stakeholder awareness, understanding and ability to influence the direction of the program at an early stage </w:t>
      </w:r>
      <w:r w:rsidR="000C6CA4">
        <w:t>c</w:t>
      </w:r>
      <w:r>
        <w:t>ould bring a number of potential benefits, such as accelerating RIS processes</w:t>
      </w:r>
      <w:r w:rsidRPr="00A71C14">
        <w:t xml:space="preserve">, </w:t>
      </w:r>
      <w:r w:rsidR="000C6CA4">
        <w:t>if</w:t>
      </w:r>
      <w:r w:rsidRPr="00A71C14">
        <w:t xml:space="preserve"> potential difficulties </w:t>
      </w:r>
      <w:r w:rsidR="000C6CA4">
        <w:t xml:space="preserve">had </w:t>
      </w:r>
      <w:r>
        <w:t xml:space="preserve">already have been explored prior to it starting.  </w:t>
      </w:r>
    </w:p>
    <w:p w14:paraId="7740C776" w14:textId="77777777" w:rsidR="005D483B" w:rsidRDefault="005D483B" w:rsidP="007049A0">
      <w:pPr>
        <w:pStyle w:val="ListParagraph"/>
        <w:numPr>
          <w:ilvl w:val="1"/>
          <w:numId w:val="66"/>
        </w:numPr>
        <w:spacing w:after="0"/>
      </w:pPr>
      <w:r>
        <w:t xml:space="preserve">The input of consumer and environmental groups could be improved.  This could be achieved through strategic planning consultation (seen as a more effective forum for such groups to engage) and considering supporting resources for this, such as through </w:t>
      </w:r>
      <w:r w:rsidR="00687C5D">
        <w:t xml:space="preserve">Energy Consumers Australia (which </w:t>
      </w:r>
      <w:r w:rsidR="00495ACC">
        <w:t>superseded</w:t>
      </w:r>
      <w:r w:rsidR="00687C5D">
        <w:t xml:space="preserve"> </w:t>
      </w:r>
      <w:r>
        <w:t xml:space="preserve">the </w:t>
      </w:r>
      <w:r w:rsidRPr="00A71C14">
        <w:t>Consumer Advocacy Panel</w:t>
      </w:r>
      <w:r w:rsidRPr="00A71C14">
        <w:rPr>
          <w:rStyle w:val="FootnoteReference"/>
        </w:rPr>
        <w:footnoteReference w:id="15"/>
      </w:r>
      <w:r w:rsidR="00687C5D">
        <w:t xml:space="preserve"> in January 2015)</w:t>
      </w:r>
      <w:r>
        <w:t>.</w:t>
      </w:r>
    </w:p>
    <w:p w14:paraId="0B310457" w14:textId="77777777" w:rsidR="005D483B" w:rsidRDefault="005D483B" w:rsidP="007049A0">
      <w:pPr>
        <w:pStyle w:val="ListParagraph"/>
        <w:numPr>
          <w:ilvl w:val="0"/>
          <w:numId w:val="66"/>
        </w:numPr>
        <w:spacing w:after="0"/>
      </w:pPr>
      <w:r w:rsidRPr="00203A5F">
        <w:rPr>
          <w:u w:val="single"/>
        </w:rPr>
        <w:t>Compliance</w:t>
      </w:r>
      <w:r>
        <w:rPr>
          <w:u w:val="single"/>
        </w:rPr>
        <w:t xml:space="preserve"> and enforcement</w:t>
      </w:r>
      <w:r w:rsidRPr="00203A5F">
        <w:rPr>
          <w:u w:val="single"/>
        </w:rPr>
        <w:t>:</w:t>
      </w:r>
      <w:r w:rsidRPr="00A71C14">
        <w:t xml:space="preserve"> </w:t>
      </w:r>
      <w:r>
        <w:t xml:space="preserve"> Whilst there is broad recognition that this is an area demonstrating good practice, b</w:t>
      </w:r>
      <w:r w:rsidRPr="00A71C14">
        <w:t xml:space="preserve">oth </w:t>
      </w:r>
      <w:r w:rsidR="008252D3">
        <w:t>g</w:t>
      </w:r>
      <w:r>
        <w:t>overnment</w:t>
      </w:r>
      <w:r w:rsidRPr="00A71C14">
        <w:t xml:space="preserve"> and industry </w:t>
      </w:r>
      <w:r>
        <w:t>stakeholders</w:t>
      </w:r>
      <w:r w:rsidRPr="00A71C14">
        <w:t xml:space="preserve"> suggested </w:t>
      </w:r>
      <w:r>
        <w:t xml:space="preserve">that there are </w:t>
      </w:r>
      <w:r w:rsidRPr="00A71C14">
        <w:t>opportunities to further target check-testing in areas at risk of non-compliance.</w:t>
      </w:r>
      <w:r>
        <w:t xml:space="preserve">  </w:t>
      </w:r>
      <w:r w:rsidRPr="00A71C14">
        <w:t xml:space="preserve">In order to act as an effective deterrent to non-compliance and to foster trust in GEMS, </w:t>
      </w:r>
      <w:r>
        <w:t xml:space="preserve">registration and labelling surveys, </w:t>
      </w:r>
      <w:r w:rsidRPr="00A71C14">
        <w:t xml:space="preserve">testing activity and the penalties imposed for violations </w:t>
      </w:r>
      <w:r>
        <w:t xml:space="preserve">should be </w:t>
      </w:r>
      <w:r w:rsidRPr="00A71C14">
        <w:t>more visible</w:t>
      </w:r>
      <w:r w:rsidRPr="00A71C14">
        <w:rPr>
          <w:rStyle w:val="FootnoteReference"/>
        </w:rPr>
        <w:footnoteReference w:id="16"/>
      </w:r>
      <w:r w:rsidRPr="00A71C14">
        <w:t>.</w:t>
      </w:r>
      <w:r w:rsidR="00C24886">
        <w:t xml:space="preserve"> </w:t>
      </w:r>
      <w:r w:rsidRPr="00A71C14">
        <w:t xml:space="preserve"> Publicising this information more widely</w:t>
      </w:r>
      <w:r w:rsidRPr="00A71C14">
        <w:rPr>
          <w:rStyle w:val="FootnoteReference"/>
        </w:rPr>
        <w:footnoteReference w:id="17"/>
      </w:r>
      <w:r w:rsidRPr="00A71C14">
        <w:t xml:space="preserve"> would also reassure </w:t>
      </w:r>
      <w:r>
        <w:t xml:space="preserve">those who may be unclear </w:t>
      </w:r>
      <w:r w:rsidRPr="00A71C14">
        <w:t>on the amount of compliance activity DoI</w:t>
      </w:r>
      <w:r>
        <w:t>S</w:t>
      </w:r>
      <w:r w:rsidRPr="00A71C14">
        <w:t xml:space="preserve"> undertakes</w:t>
      </w:r>
      <w:r>
        <w:t xml:space="preserve"> and/or are</w:t>
      </w:r>
      <w:r w:rsidRPr="00A71C14">
        <w:t xml:space="preserve"> concerned about ‘cowboy’ operators.</w:t>
      </w:r>
      <w:r w:rsidR="00B279BE">
        <w:t xml:space="preserve"> </w:t>
      </w:r>
    </w:p>
    <w:p w14:paraId="7280247E" w14:textId="77777777" w:rsidR="005D483B" w:rsidRDefault="005D483B" w:rsidP="005D483B">
      <w:pPr>
        <w:spacing w:after="0"/>
        <w:rPr>
          <w:rFonts w:ascii="Times New Roman" w:hAnsi="Times New Roman"/>
          <w:sz w:val="24"/>
          <w:szCs w:val="24"/>
        </w:rPr>
      </w:pPr>
    </w:p>
    <w:p w14:paraId="3904DA07" w14:textId="77777777" w:rsidR="005D483B" w:rsidRPr="00B21982" w:rsidRDefault="005D483B" w:rsidP="005D483B">
      <w:pPr>
        <w:spacing w:after="0"/>
        <w:rPr>
          <w:rFonts w:ascii="Times New Roman" w:hAnsi="Times New Roman"/>
          <w:i/>
          <w:sz w:val="24"/>
          <w:szCs w:val="24"/>
        </w:rPr>
      </w:pPr>
      <w:r w:rsidRPr="00B21982">
        <w:rPr>
          <w:rFonts w:ascii="Times New Roman" w:hAnsi="Times New Roman"/>
          <w:i/>
          <w:sz w:val="24"/>
          <w:szCs w:val="24"/>
        </w:rPr>
        <w:t>Key recommendations</w:t>
      </w:r>
    </w:p>
    <w:p w14:paraId="0A2D19E2" w14:textId="77777777" w:rsidR="005D483B" w:rsidRDefault="005D483B" w:rsidP="00320FDC">
      <w:pPr>
        <w:numPr>
          <w:ilvl w:val="6"/>
          <w:numId w:val="43"/>
        </w:numPr>
        <w:spacing w:after="0"/>
        <w:ind w:left="284"/>
      </w:pPr>
      <w:r w:rsidRPr="00882991">
        <w:rPr>
          <w:u w:val="single"/>
        </w:rPr>
        <w:t>GEMS determinations</w:t>
      </w:r>
      <w:r>
        <w:t xml:space="preserve"> </w:t>
      </w:r>
      <w:r w:rsidRPr="00CA732E">
        <w:t>–</w:t>
      </w:r>
      <w:r>
        <w:t xml:space="preserve"> </w:t>
      </w:r>
      <w:r w:rsidRPr="00CA732E">
        <w:t xml:space="preserve">the </w:t>
      </w:r>
      <w:r>
        <w:t xml:space="preserve">overall GEMS determinations </w:t>
      </w:r>
      <w:r w:rsidRPr="00CA732E">
        <w:t xml:space="preserve">process </w:t>
      </w:r>
      <w:r>
        <w:t>should be maintained and opportunities for improvements identified within this review explored.  This includes continuing the focus on international harmonisation, implementing a set timetable for development,</w:t>
      </w:r>
      <w:r w:rsidR="00DF7158">
        <w:t xml:space="preserve"> </w:t>
      </w:r>
      <w:r w:rsidR="008252D3">
        <w:t xml:space="preserve">and </w:t>
      </w:r>
      <w:r w:rsidR="005C6D97">
        <w:lastRenderedPageBreak/>
        <w:t>greater cooperation between with the program and</w:t>
      </w:r>
      <w:r w:rsidR="008252D3">
        <w:t xml:space="preserve"> the Office of Best Practice Regulation (OBPR)</w:t>
      </w:r>
      <w:r>
        <w:t xml:space="preserve">.  </w:t>
      </w:r>
    </w:p>
    <w:p w14:paraId="7F46B6AF" w14:textId="77777777" w:rsidR="005D483B" w:rsidRPr="007A4D50" w:rsidRDefault="005D483B" w:rsidP="00320FDC">
      <w:pPr>
        <w:numPr>
          <w:ilvl w:val="6"/>
          <w:numId w:val="43"/>
        </w:numPr>
        <w:spacing w:after="0"/>
        <w:ind w:left="284"/>
      </w:pPr>
      <w:r>
        <w:rPr>
          <w:u w:val="single"/>
        </w:rPr>
        <w:t>Product r</w:t>
      </w:r>
      <w:r w:rsidRPr="007A4D50">
        <w:rPr>
          <w:u w:val="single"/>
        </w:rPr>
        <w:t xml:space="preserve">egistration </w:t>
      </w:r>
      <w:r w:rsidRPr="007A4D50">
        <w:t xml:space="preserve">- practical issues with registration should be addressed as a priority to reduce administrative burden.  A </w:t>
      </w:r>
      <w:r w:rsidR="00E748CB">
        <w:t>change in registration requirements for particular product categories, could be considered in order to make the fees more equitable</w:t>
      </w:r>
      <w:r w:rsidRPr="007A4D50">
        <w:t xml:space="preserve">.  </w:t>
      </w:r>
    </w:p>
    <w:p w14:paraId="56DB51A2" w14:textId="77777777" w:rsidR="005D483B" w:rsidRDefault="005D483B" w:rsidP="00320FDC">
      <w:pPr>
        <w:numPr>
          <w:ilvl w:val="6"/>
          <w:numId w:val="43"/>
        </w:numPr>
        <w:spacing w:after="0"/>
        <w:ind w:left="284"/>
      </w:pPr>
      <w:r w:rsidRPr="00B40B5D">
        <w:rPr>
          <w:u w:val="single"/>
        </w:rPr>
        <w:t>Communication with stakeh</w:t>
      </w:r>
      <w:r>
        <w:rPr>
          <w:u w:val="single"/>
        </w:rPr>
        <w:t>olders and strategic planning</w:t>
      </w:r>
      <w:r>
        <w:t xml:space="preserve"> </w:t>
      </w:r>
      <w:r w:rsidRPr="00CA732E">
        <w:t xml:space="preserve">– the Department should continue its efforts to extend and formalise </w:t>
      </w:r>
      <w:r>
        <w:t xml:space="preserve">stakeholder engagement and strategic </w:t>
      </w:r>
      <w:r w:rsidRPr="00CA732E">
        <w:t>planning for GEMS</w:t>
      </w:r>
      <w:r>
        <w:t>.</w:t>
      </w:r>
    </w:p>
    <w:p w14:paraId="36D789A5" w14:textId="77777777" w:rsidR="005D483B" w:rsidRDefault="005D483B" w:rsidP="00320FDC">
      <w:pPr>
        <w:numPr>
          <w:ilvl w:val="6"/>
          <w:numId w:val="43"/>
        </w:numPr>
        <w:spacing w:after="0"/>
        <w:ind w:left="284"/>
      </w:pPr>
      <w:r w:rsidRPr="005D3ACB">
        <w:rPr>
          <w:u w:val="single"/>
        </w:rPr>
        <w:t>Compliance and enforcement</w:t>
      </w:r>
      <w:r>
        <w:t xml:space="preserve"> - </w:t>
      </w:r>
      <w:r w:rsidR="008252D3">
        <w:t>d</w:t>
      </w:r>
      <w:r>
        <w:t xml:space="preserve">elivering compliance and enforcement effectively should remain a top priority.  </w:t>
      </w:r>
    </w:p>
    <w:p w14:paraId="05C857F6" w14:textId="77777777" w:rsidR="005D483B" w:rsidRPr="005D3ACB" w:rsidRDefault="005D483B" w:rsidP="00320FDC">
      <w:pPr>
        <w:numPr>
          <w:ilvl w:val="6"/>
          <w:numId w:val="43"/>
        </w:numPr>
        <w:spacing w:after="0"/>
        <w:ind w:left="284"/>
      </w:pPr>
      <w:r w:rsidRPr="001C1AB4">
        <w:rPr>
          <w:u w:val="single"/>
        </w:rPr>
        <w:t>Other initiatives</w:t>
      </w:r>
      <w:r w:rsidRPr="005D3ACB">
        <w:t xml:space="preserve"> – </w:t>
      </w:r>
      <w:r w:rsidR="0051593B">
        <w:t xml:space="preserve">innovations </w:t>
      </w:r>
      <w:r w:rsidRPr="005D3ACB">
        <w:t xml:space="preserve">such as climate </w:t>
      </w:r>
      <w:r w:rsidR="0051593B">
        <w:t xml:space="preserve">zone </w:t>
      </w:r>
      <w:r w:rsidRPr="005D3ACB">
        <w:t xml:space="preserve">labelling </w:t>
      </w:r>
      <w:r w:rsidR="0051593B">
        <w:t xml:space="preserve">and supporting policy initiatives such as </w:t>
      </w:r>
      <w:r w:rsidRPr="005D3ACB">
        <w:t xml:space="preserve">the website and </w:t>
      </w:r>
      <w:r w:rsidR="00C105FA">
        <w:t xml:space="preserve">mobile </w:t>
      </w:r>
      <w:r w:rsidRPr="005D3ACB">
        <w:t>application should continue to be developed.</w:t>
      </w:r>
    </w:p>
    <w:p w14:paraId="71E323BF" w14:textId="77777777" w:rsidR="005D483B" w:rsidRPr="005D483B" w:rsidRDefault="005D483B" w:rsidP="005D483B">
      <w:pPr>
        <w:spacing w:after="0"/>
        <w:rPr>
          <w:rFonts w:cs="Calibri"/>
        </w:rPr>
      </w:pPr>
    </w:p>
    <w:p w14:paraId="31DF5D1C" w14:textId="77777777" w:rsidR="007B46ED" w:rsidRDefault="005D483B" w:rsidP="005D483B">
      <w:pPr>
        <w:spacing w:after="0"/>
        <w:rPr>
          <w:rFonts w:cs="Calibri"/>
        </w:rPr>
      </w:pPr>
      <w:r w:rsidRPr="005D483B">
        <w:rPr>
          <w:rFonts w:cs="Calibri"/>
          <w:b/>
        </w:rPr>
        <w:t>Program funding</w:t>
      </w:r>
      <w:r w:rsidRPr="005D483B">
        <w:rPr>
          <w:rFonts w:cs="Calibri"/>
        </w:rPr>
        <w:t xml:space="preserve">  </w:t>
      </w:r>
    </w:p>
    <w:p w14:paraId="6103C56D" w14:textId="77777777" w:rsidR="007B46ED" w:rsidRDefault="005D483B" w:rsidP="006E5786">
      <w:pPr>
        <w:rPr>
          <w:rFonts w:ascii="Times New Roman" w:hAnsi="Times New Roman"/>
          <w:i/>
          <w:sz w:val="24"/>
          <w:szCs w:val="24"/>
        </w:rPr>
      </w:pPr>
      <w:r w:rsidRPr="005D483B">
        <w:rPr>
          <w:rFonts w:cs="Calibri"/>
        </w:rPr>
        <w:t>The existing funding model is broadly accepted by stakeholders</w:t>
      </w:r>
      <w:r w:rsidR="00E748CB" w:rsidRPr="00E748CB">
        <w:t xml:space="preserve"> </w:t>
      </w:r>
      <w:r w:rsidR="00E748CB">
        <w:t>and could be maintained (with consideration given to the above recommendations relating to the registration process)</w:t>
      </w:r>
      <w:r w:rsidR="008A7856">
        <w:rPr>
          <w:rFonts w:cs="Calibri"/>
        </w:rPr>
        <w:t>.</w:t>
      </w:r>
    </w:p>
    <w:p w14:paraId="68B9C0A9" w14:textId="77777777" w:rsidR="007B46ED" w:rsidRPr="00B21982" w:rsidRDefault="007B46ED" w:rsidP="007B46ED">
      <w:pPr>
        <w:spacing w:after="0"/>
        <w:rPr>
          <w:rFonts w:ascii="Times New Roman" w:hAnsi="Times New Roman"/>
          <w:i/>
          <w:sz w:val="24"/>
          <w:szCs w:val="24"/>
        </w:rPr>
      </w:pPr>
      <w:r w:rsidRPr="00B21982">
        <w:rPr>
          <w:rFonts w:ascii="Times New Roman" w:hAnsi="Times New Roman"/>
          <w:i/>
          <w:sz w:val="24"/>
          <w:szCs w:val="24"/>
        </w:rPr>
        <w:t>Key recommendations</w:t>
      </w:r>
    </w:p>
    <w:p w14:paraId="3920F9F9" w14:textId="77777777" w:rsidR="005D483B" w:rsidRPr="005D483B" w:rsidRDefault="008A7856" w:rsidP="00C0330B">
      <w:pPr>
        <w:spacing w:after="0"/>
        <w:ind w:left="284" w:hanging="284"/>
      </w:pPr>
      <w:r>
        <w:t>1</w:t>
      </w:r>
      <w:r w:rsidR="007B46ED">
        <w:t xml:space="preserve">. </w:t>
      </w:r>
      <w:r w:rsidR="00806C30">
        <w:t xml:space="preserve">Take account of stakeholder feedback in </w:t>
      </w:r>
      <w:r w:rsidR="00C0330B">
        <w:t xml:space="preserve">relation to </w:t>
      </w:r>
      <w:r w:rsidR="00806C30">
        <w:t>cost recovery levels when reviewing</w:t>
      </w:r>
      <w:r w:rsidR="0065504B">
        <w:t xml:space="preserve"> </w:t>
      </w:r>
      <w:r>
        <w:t xml:space="preserve">registration </w:t>
      </w:r>
      <w:r w:rsidR="00806C30">
        <w:t>fees in October 2015</w:t>
      </w:r>
      <w:r w:rsidR="005D483B" w:rsidRPr="005D483B">
        <w:t>.</w:t>
      </w:r>
    </w:p>
    <w:p w14:paraId="4122927C" w14:textId="77777777" w:rsidR="00A74BBF" w:rsidRDefault="000E0635" w:rsidP="00565E13">
      <w:pPr>
        <w:pStyle w:val="Heading1"/>
      </w:pPr>
      <w:r>
        <w:br w:type="page"/>
      </w:r>
      <w:bookmarkStart w:id="13" w:name="_Ref413349207"/>
      <w:bookmarkStart w:id="14" w:name="_Toc422298362"/>
      <w:r w:rsidR="00720E1A">
        <w:lastRenderedPageBreak/>
        <w:t>Introduction</w:t>
      </w:r>
      <w:r w:rsidR="00233AC7">
        <w:t xml:space="preserve"> and objectives</w:t>
      </w:r>
      <w:bookmarkEnd w:id="4"/>
      <w:bookmarkEnd w:id="13"/>
      <w:bookmarkEnd w:id="14"/>
    </w:p>
    <w:p w14:paraId="665A6E65" w14:textId="77777777" w:rsidR="00DB132E" w:rsidRPr="00E85877" w:rsidRDefault="00797B33" w:rsidP="009F4031">
      <w:pPr>
        <w:spacing w:after="0"/>
        <w:rPr>
          <w:lang w:eastAsia="x-none"/>
        </w:rPr>
      </w:pPr>
      <w:r w:rsidRPr="006178D9">
        <w:rPr>
          <w:lang w:eastAsia="x-none"/>
        </w:rPr>
        <w:t>This section</w:t>
      </w:r>
      <w:r w:rsidR="00DB132E" w:rsidRPr="006178D9">
        <w:rPr>
          <w:lang w:eastAsia="x-none"/>
        </w:rPr>
        <w:t xml:space="preserve"> </w:t>
      </w:r>
      <w:r w:rsidR="002772B5">
        <w:rPr>
          <w:lang w:eastAsia="x-none"/>
        </w:rPr>
        <w:t xml:space="preserve">introduces the Review of the </w:t>
      </w:r>
      <w:r w:rsidR="00252EEF" w:rsidRPr="00252EEF">
        <w:rPr>
          <w:lang w:eastAsia="x-none"/>
        </w:rPr>
        <w:t xml:space="preserve">Greenhouse and Energy Minimum Standards (GEMS) </w:t>
      </w:r>
      <w:r w:rsidR="00252EEF" w:rsidRPr="00E85877">
        <w:rPr>
          <w:lang w:eastAsia="x-none"/>
        </w:rPr>
        <w:t>Legislative Scheme</w:t>
      </w:r>
      <w:r w:rsidR="006B14C4" w:rsidRPr="00E85877">
        <w:rPr>
          <w:lang w:eastAsia="x-none"/>
        </w:rPr>
        <w:t xml:space="preserve"> and underpinning Inter</w:t>
      </w:r>
      <w:r w:rsidR="00E55ECD">
        <w:rPr>
          <w:lang w:eastAsia="x-none"/>
        </w:rPr>
        <w:t>-G</w:t>
      </w:r>
      <w:r w:rsidR="006B14C4" w:rsidRPr="00E85877">
        <w:rPr>
          <w:lang w:eastAsia="x-none"/>
        </w:rPr>
        <w:t>overnmental Agreement (IGA)</w:t>
      </w:r>
      <w:r w:rsidR="00A03B5F" w:rsidRPr="00E85877">
        <w:rPr>
          <w:lang w:eastAsia="x-none"/>
        </w:rPr>
        <w:t>, including</w:t>
      </w:r>
      <w:r w:rsidR="006178D9" w:rsidRPr="00E85877">
        <w:rPr>
          <w:lang w:eastAsia="x-none"/>
        </w:rPr>
        <w:t>:</w:t>
      </w:r>
      <w:r w:rsidR="00DB132E" w:rsidRPr="00E85877">
        <w:rPr>
          <w:lang w:eastAsia="x-none"/>
        </w:rPr>
        <w:t xml:space="preserve"> </w:t>
      </w:r>
    </w:p>
    <w:p w14:paraId="364A003E" w14:textId="77777777" w:rsidR="006178D9" w:rsidRPr="00997283" w:rsidRDefault="00DB132E" w:rsidP="00320FDC">
      <w:pPr>
        <w:numPr>
          <w:ilvl w:val="0"/>
          <w:numId w:val="18"/>
        </w:numPr>
        <w:spacing w:after="0"/>
        <w:rPr>
          <w:lang w:eastAsia="x-none"/>
        </w:rPr>
      </w:pPr>
      <w:r w:rsidRPr="00997283">
        <w:rPr>
          <w:lang w:eastAsia="x-none"/>
        </w:rPr>
        <w:t>An introduction to s</w:t>
      </w:r>
      <w:r w:rsidR="006178D9" w:rsidRPr="00997283">
        <w:rPr>
          <w:lang w:eastAsia="x-none"/>
        </w:rPr>
        <w:t>tandards and labelling programs</w:t>
      </w:r>
      <w:r w:rsidR="008252D3">
        <w:rPr>
          <w:lang w:eastAsia="x-none"/>
        </w:rPr>
        <w:t>;</w:t>
      </w:r>
      <w:r w:rsidRPr="00997283">
        <w:rPr>
          <w:lang w:eastAsia="x-none"/>
        </w:rPr>
        <w:t xml:space="preserve"> </w:t>
      </w:r>
    </w:p>
    <w:p w14:paraId="4FF82569" w14:textId="77777777" w:rsidR="00DB132E" w:rsidRPr="00997283" w:rsidRDefault="006178D9" w:rsidP="00320FDC">
      <w:pPr>
        <w:numPr>
          <w:ilvl w:val="0"/>
          <w:numId w:val="18"/>
        </w:numPr>
        <w:spacing w:after="0"/>
        <w:rPr>
          <w:lang w:eastAsia="x-none"/>
        </w:rPr>
      </w:pPr>
      <w:r w:rsidRPr="00997283">
        <w:rPr>
          <w:lang w:eastAsia="x-none"/>
        </w:rPr>
        <w:t>B</w:t>
      </w:r>
      <w:r w:rsidR="00C6112D" w:rsidRPr="00997283">
        <w:rPr>
          <w:lang w:eastAsia="x-none"/>
        </w:rPr>
        <w:t xml:space="preserve">ackground to </w:t>
      </w:r>
      <w:r w:rsidR="00E85877" w:rsidRPr="00997283">
        <w:rPr>
          <w:lang w:eastAsia="x-none"/>
        </w:rPr>
        <w:t>GEMS, the IGA and Equipment Energy Efficiency (E3) program</w:t>
      </w:r>
      <w:r w:rsidR="008252D3">
        <w:rPr>
          <w:lang w:eastAsia="x-none"/>
        </w:rPr>
        <w:t>; and</w:t>
      </w:r>
      <w:r w:rsidR="00DB132E" w:rsidRPr="00997283">
        <w:rPr>
          <w:lang w:eastAsia="x-none"/>
        </w:rPr>
        <w:t xml:space="preserve"> </w:t>
      </w:r>
    </w:p>
    <w:p w14:paraId="7DC013A5" w14:textId="77777777" w:rsidR="00E85877" w:rsidRPr="00997283" w:rsidRDefault="00E85877" w:rsidP="00320FDC">
      <w:pPr>
        <w:numPr>
          <w:ilvl w:val="0"/>
          <w:numId w:val="18"/>
        </w:numPr>
        <w:spacing w:after="0"/>
        <w:rPr>
          <w:lang w:eastAsia="x-none"/>
        </w:rPr>
      </w:pPr>
      <w:r>
        <w:rPr>
          <w:lang w:eastAsia="x-none"/>
        </w:rPr>
        <w:t>The c</w:t>
      </w:r>
      <w:r w:rsidR="00DB132E" w:rsidRPr="00997283">
        <w:rPr>
          <w:lang w:eastAsia="x-none"/>
        </w:rPr>
        <w:t>ontext</w:t>
      </w:r>
      <w:r>
        <w:rPr>
          <w:lang w:eastAsia="x-none"/>
        </w:rPr>
        <w:t xml:space="preserve">, </w:t>
      </w:r>
      <w:r w:rsidR="00DB132E" w:rsidRPr="00997283">
        <w:rPr>
          <w:lang w:eastAsia="x-none"/>
        </w:rPr>
        <w:t xml:space="preserve">rationale </w:t>
      </w:r>
      <w:r>
        <w:rPr>
          <w:lang w:eastAsia="x-none"/>
        </w:rPr>
        <w:t xml:space="preserve">and objectives of </w:t>
      </w:r>
      <w:r w:rsidR="00DB132E" w:rsidRPr="00997283">
        <w:rPr>
          <w:lang w:eastAsia="x-none"/>
        </w:rPr>
        <w:t>the review</w:t>
      </w:r>
      <w:r>
        <w:rPr>
          <w:lang w:eastAsia="x-none"/>
        </w:rPr>
        <w:t>.</w:t>
      </w:r>
    </w:p>
    <w:p w14:paraId="4CBE8D5D" w14:textId="77777777" w:rsidR="00797B33" w:rsidRDefault="0016046F" w:rsidP="009F4031">
      <w:pPr>
        <w:pStyle w:val="Heading2"/>
      </w:pPr>
      <w:bookmarkStart w:id="15" w:name="_Toc422298363"/>
      <w:r>
        <w:t>Introduction</w:t>
      </w:r>
      <w:bookmarkEnd w:id="15"/>
    </w:p>
    <w:p w14:paraId="4541FC55" w14:textId="77777777" w:rsidR="00DA1CAF" w:rsidRDefault="00DA1CAF" w:rsidP="009F4031">
      <w:pPr>
        <w:pStyle w:val="Heading3"/>
      </w:pPr>
      <w:bookmarkStart w:id="16" w:name="_Toc422298364"/>
      <w:r>
        <w:t>Introduction to standards and labelling programs</w:t>
      </w:r>
      <w:bookmarkEnd w:id="16"/>
    </w:p>
    <w:p w14:paraId="0F7A10AA" w14:textId="77777777" w:rsidR="00F63584" w:rsidRPr="00F63584" w:rsidRDefault="00F63584" w:rsidP="009F4031">
      <w:pPr>
        <w:autoSpaceDE w:val="0"/>
        <w:autoSpaceDN w:val="0"/>
        <w:adjustRightInd w:val="0"/>
        <w:spacing w:after="0"/>
        <w:rPr>
          <w:rFonts w:cs="Calibri"/>
          <w:szCs w:val="22"/>
        </w:rPr>
      </w:pPr>
      <w:r>
        <w:rPr>
          <w:rFonts w:cs="Calibri"/>
          <w:szCs w:val="22"/>
        </w:rPr>
        <w:t>Standards and labelling programs are commonly implemented policy interventions to improve product energy efficiency.  There are two main elements</w:t>
      </w:r>
      <w:r w:rsidR="008252D3">
        <w:rPr>
          <w:rFonts w:cs="Calibri"/>
          <w:szCs w:val="22"/>
        </w:rPr>
        <w:t xml:space="preserve">: </w:t>
      </w:r>
      <w:r>
        <w:rPr>
          <w:rFonts w:cs="Calibri"/>
          <w:szCs w:val="22"/>
        </w:rPr>
        <w:t xml:space="preserve"> minimum energy performance standards (MEPS) and labelling. </w:t>
      </w:r>
    </w:p>
    <w:p w14:paraId="58DDFDAF" w14:textId="77777777" w:rsidR="00F63584" w:rsidRDefault="00F63584" w:rsidP="009F4031">
      <w:pPr>
        <w:autoSpaceDE w:val="0"/>
        <w:autoSpaceDN w:val="0"/>
        <w:adjustRightInd w:val="0"/>
        <w:spacing w:after="0"/>
        <w:rPr>
          <w:rFonts w:cs="Calibri"/>
          <w:szCs w:val="22"/>
          <w:u w:val="single"/>
        </w:rPr>
      </w:pPr>
    </w:p>
    <w:p w14:paraId="5759F7B1" w14:textId="77777777" w:rsidR="00DA1CAF" w:rsidRPr="007A44BB" w:rsidRDefault="00DA1CAF" w:rsidP="009F4031">
      <w:pPr>
        <w:autoSpaceDE w:val="0"/>
        <w:autoSpaceDN w:val="0"/>
        <w:adjustRightInd w:val="0"/>
        <w:spacing w:after="0"/>
        <w:rPr>
          <w:rFonts w:cs="Calibri"/>
          <w:szCs w:val="22"/>
        </w:rPr>
      </w:pPr>
      <w:r w:rsidRPr="007A44BB">
        <w:rPr>
          <w:rFonts w:cs="Calibri"/>
          <w:szCs w:val="22"/>
          <w:u w:val="single"/>
        </w:rPr>
        <w:t>MEPS</w:t>
      </w:r>
      <w:r w:rsidRPr="007A44BB">
        <w:rPr>
          <w:rFonts w:cs="Calibri"/>
          <w:szCs w:val="22"/>
        </w:rPr>
        <w:t xml:space="preserve"> relate to </w:t>
      </w:r>
      <w:r w:rsidRPr="0096343E">
        <w:rPr>
          <w:rFonts w:cs="Calibri"/>
          <w:szCs w:val="22"/>
        </w:rPr>
        <w:t>requirements</w:t>
      </w:r>
      <w:r w:rsidRPr="007A44BB">
        <w:rPr>
          <w:rFonts w:cs="Calibri"/>
          <w:szCs w:val="22"/>
        </w:rPr>
        <w:t xml:space="preserve"> for the minimum allowable energy efficiency of a product</w:t>
      </w:r>
      <w:r w:rsidR="00F63584">
        <w:rPr>
          <w:rStyle w:val="FootnoteReference"/>
          <w:rFonts w:cs="Calibri"/>
          <w:szCs w:val="22"/>
        </w:rPr>
        <w:footnoteReference w:id="18"/>
      </w:r>
      <w:r w:rsidRPr="007A44BB">
        <w:rPr>
          <w:rFonts w:cs="Calibri"/>
          <w:szCs w:val="22"/>
        </w:rPr>
        <w:t xml:space="preserve">. </w:t>
      </w:r>
      <w:r w:rsidR="00C24886">
        <w:rPr>
          <w:rFonts w:cs="Calibri"/>
          <w:szCs w:val="22"/>
        </w:rPr>
        <w:t xml:space="preserve"> </w:t>
      </w:r>
      <w:r w:rsidRPr="007A44BB">
        <w:rPr>
          <w:rFonts w:cs="Calibri"/>
          <w:szCs w:val="22"/>
        </w:rPr>
        <w:t xml:space="preserve">They provide an energy efficiency ‘floor’ for a product group, below which individual </w:t>
      </w:r>
      <w:r w:rsidR="006173B4">
        <w:rPr>
          <w:rFonts w:cs="Calibri"/>
          <w:szCs w:val="22"/>
        </w:rPr>
        <w:t xml:space="preserve">product </w:t>
      </w:r>
      <w:r w:rsidRPr="007A44BB">
        <w:rPr>
          <w:rFonts w:cs="Calibri"/>
          <w:szCs w:val="22"/>
        </w:rPr>
        <w:t xml:space="preserve">models cannot be sold. </w:t>
      </w:r>
      <w:r w:rsidR="00C24886">
        <w:rPr>
          <w:rFonts w:cs="Calibri"/>
          <w:szCs w:val="22"/>
        </w:rPr>
        <w:t xml:space="preserve"> </w:t>
      </w:r>
      <w:r w:rsidRPr="007A44BB">
        <w:rPr>
          <w:rFonts w:cs="Calibri"/>
          <w:szCs w:val="22"/>
        </w:rPr>
        <w:t>The level of the floor can be raised over time, providing a means of raising the average energy efficiency of the product type.</w:t>
      </w:r>
    </w:p>
    <w:p w14:paraId="31802854" w14:textId="77777777" w:rsidR="00DA1CAF" w:rsidRPr="007A44BB" w:rsidRDefault="00DA1CAF" w:rsidP="009F4031">
      <w:pPr>
        <w:autoSpaceDE w:val="0"/>
        <w:autoSpaceDN w:val="0"/>
        <w:adjustRightInd w:val="0"/>
        <w:spacing w:after="0"/>
        <w:rPr>
          <w:rFonts w:cs="Calibri"/>
          <w:szCs w:val="22"/>
        </w:rPr>
      </w:pPr>
    </w:p>
    <w:p w14:paraId="1C97EEFE" w14:textId="77777777" w:rsidR="00F63584" w:rsidRDefault="00DA1CAF" w:rsidP="009F4031">
      <w:pPr>
        <w:autoSpaceDE w:val="0"/>
        <w:autoSpaceDN w:val="0"/>
        <w:adjustRightInd w:val="0"/>
        <w:spacing w:after="0"/>
        <w:rPr>
          <w:rFonts w:cs="Calibri"/>
          <w:szCs w:val="22"/>
        </w:rPr>
      </w:pPr>
      <w:r w:rsidRPr="007A44BB">
        <w:rPr>
          <w:rFonts w:cs="Calibri"/>
          <w:szCs w:val="22"/>
          <w:u w:val="single"/>
        </w:rPr>
        <w:t xml:space="preserve">Energy </w:t>
      </w:r>
      <w:r w:rsidR="008252D3">
        <w:rPr>
          <w:rFonts w:cs="Calibri"/>
          <w:szCs w:val="22"/>
          <w:u w:val="single"/>
        </w:rPr>
        <w:t xml:space="preserve">rating </w:t>
      </w:r>
      <w:r w:rsidRPr="007A44BB">
        <w:rPr>
          <w:rFonts w:cs="Calibri"/>
          <w:szCs w:val="22"/>
          <w:u w:val="single"/>
        </w:rPr>
        <w:t>labelling</w:t>
      </w:r>
      <w:r w:rsidRPr="007A44BB">
        <w:rPr>
          <w:rFonts w:cs="Calibri"/>
          <w:szCs w:val="22"/>
        </w:rPr>
        <w:t xml:space="preserve"> – there are two main types of labels</w:t>
      </w:r>
      <w:r>
        <w:rPr>
          <w:rFonts w:cs="Calibri"/>
          <w:szCs w:val="22"/>
        </w:rPr>
        <w:t xml:space="preserve">, which can either be </w:t>
      </w:r>
      <w:r w:rsidR="00F63584">
        <w:rPr>
          <w:rFonts w:cs="Calibri"/>
          <w:szCs w:val="22"/>
        </w:rPr>
        <w:t xml:space="preserve">implemented through </w:t>
      </w:r>
      <w:r>
        <w:rPr>
          <w:rFonts w:cs="Calibri"/>
          <w:szCs w:val="22"/>
        </w:rPr>
        <w:t xml:space="preserve">mandatory </w:t>
      </w:r>
      <w:r w:rsidR="00F63584">
        <w:rPr>
          <w:rFonts w:cs="Calibri"/>
          <w:szCs w:val="22"/>
        </w:rPr>
        <w:t xml:space="preserve">measures (i.e. regulation) </w:t>
      </w:r>
      <w:r w:rsidR="006173B4">
        <w:rPr>
          <w:rFonts w:cs="Calibri"/>
          <w:szCs w:val="22"/>
        </w:rPr>
        <w:t xml:space="preserve">or </w:t>
      </w:r>
      <w:r>
        <w:rPr>
          <w:rFonts w:cs="Calibri"/>
          <w:szCs w:val="22"/>
        </w:rPr>
        <w:t>voluntary</w:t>
      </w:r>
      <w:r w:rsidR="00F63584">
        <w:rPr>
          <w:rFonts w:cs="Calibri"/>
          <w:szCs w:val="22"/>
        </w:rPr>
        <w:t xml:space="preserve"> measures (such as through market-led schemes).</w:t>
      </w:r>
    </w:p>
    <w:p w14:paraId="0BB83CE6" w14:textId="77777777" w:rsidR="00C24886" w:rsidRDefault="00C24886" w:rsidP="009F4031">
      <w:pPr>
        <w:autoSpaceDE w:val="0"/>
        <w:autoSpaceDN w:val="0"/>
        <w:adjustRightInd w:val="0"/>
        <w:spacing w:after="0"/>
        <w:rPr>
          <w:rFonts w:cs="Calibri"/>
          <w:szCs w:val="22"/>
        </w:rPr>
      </w:pPr>
    </w:p>
    <w:p w14:paraId="360506FE" w14:textId="77777777" w:rsidR="00DA1CAF" w:rsidRPr="007A44BB" w:rsidRDefault="00DA1CAF" w:rsidP="009F4031">
      <w:pPr>
        <w:autoSpaceDE w:val="0"/>
        <w:autoSpaceDN w:val="0"/>
        <w:adjustRightInd w:val="0"/>
        <w:spacing w:after="0"/>
        <w:rPr>
          <w:rFonts w:cs="Calibri"/>
          <w:szCs w:val="22"/>
        </w:rPr>
      </w:pPr>
      <w:r w:rsidRPr="005D344B">
        <w:rPr>
          <w:rFonts w:cs="Calibri"/>
          <w:szCs w:val="22"/>
        </w:rPr>
        <w:t xml:space="preserve">Both types of labels </w:t>
      </w:r>
      <w:r>
        <w:rPr>
          <w:rFonts w:cs="Calibri"/>
          <w:szCs w:val="22"/>
        </w:rPr>
        <w:t>‘</w:t>
      </w:r>
      <w:r w:rsidRPr="005D344B">
        <w:rPr>
          <w:rFonts w:cs="Calibri"/>
          <w:szCs w:val="22"/>
        </w:rPr>
        <w:t>pull</w:t>
      </w:r>
      <w:r>
        <w:rPr>
          <w:rFonts w:cs="Calibri"/>
          <w:szCs w:val="22"/>
        </w:rPr>
        <w:t>’</w:t>
      </w:r>
      <w:r w:rsidRPr="005D344B">
        <w:rPr>
          <w:rFonts w:cs="Calibri"/>
          <w:szCs w:val="22"/>
        </w:rPr>
        <w:t xml:space="preserve"> the appliance, equipment and lighting market toward greater energy efficiency</w:t>
      </w:r>
      <w:r>
        <w:rPr>
          <w:rStyle w:val="FootnoteReference"/>
          <w:rFonts w:cs="Calibri"/>
          <w:szCs w:val="22"/>
        </w:rPr>
        <w:footnoteReference w:id="19"/>
      </w:r>
      <w:r w:rsidR="00863B13">
        <w:rPr>
          <w:rFonts w:cs="Calibri"/>
          <w:szCs w:val="22"/>
        </w:rPr>
        <w:t xml:space="preserve"> (although for voluntary schemes, this depends upon the extent to which they are taken up by industry)</w:t>
      </w:r>
      <w:r>
        <w:rPr>
          <w:rFonts w:cs="Calibri"/>
          <w:szCs w:val="22"/>
        </w:rPr>
        <w:t>:</w:t>
      </w:r>
    </w:p>
    <w:p w14:paraId="79EA0407" w14:textId="77777777" w:rsidR="00DA1CAF" w:rsidRPr="00353B8F" w:rsidRDefault="00DA1CAF" w:rsidP="000B4DBC">
      <w:pPr>
        <w:pStyle w:val="ColorfulList-Accent12"/>
        <w:numPr>
          <w:ilvl w:val="0"/>
          <w:numId w:val="17"/>
        </w:numPr>
        <w:autoSpaceDE w:val="0"/>
        <w:autoSpaceDN w:val="0"/>
        <w:adjustRightInd w:val="0"/>
        <w:spacing w:after="120"/>
        <w:ind w:left="714" w:hanging="357"/>
        <w:contextualSpacing w:val="0"/>
        <w:rPr>
          <w:rFonts w:cs="Calibri"/>
        </w:rPr>
      </w:pPr>
      <w:r w:rsidRPr="006B14C4">
        <w:rPr>
          <w:rFonts w:cs="Calibri"/>
          <w:u w:val="single"/>
        </w:rPr>
        <w:t>Comparison labelling</w:t>
      </w:r>
      <w:r w:rsidR="002A242C">
        <w:rPr>
          <w:rStyle w:val="FootnoteReference"/>
          <w:rFonts w:cs="Calibri"/>
          <w:u w:val="single"/>
        </w:rPr>
        <w:footnoteReference w:id="20"/>
      </w:r>
      <w:r w:rsidRPr="006B14C4">
        <w:rPr>
          <w:rFonts w:cs="Calibri"/>
        </w:rPr>
        <w:t xml:space="preserve"> – relates to requirements for the display of energy rating labels, such as those commonly seen on products including refrigerators, dishwashers and televisions, amongst others. </w:t>
      </w:r>
      <w:r w:rsidR="00C24886">
        <w:rPr>
          <w:rFonts w:cs="Calibri"/>
        </w:rPr>
        <w:t xml:space="preserve"> </w:t>
      </w:r>
      <w:r w:rsidRPr="006B14C4">
        <w:rPr>
          <w:rFonts w:cs="Calibri"/>
        </w:rPr>
        <w:t xml:space="preserve">Energy rating labels allow consumers to compare the energy consumption of similar products, and factor </w:t>
      </w:r>
      <w:r w:rsidR="006B14C4" w:rsidRPr="006B14C4">
        <w:rPr>
          <w:rFonts w:cs="Calibri"/>
        </w:rPr>
        <w:t xml:space="preserve">lifetime running </w:t>
      </w:r>
      <w:r w:rsidRPr="006B14C4">
        <w:rPr>
          <w:rFonts w:cs="Calibri"/>
        </w:rPr>
        <w:t xml:space="preserve">cost into their purchasing decision. </w:t>
      </w:r>
      <w:r w:rsidR="00C24886">
        <w:rPr>
          <w:rFonts w:cs="Calibri"/>
        </w:rPr>
        <w:t xml:space="preserve"> </w:t>
      </w:r>
      <w:r w:rsidRPr="006B14C4">
        <w:rPr>
          <w:rFonts w:cs="Calibri"/>
        </w:rPr>
        <w:t xml:space="preserve">For some products, labelling requirements also relate to specific information that must be marked on the product itself or the box in which it is supplied. </w:t>
      </w:r>
      <w:r w:rsidR="00353B8F">
        <w:t>Under GEMS, mandatory labelling is currently only required for products sold through “bricks and mortar” stores</w:t>
      </w:r>
      <w:r w:rsidR="000B4DBC">
        <w:t xml:space="preserve"> as the requirements in the Act refer to physical labels</w:t>
      </w:r>
      <w:r w:rsidR="00353B8F">
        <w:t>.</w:t>
      </w:r>
      <w:r w:rsidR="008877F3">
        <w:t xml:space="preserve"> </w:t>
      </w:r>
      <w:r w:rsidR="00353B8F">
        <w:t xml:space="preserve"> There is </w:t>
      </w:r>
      <w:r w:rsidR="000B4DBC">
        <w:t>capacity within the Act to extend those requirements to online sales.</w:t>
      </w:r>
      <w:r w:rsidR="00353B8F">
        <w:t xml:space="preserve"> </w:t>
      </w:r>
      <w:r w:rsidR="008877F3">
        <w:t xml:space="preserve"> </w:t>
      </w:r>
      <w:r w:rsidR="000B4DBC">
        <w:t xml:space="preserve">However, </w:t>
      </w:r>
      <w:r w:rsidR="00353B8F">
        <w:t xml:space="preserve">the E3 Program is </w:t>
      </w:r>
      <w:r w:rsidR="000B4DBC">
        <w:t xml:space="preserve">instead </w:t>
      </w:r>
      <w:r w:rsidR="00353B8F">
        <w:t>trialling a voluntary approach to seek businesses’ cooperation in using the label online.</w:t>
      </w:r>
    </w:p>
    <w:p w14:paraId="21A984DE" w14:textId="77777777" w:rsidR="00DA1CAF" w:rsidRDefault="00DA1CAF" w:rsidP="00320FDC">
      <w:pPr>
        <w:pStyle w:val="ColorfulList-Accent12"/>
        <w:numPr>
          <w:ilvl w:val="0"/>
          <w:numId w:val="17"/>
        </w:numPr>
        <w:autoSpaceDE w:val="0"/>
        <w:autoSpaceDN w:val="0"/>
        <w:adjustRightInd w:val="0"/>
        <w:spacing w:after="0"/>
        <w:rPr>
          <w:rFonts w:cs="Calibri"/>
        </w:rPr>
      </w:pPr>
      <w:r w:rsidRPr="007A44BB">
        <w:rPr>
          <w:rFonts w:cs="Calibri"/>
          <w:u w:val="single"/>
        </w:rPr>
        <w:t>Endorsement labelling</w:t>
      </w:r>
      <w:r w:rsidRPr="007A44BB">
        <w:rPr>
          <w:rFonts w:cs="Calibri"/>
        </w:rPr>
        <w:t xml:space="preserve"> – relates to the display of energy labels which identify </w:t>
      </w:r>
      <w:r w:rsidRPr="005B5F80">
        <w:rPr>
          <w:rFonts w:cs="Calibri"/>
        </w:rPr>
        <w:t>products which satisfy certain criteria</w:t>
      </w:r>
      <w:r w:rsidR="006173B4">
        <w:rPr>
          <w:rFonts w:cs="Calibri"/>
        </w:rPr>
        <w:t>,</w:t>
      </w:r>
      <w:r w:rsidRPr="005B5F80">
        <w:rPr>
          <w:rFonts w:cs="Calibri"/>
        </w:rPr>
        <w:t xml:space="preserve"> such </w:t>
      </w:r>
      <w:r>
        <w:rPr>
          <w:rFonts w:cs="Calibri"/>
        </w:rPr>
        <w:t>as the most energy efficient in</w:t>
      </w:r>
      <w:r w:rsidRPr="005B5F80">
        <w:rPr>
          <w:rFonts w:cs="Calibri"/>
        </w:rPr>
        <w:t xml:space="preserve"> a </w:t>
      </w:r>
      <w:r>
        <w:rPr>
          <w:rFonts w:cs="Calibri"/>
        </w:rPr>
        <w:t xml:space="preserve">product </w:t>
      </w:r>
      <w:r w:rsidRPr="005B5F80">
        <w:rPr>
          <w:rFonts w:cs="Calibri"/>
        </w:rPr>
        <w:t>class</w:t>
      </w:r>
      <w:r w:rsidRPr="007A44BB">
        <w:rPr>
          <w:rFonts w:cs="Calibri"/>
        </w:rPr>
        <w:t xml:space="preserve">.  Generally endorsement labelling schemes </w:t>
      </w:r>
      <w:r w:rsidR="000C27F0">
        <w:rPr>
          <w:rFonts w:cs="Calibri"/>
        </w:rPr>
        <w:t xml:space="preserve">provide little product specific energy use information, but </w:t>
      </w:r>
      <w:r w:rsidR="000C27F0">
        <w:rPr>
          <w:rFonts w:cs="Calibri"/>
        </w:rPr>
        <w:lastRenderedPageBreak/>
        <w:t xml:space="preserve">provide a </w:t>
      </w:r>
      <w:r>
        <w:rPr>
          <w:rFonts w:cs="Calibri"/>
        </w:rPr>
        <w:t>‘seal of approval’ to inform prospective purchasers that the product is highly energy efficient for its class</w:t>
      </w:r>
      <w:r w:rsidRPr="007A44BB">
        <w:rPr>
          <w:rFonts w:cs="Calibri"/>
        </w:rPr>
        <w:t>.</w:t>
      </w:r>
    </w:p>
    <w:p w14:paraId="7F5B0A18" w14:textId="77777777" w:rsidR="00DA1CAF" w:rsidRDefault="00DA1CAF" w:rsidP="009F4031">
      <w:pPr>
        <w:spacing w:after="0"/>
        <w:rPr>
          <w:color w:val="0070C0"/>
          <w:lang w:eastAsia="x-none"/>
        </w:rPr>
      </w:pPr>
    </w:p>
    <w:p w14:paraId="629F2591" w14:textId="77777777" w:rsidR="000C27F0" w:rsidRDefault="006178D9" w:rsidP="009F4031">
      <w:r w:rsidRPr="00D319C3">
        <w:rPr>
          <w:b/>
        </w:rPr>
        <w:t xml:space="preserve">Best practice in </w:t>
      </w:r>
      <w:r w:rsidR="003C1952" w:rsidRPr="00D319C3">
        <w:rPr>
          <w:b/>
        </w:rPr>
        <w:t>Standards and Labelling</w:t>
      </w:r>
      <w:r w:rsidRPr="00D319C3">
        <w:rPr>
          <w:b/>
        </w:rPr>
        <w:t xml:space="preserve"> programs</w:t>
      </w:r>
      <w:r w:rsidR="00B54513" w:rsidRPr="00D319C3">
        <w:rPr>
          <w:b/>
        </w:rPr>
        <w:t xml:space="preserve">:  </w:t>
      </w:r>
      <w:r w:rsidR="00697202" w:rsidRPr="00D319C3">
        <w:t>As energy efficiency issues have risen up the policy agenda in recent decades, the number and type</w:t>
      </w:r>
      <w:r w:rsidR="00F63584" w:rsidRPr="00D319C3">
        <w:t xml:space="preserve"> of standards and labelling schemes have increased substantially </w:t>
      </w:r>
      <w:r w:rsidR="00697202" w:rsidRPr="00D319C3">
        <w:t>across the world</w:t>
      </w:r>
      <w:r w:rsidR="00E0092A" w:rsidRPr="00D319C3">
        <w:rPr>
          <w:rStyle w:val="FootnoteReference"/>
        </w:rPr>
        <w:footnoteReference w:id="21"/>
      </w:r>
      <w:r w:rsidR="00697202" w:rsidRPr="00D319C3">
        <w:t xml:space="preserve">.  As they have done so, a body of evidence has been developed which has reviewed schemes and produced guidance on best practice for the purposes of helping policy makers design better and more effective schemes.  </w:t>
      </w:r>
      <w:r w:rsidR="000C27F0" w:rsidRPr="00D319C3">
        <w:t>A</w:t>
      </w:r>
      <w:r w:rsidR="00697202" w:rsidRPr="00D319C3">
        <w:t xml:space="preserve">s energy using product markets tend to </w:t>
      </w:r>
      <w:r w:rsidR="000C27F0" w:rsidRPr="00D319C3">
        <w:t>operate</w:t>
      </w:r>
      <w:r w:rsidR="00697202" w:rsidRPr="00D319C3">
        <w:t xml:space="preserve"> </w:t>
      </w:r>
      <w:r w:rsidR="000C27F0" w:rsidRPr="00D319C3">
        <w:t xml:space="preserve">on a </w:t>
      </w:r>
      <w:r w:rsidR="00697202" w:rsidRPr="00D319C3">
        <w:t>regional/global</w:t>
      </w:r>
      <w:r w:rsidR="000C27F0" w:rsidRPr="00D319C3">
        <w:t xml:space="preserve"> level</w:t>
      </w:r>
      <w:r w:rsidR="00697202" w:rsidRPr="00D319C3">
        <w:t>, while policy tends to be set at the national/regional level</w:t>
      </w:r>
      <w:r w:rsidR="000C27F0" w:rsidRPr="00D319C3">
        <w:t xml:space="preserve">, such guidance plays a useful role to help harmonise policy and therefore reduce compliance burden.  </w:t>
      </w:r>
      <w:r w:rsidR="00F516C5">
        <w:t>This body of work has been used as a</w:t>
      </w:r>
      <w:r w:rsidR="00731EBA">
        <w:t xml:space="preserve">n </w:t>
      </w:r>
      <w:r w:rsidR="00F516C5">
        <w:t xml:space="preserve">input </w:t>
      </w:r>
      <w:r w:rsidR="00731EBA">
        <w:t>to inform th</w:t>
      </w:r>
      <w:r w:rsidR="008252D3">
        <w:t>is report</w:t>
      </w:r>
      <w:r w:rsidR="00731EBA">
        <w:t xml:space="preserve">.  </w:t>
      </w:r>
      <w:r w:rsidR="00F516C5">
        <w:t xml:space="preserve">A full list of sources of evidence is provided in the Appendix. </w:t>
      </w:r>
    </w:p>
    <w:p w14:paraId="0E71066B" w14:textId="77777777" w:rsidR="00797B33" w:rsidRDefault="00797B33" w:rsidP="009F4031">
      <w:pPr>
        <w:pStyle w:val="Heading3"/>
      </w:pPr>
      <w:bookmarkStart w:id="17" w:name="_Ref409083289"/>
      <w:bookmarkStart w:id="18" w:name="_Toc422298365"/>
      <w:r>
        <w:t>Background</w:t>
      </w:r>
      <w:bookmarkEnd w:id="17"/>
      <w:bookmarkEnd w:id="18"/>
    </w:p>
    <w:p w14:paraId="210FE913" w14:textId="77777777" w:rsidR="00DD6EA3" w:rsidRPr="00DD6EA3" w:rsidRDefault="00DD6EA3" w:rsidP="009F4031">
      <w:pPr>
        <w:rPr>
          <w:lang w:eastAsia="x-none"/>
        </w:rPr>
      </w:pPr>
      <w:r w:rsidRPr="008252D3">
        <w:rPr>
          <w:lang w:eastAsia="x-none"/>
        </w:rPr>
        <w:t xml:space="preserve">The </w:t>
      </w:r>
      <w:r w:rsidRPr="00DF7158">
        <w:rPr>
          <w:i/>
          <w:lang w:eastAsia="x-none"/>
        </w:rPr>
        <w:t xml:space="preserve">Greenhouse and Energy Minimum Standards </w:t>
      </w:r>
      <w:r w:rsidR="0025487F" w:rsidRPr="00DF7158">
        <w:rPr>
          <w:i/>
          <w:lang w:eastAsia="x-none"/>
        </w:rPr>
        <w:t xml:space="preserve">Act </w:t>
      </w:r>
      <w:r w:rsidRPr="00DF7158">
        <w:rPr>
          <w:i/>
          <w:lang w:eastAsia="x-none"/>
        </w:rPr>
        <w:t>2012</w:t>
      </w:r>
      <w:r w:rsidRPr="00DD6EA3">
        <w:rPr>
          <w:lang w:eastAsia="x-none"/>
        </w:rPr>
        <w:t xml:space="preserve"> (the </w:t>
      </w:r>
      <w:r w:rsidR="0025487F">
        <w:rPr>
          <w:lang w:eastAsia="x-none"/>
        </w:rPr>
        <w:t>Act</w:t>
      </w:r>
      <w:r w:rsidRPr="00DD6EA3">
        <w:rPr>
          <w:lang w:eastAsia="x-none"/>
        </w:rPr>
        <w:t xml:space="preserve">) implements the commitments of the Australian Government and the Council of Australian Governments (COAG) to establish national legislation to regulate energy efficiency and </w:t>
      </w:r>
      <w:r w:rsidR="003A4B35">
        <w:rPr>
          <w:lang w:eastAsia="x-none"/>
        </w:rPr>
        <w:t xml:space="preserve">energy </w:t>
      </w:r>
      <w:r w:rsidRPr="00DD6EA3">
        <w:rPr>
          <w:lang w:eastAsia="x-none"/>
        </w:rPr>
        <w:t>labelling standards for appliances and other products.</w:t>
      </w:r>
    </w:p>
    <w:p w14:paraId="7A6D4C33" w14:textId="77777777" w:rsidR="00F56DF5" w:rsidRDefault="006178D9" w:rsidP="00BF52D5">
      <w:pPr>
        <w:spacing w:after="0"/>
      </w:pPr>
      <w:bookmarkStart w:id="19" w:name="_Ref408827457"/>
      <w:r w:rsidRPr="006178D9">
        <w:rPr>
          <w:b/>
        </w:rPr>
        <w:t>GEMS objectives</w:t>
      </w:r>
      <w:bookmarkEnd w:id="19"/>
      <w:r w:rsidR="00252EEF">
        <w:rPr>
          <w:b/>
        </w:rPr>
        <w:t xml:space="preserve">:  </w:t>
      </w:r>
      <w:r>
        <w:t xml:space="preserve">The </w:t>
      </w:r>
      <w:r w:rsidR="00F56DF5">
        <w:t>objectives</w:t>
      </w:r>
      <w:r w:rsidR="00F61459">
        <w:t xml:space="preserve"> of GEMS </w:t>
      </w:r>
      <w:r w:rsidR="00F56DF5">
        <w:t>are</w:t>
      </w:r>
    </w:p>
    <w:p w14:paraId="4E11399C" w14:textId="77777777" w:rsidR="00F56DF5" w:rsidRPr="00F56DF5" w:rsidRDefault="007D1F6D" w:rsidP="00320FDC">
      <w:pPr>
        <w:numPr>
          <w:ilvl w:val="0"/>
          <w:numId w:val="35"/>
        </w:numPr>
        <w:spacing w:after="0"/>
      </w:pPr>
      <w:r>
        <w:t>To g</w:t>
      </w:r>
      <w:r w:rsidR="00F56DF5" w:rsidRPr="00F56DF5">
        <w:t xml:space="preserve">ive effect to the obligations that Australia has under the </w:t>
      </w:r>
      <w:r>
        <w:t xml:space="preserve">United Nations Framework </w:t>
      </w:r>
      <w:r w:rsidR="00F56DF5" w:rsidRPr="00F56DF5">
        <w:t>Convention</w:t>
      </w:r>
      <w:r w:rsidRPr="007D1F6D">
        <w:t xml:space="preserve"> </w:t>
      </w:r>
      <w:r>
        <w:t xml:space="preserve">on </w:t>
      </w:r>
      <w:r w:rsidRPr="00F56DF5">
        <w:t>Climate Change</w:t>
      </w:r>
      <w:r w:rsidR="00F516C5">
        <w:rPr>
          <w:rStyle w:val="FootnoteReference"/>
        </w:rPr>
        <w:footnoteReference w:id="22"/>
      </w:r>
      <w:r w:rsidR="00F56DF5" w:rsidRPr="00F56DF5">
        <w:t>.</w:t>
      </w:r>
    </w:p>
    <w:p w14:paraId="05DC03E5" w14:textId="77777777" w:rsidR="006178D9" w:rsidRDefault="007D1F6D" w:rsidP="00320FDC">
      <w:pPr>
        <w:numPr>
          <w:ilvl w:val="0"/>
          <w:numId w:val="35"/>
        </w:numPr>
        <w:spacing w:after="0"/>
      </w:pPr>
      <w:r>
        <w:t>To p</w:t>
      </w:r>
      <w:r w:rsidR="006178D9" w:rsidRPr="00F56DF5">
        <w:t xml:space="preserve">romote the development and sale of products that use less energy and result in the production of fewer greenhouse gases, or that help reduce the energy used or the greenhouse gases produced by other products. </w:t>
      </w:r>
    </w:p>
    <w:p w14:paraId="648E2315" w14:textId="77777777" w:rsidR="00E754E4" w:rsidRPr="00F56DF5" w:rsidRDefault="00E754E4" w:rsidP="00E754E4">
      <w:pPr>
        <w:spacing w:after="0"/>
      </w:pPr>
      <w:r>
        <w:t xml:space="preserve">The Equipment Energy Efficiency (E3) program is the delivery mechanism which supports the achievement of GEMS objectives. </w:t>
      </w:r>
    </w:p>
    <w:p w14:paraId="3BE4D3FE" w14:textId="77777777" w:rsidR="00E754E4" w:rsidRDefault="00E754E4" w:rsidP="00E754E4">
      <w:pPr>
        <w:spacing w:after="0"/>
        <w:rPr>
          <w:b/>
        </w:rPr>
      </w:pPr>
    </w:p>
    <w:p w14:paraId="54A5784F" w14:textId="77777777" w:rsidR="00F8706E" w:rsidRDefault="00252EEF" w:rsidP="009F4031">
      <w:r>
        <w:rPr>
          <w:b/>
        </w:rPr>
        <w:t>Hi</w:t>
      </w:r>
      <w:r w:rsidR="00DD6EA3">
        <w:rPr>
          <w:b/>
        </w:rPr>
        <w:t>story and development</w:t>
      </w:r>
      <w:r w:rsidR="00B54513">
        <w:rPr>
          <w:b/>
        </w:rPr>
        <w:t xml:space="preserve">:  </w:t>
      </w:r>
      <w:r w:rsidR="00F8706E">
        <w:t xml:space="preserve">The GEMS </w:t>
      </w:r>
      <w:r w:rsidR="001C5B6E">
        <w:t>Act</w:t>
      </w:r>
      <w:r w:rsidR="001C5B6E" w:rsidRPr="00DD6EA3">
        <w:t xml:space="preserve"> </w:t>
      </w:r>
      <w:r w:rsidR="00DD6EA3" w:rsidRPr="00DD6EA3">
        <w:t>create</w:t>
      </w:r>
      <w:r w:rsidR="00F8706E">
        <w:t>d</w:t>
      </w:r>
      <w:r w:rsidR="00DD6EA3" w:rsidRPr="00DD6EA3">
        <w:t xml:space="preserve"> </w:t>
      </w:r>
      <w:r w:rsidR="00A10888">
        <w:t xml:space="preserve">single </w:t>
      </w:r>
      <w:r w:rsidR="00DD6EA3" w:rsidRPr="00DD6EA3">
        <w:t xml:space="preserve">national </w:t>
      </w:r>
      <w:r w:rsidR="00A10888">
        <w:t>legislation</w:t>
      </w:r>
      <w:r w:rsidR="00DD6EA3" w:rsidRPr="00DD6EA3">
        <w:t xml:space="preserve"> to regulate energy eff</w:t>
      </w:r>
      <w:r w:rsidR="00F8706E">
        <w:t>iciency and labelling standards</w:t>
      </w:r>
      <w:r w:rsidR="00411974">
        <w:t>, making the Commonwealth the regulator</w:t>
      </w:r>
      <w:r w:rsidR="00F8706E">
        <w:t xml:space="preserve">. </w:t>
      </w:r>
      <w:r w:rsidR="00DD6EA3" w:rsidRPr="00DD6EA3">
        <w:t xml:space="preserve"> </w:t>
      </w:r>
      <w:r w:rsidR="00F8706E">
        <w:t xml:space="preserve">Prior to the GEMS </w:t>
      </w:r>
      <w:r w:rsidR="001C5B6E">
        <w:t>Act</w:t>
      </w:r>
      <w:r w:rsidR="00F8706E">
        <w:t xml:space="preserve">, the </w:t>
      </w:r>
      <w:r w:rsidR="00E754E4">
        <w:t xml:space="preserve">E3 </w:t>
      </w:r>
      <w:r w:rsidR="00F8706E">
        <w:t>program</w:t>
      </w:r>
      <w:r w:rsidR="00E754E4">
        <w:t>, which commenced in 1992,</w:t>
      </w:r>
      <w:r w:rsidR="00F8706E">
        <w:t xml:space="preserve"> was nationally coordinated</w:t>
      </w:r>
      <w:r w:rsidR="00F8706E" w:rsidRPr="00F8706E">
        <w:t xml:space="preserve"> with regulations implemented via individual </w:t>
      </w:r>
      <w:r w:rsidR="00E63CBB">
        <w:t>s</w:t>
      </w:r>
      <w:r w:rsidR="00F8706E" w:rsidRPr="00F8706E">
        <w:t xml:space="preserve">tate and </w:t>
      </w:r>
      <w:r w:rsidR="00E63CBB">
        <w:t>t</w:t>
      </w:r>
      <w:r w:rsidR="00F8706E" w:rsidRPr="00F8706E">
        <w:t>erritory legislation</w:t>
      </w:r>
      <w:r w:rsidR="00F8706E">
        <w:t>.</w:t>
      </w:r>
      <w:r w:rsidR="001F2B3D">
        <w:t xml:space="preserve"> </w:t>
      </w:r>
    </w:p>
    <w:p w14:paraId="6B056203" w14:textId="77777777" w:rsidR="00F33283" w:rsidRDefault="001F2B3D" w:rsidP="009F4031">
      <w:pPr>
        <w:spacing w:after="0"/>
      </w:pPr>
      <w:r w:rsidRPr="00B7346B">
        <w:rPr>
          <w:u w:val="single"/>
        </w:rPr>
        <w:t>Rationale for the transition to national legislation</w:t>
      </w:r>
      <w:r>
        <w:t xml:space="preserve">:  </w:t>
      </w:r>
      <w:r w:rsidR="0049515D">
        <w:t>T</w:t>
      </w:r>
      <w:r w:rsidRPr="001F2B3D">
        <w:t>he evolving ex</w:t>
      </w:r>
      <w:r w:rsidR="00B7346B">
        <w:t>pansion of the p</w:t>
      </w:r>
      <w:r w:rsidRPr="001F2B3D">
        <w:t xml:space="preserve">rogram under separate </w:t>
      </w:r>
      <w:r w:rsidR="00E63CBB">
        <w:t>s</w:t>
      </w:r>
      <w:r w:rsidR="00BF1634">
        <w:t>tate</w:t>
      </w:r>
      <w:r w:rsidRPr="001F2B3D">
        <w:t xml:space="preserve"> and </w:t>
      </w:r>
      <w:r w:rsidR="00E63CBB">
        <w:t>t</w:t>
      </w:r>
      <w:r w:rsidRPr="001F2B3D">
        <w:t xml:space="preserve">erritory laws </w:t>
      </w:r>
      <w:r w:rsidR="00B7346B">
        <w:t xml:space="preserve">was reported to have </w:t>
      </w:r>
      <w:r w:rsidRPr="001F2B3D">
        <w:t>resulted in inconsistencies which increase</w:t>
      </w:r>
      <w:r w:rsidR="00B7346B">
        <w:t>d</w:t>
      </w:r>
      <w:r w:rsidRPr="001F2B3D">
        <w:t xml:space="preserve"> the regulatory burden for businesses and government agencies</w:t>
      </w:r>
      <w:r w:rsidR="00F23BDF">
        <w:rPr>
          <w:rStyle w:val="FootnoteReference"/>
        </w:rPr>
        <w:footnoteReference w:id="23"/>
      </w:r>
      <w:r w:rsidR="00B7346B">
        <w:t xml:space="preserve">.  </w:t>
      </w:r>
      <w:r w:rsidR="00411974">
        <w:t>These included a lack of coordination of the implementation date for agreed regulations; some jurisdictions implementing requirements that were more stringent tha</w:t>
      </w:r>
      <w:r w:rsidR="00495ACC">
        <w:t xml:space="preserve">n </w:t>
      </w:r>
      <w:r w:rsidR="00411974">
        <w:t xml:space="preserve">nationally agreed MEPS levels; and differences in how registrations, compliance and enforcement were dealt with between jurisdictions.  </w:t>
      </w:r>
      <w:r w:rsidR="0049515D">
        <w:t xml:space="preserve">These issues </w:t>
      </w:r>
      <w:r w:rsidR="0049515D">
        <w:lastRenderedPageBreak/>
        <w:t xml:space="preserve">were reported to have resulted in </w:t>
      </w:r>
      <w:r w:rsidR="0098775F">
        <w:t xml:space="preserve">delays in implementation, </w:t>
      </w:r>
      <w:r w:rsidR="001231B3">
        <w:t xml:space="preserve">increased </w:t>
      </w:r>
      <w:r w:rsidR="00F23BDF">
        <w:t xml:space="preserve">costs to industry and reduced </w:t>
      </w:r>
      <w:r w:rsidR="0098775F">
        <w:t>benefits expected to flow to consumers</w:t>
      </w:r>
      <w:r w:rsidR="00F57D68">
        <w:rPr>
          <w:rStyle w:val="FootnoteReference"/>
        </w:rPr>
        <w:footnoteReference w:id="24"/>
      </w:r>
      <w:r w:rsidR="0098775F">
        <w:t>.</w:t>
      </w:r>
    </w:p>
    <w:p w14:paraId="488DFBD5" w14:textId="77777777" w:rsidR="0049515D" w:rsidRDefault="0049515D" w:rsidP="009F4031">
      <w:pPr>
        <w:spacing w:after="0"/>
      </w:pPr>
    </w:p>
    <w:p w14:paraId="0A030634" w14:textId="77777777" w:rsidR="00592344" w:rsidRDefault="001231B3" w:rsidP="009F4031">
      <w:pPr>
        <w:spacing w:after="0"/>
      </w:pPr>
      <w:r>
        <w:t>In response to these problems, a</w:t>
      </w:r>
      <w:r w:rsidR="0098775F">
        <w:t xml:space="preserve"> consultation and </w:t>
      </w:r>
      <w:r w:rsidR="001B55C0">
        <w:t>R</w:t>
      </w:r>
      <w:r w:rsidR="00657875">
        <w:t>egulation</w:t>
      </w:r>
      <w:r w:rsidR="001B55C0">
        <w:t xml:space="preserve"> Impact Statement</w:t>
      </w:r>
      <w:r w:rsidR="00B62367">
        <w:t xml:space="preserve"> (RIS</w:t>
      </w:r>
      <w:r w:rsidR="001B55C0">
        <w:t xml:space="preserve">) </w:t>
      </w:r>
      <w:r w:rsidR="0098775F">
        <w:t xml:space="preserve">process was undertaken to explore options to improve the regulatory framework.  </w:t>
      </w:r>
      <w:r>
        <w:t>The RIS explored a number of framework options</w:t>
      </w:r>
      <w:r>
        <w:rPr>
          <w:rStyle w:val="FootnoteReference"/>
        </w:rPr>
        <w:footnoteReference w:id="25"/>
      </w:r>
      <w:r>
        <w:t xml:space="preserve"> and </w:t>
      </w:r>
      <w:r w:rsidR="0081794D">
        <w:t xml:space="preserve">concluded that the most cost effective option was </w:t>
      </w:r>
      <w:r w:rsidR="0098775F">
        <w:t xml:space="preserve">to establish a </w:t>
      </w:r>
      <w:r w:rsidR="0081794D">
        <w:t xml:space="preserve">streamlined </w:t>
      </w:r>
      <w:r w:rsidR="0098775F">
        <w:t>national</w:t>
      </w:r>
      <w:r w:rsidR="0081794D">
        <w:t>ly consistent</w:t>
      </w:r>
      <w:r w:rsidR="0098775F">
        <w:t xml:space="preserve"> regulatory framework</w:t>
      </w:r>
      <w:r w:rsidR="0081794D">
        <w:t xml:space="preserve">. </w:t>
      </w:r>
      <w:r w:rsidR="00C24886">
        <w:t xml:space="preserve"> </w:t>
      </w:r>
      <w:r w:rsidR="0081794D">
        <w:t>A</w:t>
      </w:r>
      <w:r w:rsidR="0098775F">
        <w:t xml:space="preserve">s a result, the </w:t>
      </w:r>
      <w:r w:rsidR="00675792">
        <w:t>GEMS</w:t>
      </w:r>
      <w:r w:rsidR="0098775F" w:rsidRPr="00B34B62">
        <w:t xml:space="preserve"> Act</w:t>
      </w:r>
      <w:r w:rsidR="0010192D">
        <w:t xml:space="preserve"> </w:t>
      </w:r>
      <w:r w:rsidR="0081794D">
        <w:t xml:space="preserve">was passed </w:t>
      </w:r>
      <w:r w:rsidR="0010192D">
        <w:t>in October 2012.</w:t>
      </w:r>
      <w:r w:rsidR="0098775F" w:rsidRPr="00B34B62">
        <w:t xml:space="preserve"> </w:t>
      </w:r>
    </w:p>
    <w:p w14:paraId="3111BAFB" w14:textId="77777777" w:rsidR="000E141D" w:rsidRDefault="000E141D" w:rsidP="009F4031">
      <w:pPr>
        <w:spacing w:after="0"/>
      </w:pPr>
    </w:p>
    <w:p w14:paraId="103EEA9B" w14:textId="77777777" w:rsidR="00592344" w:rsidRDefault="00592344" w:rsidP="009F4031">
      <w:pPr>
        <w:spacing w:after="0"/>
      </w:pPr>
      <w:r w:rsidRPr="00592344">
        <w:rPr>
          <w:u w:val="single"/>
        </w:rPr>
        <w:t>Regulatory framework</w:t>
      </w:r>
      <w:r w:rsidR="003E26A4">
        <w:rPr>
          <w:u w:val="single"/>
        </w:rPr>
        <w:t xml:space="preserve"> changes</w:t>
      </w:r>
      <w:r>
        <w:t xml:space="preserve">:  The </w:t>
      </w:r>
      <w:r w:rsidR="00B27D07">
        <w:t xml:space="preserve">key changes the </w:t>
      </w:r>
      <w:r w:rsidR="00B62367">
        <w:t xml:space="preserve">Act </w:t>
      </w:r>
      <w:r>
        <w:t xml:space="preserve">established </w:t>
      </w:r>
      <w:r w:rsidR="001231B3">
        <w:t>were</w:t>
      </w:r>
      <w:r w:rsidR="00675792">
        <w:t xml:space="preserve"> to</w:t>
      </w:r>
      <w:r w:rsidR="001231B3">
        <w:t>:</w:t>
      </w:r>
      <w:r w:rsidR="00B27D07">
        <w:t xml:space="preserve"> </w:t>
      </w:r>
    </w:p>
    <w:p w14:paraId="58BAF15B" w14:textId="77777777" w:rsidR="00592344" w:rsidRDefault="00B27D07" w:rsidP="00320FDC">
      <w:pPr>
        <w:numPr>
          <w:ilvl w:val="0"/>
          <w:numId w:val="27"/>
        </w:numPr>
        <w:spacing w:after="0"/>
        <w:ind w:left="426"/>
      </w:pPr>
      <w:r>
        <w:t>e</w:t>
      </w:r>
      <w:r w:rsidR="00592344">
        <w:t xml:space="preserve">nsure that any labelling or </w:t>
      </w:r>
      <w:r w:rsidR="001231B3">
        <w:t>regulations</w:t>
      </w:r>
      <w:r w:rsidR="00592344">
        <w:t xml:space="preserve"> would </w:t>
      </w:r>
      <w:r>
        <w:t xml:space="preserve">be consistent across jurisdictions and </w:t>
      </w:r>
      <w:r w:rsidR="00592344">
        <w:t xml:space="preserve">take effect </w:t>
      </w:r>
      <w:r>
        <w:t>simultaneously</w:t>
      </w:r>
      <w:r w:rsidR="00BF1634">
        <w:t>;</w:t>
      </w:r>
    </w:p>
    <w:p w14:paraId="16CA20FA" w14:textId="77777777" w:rsidR="00B27D07" w:rsidRDefault="00B27D07" w:rsidP="00320FDC">
      <w:pPr>
        <w:numPr>
          <w:ilvl w:val="0"/>
          <w:numId w:val="27"/>
        </w:numPr>
        <w:spacing w:after="0"/>
        <w:ind w:left="426"/>
      </w:pPr>
      <w:r>
        <w:t>establish a unified administrative and data collection framework</w:t>
      </w:r>
      <w:r w:rsidR="00BF1634">
        <w:t>;</w:t>
      </w:r>
    </w:p>
    <w:p w14:paraId="635FE664" w14:textId="77777777" w:rsidR="00B27D07" w:rsidRDefault="00BF1634" w:rsidP="00320FDC">
      <w:pPr>
        <w:numPr>
          <w:ilvl w:val="0"/>
          <w:numId w:val="27"/>
        </w:numPr>
        <w:spacing w:after="0"/>
        <w:ind w:left="426"/>
      </w:pPr>
      <w:r>
        <w:t>ensure t</w:t>
      </w:r>
      <w:r w:rsidR="00B27D07">
        <w:t>he legislation enables and supports efficient and cost-effective operation of the program</w:t>
      </w:r>
      <w:r>
        <w:rPr>
          <w:rStyle w:val="FootnoteReference"/>
        </w:rPr>
        <w:footnoteReference w:id="26"/>
      </w:r>
      <w:r w:rsidR="00675792">
        <w:t>;</w:t>
      </w:r>
    </w:p>
    <w:p w14:paraId="711686C8" w14:textId="77777777" w:rsidR="00B27D07" w:rsidRDefault="00B27D07" w:rsidP="00320FDC">
      <w:pPr>
        <w:numPr>
          <w:ilvl w:val="0"/>
          <w:numId w:val="27"/>
        </w:numPr>
        <w:spacing w:after="0"/>
        <w:ind w:left="426"/>
      </w:pPr>
      <w:r>
        <w:t>ensure there is a unified compliance framework which makes use of Commonwealth powers in relation to border controls</w:t>
      </w:r>
      <w:r>
        <w:rPr>
          <w:rStyle w:val="FootnoteReference"/>
        </w:rPr>
        <w:footnoteReference w:id="27"/>
      </w:r>
      <w:r w:rsidR="00675792">
        <w:t>;</w:t>
      </w:r>
    </w:p>
    <w:p w14:paraId="083D9B8C" w14:textId="77777777" w:rsidR="00675792" w:rsidRDefault="00675792" w:rsidP="00320FDC">
      <w:pPr>
        <w:numPr>
          <w:ilvl w:val="0"/>
          <w:numId w:val="27"/>
        </w:numPr>
        <w:spacing w:after="0"/>
        <w:ind w:left="426"/>
      </w:pPr>
      <w:r>
        <w:t>require suppliers of registered products to report annually on national imports, sales or supplies and exports, if necessary;</w:t>
      </w:r>
    </w:p>
    <w:p w14:paraId="3E850B1F" w14:textId="77777777" w:rsidR="00675792" w:rsidRDefault="00675792" w:rsidP="00320FDC">
      <w:pPr>
        <w:numPr>
          <w:ilvl w:val="0"/>
          <w:numId w:val="27"/>
        </w:numPr>
        <w:spacing w:after="0"/>
        <w:ind w:left="426"/>
      </w:pPr>
      <w:r>
        <w:t>enable ‘grandfathering</w:t>
      </w:r>
      <w:r>
        <w:rPr>
          <w:rStyle w:val="FootnoteReference"/>
        </w:rPr>
        <w:footnoteReference w:id="28"/>
      </w:r>
      <w:r>
        <w:t>’ provisions to be harmonised across all jurisdictions and programs</w:t>
      </w:r>
      <w:r w:rsidR="00E63CBB">
        <w:t>;</w:t>
      </w:r>
      <w:r>
        <w:t xml:space="preserve"> and</w:t>
      </w:r>
    </w:p>
    <w:p w14:paraId="1108861F" w14:textId="77777777" w:rsidR="00675792" w:rsidRDefault="00675792" w:rsidP="00320FDC">
      <w:pPr>
        <w:numPr>
          <w:ilvl w:val="0"/>
          <w:numId w:val="27"/>
        </w:numPr>
        <w:spacing w:after="0"/>
        <w:ind w:left="426"/>
      </w:pPr>
      <w:r>
        <w:t xml:space="preserve">establish a single national </w:t>
      </w:r>
      <w:r w:rsidR="00E63CBB">
        <w:t>r</w:t>
      </w:r>
      <w:r>
        <w:t xml:space="preserve">egulatory </w:t>
      </w:r>
      <w:r w:rsidR="00E63CBB">
        <w:t xml:space="preserve">system </w:t>
      </w:r>
      <w:r>
        <w:t xml:space="preserve">and allowing for enforcement options to be consistent and available to the regulatory authority, irrespective of the jurisdiction where non-compliance is detected. </w:t>
      </w:r>
    </w:p>
    <w:p w14:paraId="0F0E0F48" w14:textId="77777777" w:rsidR="008162FE" w:rsidRPr="00C33790" w:rsidRDefault="003E26A4" w:rsidP="00943926">
      <w:pPr>
        <w:spacing w:after="0"/>
      </w:pPr>
      <w:r w:rsidRPr="006C1FAA">
        <w:br/>
      </w:r>
      <w:r w:rsidR="008162FE" w:rsidRPr="00C33790">
        <w:t>The opportunity was also taken with the Act to expand the range of matters that could be the subject of regulations to include:</w:t>
      </w:r>
    </w:p>
    <w:p w14:paraId="296D0397" w14:textId="77777777" w:rsidR="008162FE" w:rsidRPr="00C33790" w:rsidRDefault="008162FE" w:rsidP="00243E2E">
      <w:pPr>
        <w:pStyle w:val="ListParagraph"/>
        <w:numPr>
          <w:ilvl w:val="0"/>
          <w:numId w:val="78"/>
        </w:numPr>
        <w:spacing w:after="0" w:line="240" w:lineRule="auto"/>
        <w:contextualSpacing w:val="0"/>
      </w:pPr>
      <w:r w:rsidRPr="00C33790">
        <w:rPr>
          <w:lang w:val="en-GB"/>
        </w:rPr>
        <w:t>the extension of mandatory labelling to on-line sales and advertising;</w:t>
      </w:r>
    </w:p>
    <w:p w14:paraId="562F87CE" w14:textId="77777777" w:rsidR="00B878BA" w:rsidRDefault="003E26A4" w:rsidP="00320FDC">
      <w:pPr>
        <w:numPr>
          <w:ilvl w:val="0"/>
          <w:numId w:val="18"/>
        </w:numPr>
        <w:spacing w:after="0"/>
      </w:pPr>
      <w:r>
        <w:t>coverage of product</w:t>
      </w:r>
      <w:r w:rsidR="00675792">
        <w:t>s</w:t>
      </w:r>
      <w:r>
        <w:t xml:space="preserve"> using ener</w:t>
      </w:r>
      <w:r w:rsidR="00B878BA">
        <w:t>gy forms other tha</w:t>
      </w:r>
      <w:r>
        <w:t xml:space="preserve">n electricity; </w:t>
      </w:r>
    </w:p>
    <w:p w14:paraId="7879BC67" w14:textId="77777777" w:rsidR="00983742" w:rsidRDefault="00983742" w:rsidP="00320FDC">
      <w:pPr>
        <w:numPr>
          <w:ilvl w:val="0"/>
          <w:numId w:val="18"/>
        </w:numPr>
        <w:spacing w:after="0"/>
      </w:pPr>
      <w:r>
        <w:t>commercial use of regulated products</w:t>
      </w:r>
      <w:r w:rsidR="00E63CBB">
        <w:t>;</w:t>
      </w:r>
    </w:p>
    <w:p w14:paraId="713DC210" w14:textId="77777777" w:rsidR="00B878BA" w:rsidRDefault="003E26A4" w:rsidP="00320FDC">
      <w:pPr>
        <w:numPr>
          <w:ilvl w:val="0"/>
          <w:numId w:val="18"/>
        </w:numPr>
        <w:spacing w:after="0"/>
      </w:pPr>
      <w:r>
        <w:t>coverage of non-energy using products which impact on energy us</w:t>
      </w:r>
      <w:r w:rsidR="00657875">
        <w:t>e</w:t>
      </w:r>
      <w:r>
        <w:t xml:space="preserve"> or efficiency; </w:t>
      </w:r>
    </w:p>
    <w:p w14:paraId="694AC962" w14:textId="77777777" w:rsidR="00B878BA" w:rsidRDefault="003E26A4" w:rsidP="00320FDC">
      <w:pPr>
        <w:numPr>
          <w:ilvl w:val="0"/>
          <w:numId w:val="18"/>
        </w:numPr>
        <w:spacing w:after="0"/>
      </w:pPr>
      <w:r>
        <w:t xml:space="preserve">labelling (or otherwise indicating) the greenhouse gas impacts of covered products; </w:t>
      </w:r>
    </w:p>
    <w:p w14:paraId="751CB241" w14:textId="77777777" w:rsidR="00B878BA" w:rsidRDefault="003E26A4" w:rsidP="00320FDC">
      <w:pPr>
        <w:numPr>
          <w:ilvl w:val="0"/>
          <w:numId w:val="18"/>
        </w:numPr>
        <w:spacing w:after="0"/>
      </w:pPr>
      <w:r>
        <w:t>setting greenhouse gas-intensity</w:t>
      </w:r>
      <w:r w:rsidR="00B878BA">
        <w:t xml:space="preserve"> standards for covered products</w:t>
      </w:r>
      <w:r w:rsidR="00E63CBB">
        <w:t>;</w:t>
      </w:r>
      <w:r>
        <w:t xml:space="preserve"> and </w:t>
      </w:r>
    </w:p>
    <w:p w14:paraId="68EF58E7" w14:textId="77777777" w:rsidR="003E26A4" w:rsidRDefault="003E26A4" w:rsidP="00320FDC">
      <w:pPr>
        <w:numPr>
          <w:ilvl w:val="0"/>
          <w:numId w:val="18"/>
        </w:numPr>
        <w:spacing w:after="0"/>
      </w:pPr>
      <w:r>
        <w:t>minimising the (non-energy) environmental impacts of regulated products.</w:t>
      </w:r>
    </w:p>
    <w:p w14:paraId="41328855" w14:textId="77777777" w:rsidR="003E26A4" w:rsidRDefault="003E26A4" w:rsidP="009F4031">
      <w:pPr>
        <w:spacing w:after="0"/>
      </w:pPr>
    </w:p>
    <w:p w14:paraId="4AA50CBB" w14:textId="77777777" w:rsidR="0098775F" w:rsidRDefault="003B1B52" w:rsidP="009F4031">
      <w:pPr>
        <w:spacing w:after="0"/>
      </w:pPr>
      <w:r>
        <w:t>T</w:t>
      </w:r>
      <w:r w:rsidR="0098775F">
        <w:t xml:space="preserve">he Act </w:t>
      </w:r>
      <w:r>
        <w:t>is</w:t>
      </w:r>
      <w:r w:rsidR="0098775F">
        <w:t xml:space="preserve"> published on the Australian Government ComLaw website</w:t>
      </w:r>
      <w:r w:rsidR="0098775F">
        <w:rPr>
          <w:vertAlign w:val="superscript"/>
        </w:rPr>
        <w:t>,</w:t>
      </w:r>
      <w:r w:rsidR="0098775F">
        <w:rPr>
          <w:rStyle w:val="FootnoteReference"/>
        </w:rPr>
        <w:footnoteReference w:id="29"/>
      </w:r>
      <w:r w:rsidR="00675792">
        <w:t xml:space="preserve"> and t</w:t>
      </w:r>
      <w:r w:rsidR="0098775F">
        <w:t>he full rationale for the transition to national legislation is set out in the</w:t>
      </w:r>
      <w:r w:rsidR="00E32191">
        <w:t xml:space="preserve"> </w:t>
      </w:r>
      <w:r w:rsidR="00E63CBB">
        <w:t xml:space="preserve">Act’s </w:t>
      </w:r>
      <w:r w:rsidR="0098775F">
        <w:t>explanatory memorandum</w:t>
      </w:r>
      <w:r w:rsidR="0098775F">
        <w:rPr>
          <w:rStyle w:val="FootnoteReference"/>
        </w:rPr>
        <w:footnoteReference w:id="30"/>
      </w:r>
      <w:r w:rsidR="0098775F">
        <w:t>.</w:t>
      </w:r>
    </w:p>
    <w:p w14:paraId="38E63255" w14:textId="77777777" w:rsidR="0098775F" w:rsidRDefault="0098775F" w:rsidP="009F4031">
      <w:pPr>
        <w:spacing w:after="0"/>
      </w:pPr>
    </w:p>
    <w:p w14:paraId="7225BCE5" w14:textId="77777777" w:rsidR="008E1554" w:rsidRDefault="00592344" w:rsidP="009F4031">
      <w:pPr>
        <w:spacing w:after="0"/>
      </w:pPr>
      <w:r w:rsidRPr="00592344">
        <w:rPr>
          <w:u w:val="single"/>
        </w:rPr>
        <w:lastRenderedPageBreak/>
        <w:t>Anticipated impacts</w:t>
      </w:r>
      <w:r>
        <w:t>:  The RIS</w:t>
      </w:r>
      <w:r w:rsidR="008E1554">
        <w:t>, which underpin</w:t>
      </w:r>
      <w:r w:rsidR="00675792">
        <w:t xml:space="preserve">s </w:t>
      </w:r>
      <w:r w:rsidR="008E1554">
        <w:t xml:space="preserve">the </w:t>
      </w:r>
      <w:r w:rsidR="003B1B52">
        <w:t>Act</w:t>
      </w:r>
      <w:r w:rsidR="00014A00">
        <w:t>,</w:t>
      </w:r>
      <w:r w:rsidR="008E1554">
        <w:t xml:space="preserve"> </w:t>
      </w:r>
      <w:r w:rsidR="000E141D">
        <w:t>assessed a</w:t>
      </w:r>
      <w:r w:rsidR="008E1554">
        <w:t xml:space="preserve"> range o</w:t>
      </w:r>
      <w:r w:rsidR="000E141D">
        <w:t>f different regulatory options</w:t>
      </w:r>
      <w:r w:rsidR="008E1554">
        <w:t xml:space="preserve"> against a set of criteria including</w:t>
      </w:r>
      <w:r w:rsidR="001900A6">
        <w:t xml:space="preserve"> impacts on</w:t>
      </w:r>
      <w:r w:rsidR="00014A00">
        <w:t>:</w:t>
      </w:r>
    </w:p>
    <w:p w14:paraId="2CCC8B1D" w14:textId="77777777" w:rsidR="008E1554" w:rsidRDefault="008E1554" w:rsidP="00320FDC">
      <w:pPr>
        <w:numPr>
          <w:ilvl w:val="0"/>
          <w:numId w:val="28"/>
        </w:numPr>
        <w:spacing w:after="0"/>
        <w:ind w:left="426"/>
      </w:pPr>
      <w:r>
        <w:t>policy consistency and risk</w:t>
      </w:r>
      <w:r w:rsidR="001900A6">
        <w:t>;</w:t>
      </w:r>
    </w:p>
    <w:p w14:paraId="3E019CFE" w14:textId="77777777" w:rsidR="008E1554" w:rsidRDefault="008E1554" w:rsidP="00320FDC">
      <w:pPr>
        <w:numPr>
          <w:ilvl w:val="0"/>
          <w:numId w:val="28"/>
        </w:numPr>
        <w:spacing w:after="0"/>
        <w:ind w:left="426"/>
      </w:pPr>
      <w:r>
        <w:t>administrative efficiency and cost</w:t>
      </w:r>
      <w:r w:rsidR="001900A6">
        <w:t>;</w:t>
      </w:r>
    </w:p>
    <w:p w14:paraId="5EF0A4B9" w14:textId="77777777" w:rsidR="008E1554" w:rsidRDefault="008E1554" w:rsidP="00320FDC">
      <w:pPr>
        <w:numPr>
          <w:ilvl w:val="0"/>
          <w:numId w:val="28"/>
        </w:numPr>
        <w:spacing w:after="0"/>
        <w:ind w:left="426"/>
      </w:pPr>
      <w:r>
        <w:t>program efficiency and cost effectiveness</w:t>
      </w:r>
      <w:r w:rsidR="001900A6">
        <w:t>;</w:t>
      </w:r>
    </w:p>
    <w:p w14:paraId="50EC2EFD" w14:textId="77777777" w:rsidR="008E1554" w:rsidRDefault="008E1554" w:rsidP="00320FDC">
      <w:pPr>
        <w:numPr>
          <w:ilvl w:val="0"/>
          <w:numId w:val="28"/>
        </w:numPr>
        <w:spacing w:after="0"/>
        <w:ind w:left="426"/>
      </w:pPr>
      <w:r>
        <w:t>compliance and enforcement</w:t>
      </w:r>
      <w:r w:rsidR="00E63CBB">
        <w:t>;</w:t>
      </w:r>
      <w:r w:rsidR="003B1B52">
        <w:t xml:space="preserve"> and</w:t>
      </w:r>
    </w:p>
    <w:p w14:paraId="0FD37B53" w14:textId="77777777" w:rsidR="008E1554" w:rsidRDefault="008E1554" w:rsidP="00320FDC">
      <w:pPr>
        <w:numPr>
          <w:ilvl w:val="0"/>
          <w:numId w:val="28"/>
        </w:numPr>
        <w:spacing w:after="0"/>
        <w:ind w:left="426"/>
      </w:pPr>
      <w:r>
        <w:t>costs and benefits.</w:t>
      </w:r>
    </w:p>
    <w:p w14:paraId="3F2EE9B5" w14:textId="77777777" w:rsidR="000E141D" w:rsidRDefault="000E141D" w:rsidP="009F4031">
      <w:pPr>
        <w:spacing w:after="0"/>
      </w:pPr>
    </w:p>
    <w:p w14:paraId="05C89455" w14:textId="77777777" w:rsidR="000E141D" w:rsidRPr="00B54513" w:rsidRDefault="000E141D" w:rsidP="009F4031">
      <w:pPr>
        <w:spacing w:after="0"/>
      </w:pPr>
      <w:r w:rsidRPr="00B54513">
        <w:t xml:space="preserve">The impact assessment was calculated on the basis of assumed improvements and efficiencies </w:t>
      </w:r>
      <w:r w:rsidR="00E63CBB">
        <w:t xml:space="preserve">expected to be </w:t>
      </w:r>
      <w:r w:rsidRPr="00B54513">
        <w:t>realised by the new regulatory framework</w:t>
      </w:r>
      <w:r w:rsidR="009C4717">
        <w:t>,</w:t>
      </w:r>
      <w:r w:rsidR="0014086D" w:rsidRPr="00B54513">
        <w:t xml:space="preserve"> estimated to be </w:t>
      </w:r>
      <w:r w:rsidRPr="00B54513">
        <w:t>$39 million</w:t>
      </w:r>
      <w:r w:rsidR="00BF1634">
        <w:t xml:space="preserve"> per annum</w:t>
      </w:r>
      <w:r w:rsidRPr="00B54513">
        <w:t xml:space="preserve"> in 2009/10</w:t>
      </w:r>
      <w:r w:rsidR="0014086D" w:rsidRPr="00B54513">
        <w:rPr>
          <w:rStyle w:val="FootnoteReference"/>
        </w:rPr>
        <w:footnoteReference w:id="31"/>
      </w:r>
      <w:r w:rsidR="0014086D" w:rsidRPr="00B54513">
        <w:t xml:space="preserve">. </w:t>
      </w:r>
    </w:p>
    <w:p w14:paraId="7AEF309B" w14:textId="77777777" w:rsidR="00882CB3" w:rsidRPr="00B54513" w:rsidRDefault="00797B33" w:rsidP="009F4031">
      <w:pPr>
        <w:pStyle w:val="Heading3"/>
      </w:pPr>
      <w:bookmarkStart w:id="20" w:name="_Ref409255108"/>
      <w:bookmarkStart w:id="21" w:name="_Toc422298366"/>
      <w:r w:rsidRPr="00B54513">
        <w:t>Framework within which GEMS operates</w:t>
      </w:r>
      <w:bookmarkEnd w:id="20"/>
      <w:bookmarkEnd w:id="21"/>
      <w:r w:rsidR="00065B8A">
        <w:t xml:space="preserve"> </w:t>
      </w:r>
    </w:p>
    <w:p w14:paraId="45289F32" w14:textId="77777777" w:rsidR="00F57D68" w:rsidRDefault="00F57D68" w:rsidP="009F4031">
      <w:pPr>
        <w:rPr>
          <w:lang w:eastAsia="x-none"/>
        </w:rPr>
      </w:pPr>
      <w:r w:rsidRPr="00F57D68">
        <w:rPr>
          <w:lang w:eastAsia="x-none"/>
        </w:rPr>
        <w:t xml:space="preserve">The program operates within the </w:t>
      </w:r>
      <w:r w:rsidR="003B1B52">
        <w:rPr>
          <w:lang w:eastAsia="x-none"/>
        </w:rPr>
        <w:t xml:space="preserve">policy </w:t>
      </w:r>
      <w:r w:rsidRPr="00F57D68">
        <w:rPr>
          <w:lang w:eastAsia="x-none"/>
        </w:rPr>
        <w:t>framework of the National Partnership Agreement</w:t>
      </w:r>
      <w:r w:rsidR="00930F15">
        <w:rPr>
          <w:lang w:eastAsia="x-none"/>
        </w:rPr>
        <w:t xml:space="preserve"> </w:t>
      </w:r>
      <w:r w:rsidR="00E165E5">
        <w:rPr>
          <w:lang w:eastAsia="x-none"/>
        </w:rPr>
        <w:t xml:space="preserve">on </w:t>
      </w:r>
      <w:r w:rsidRPr="00F57D68">
        <w:rPr>
          <w:lang w:eastAsia="x-none"/>
        </w:rPr>
        <w:t>Energy Efficiency</w:t>
      </w:r>
      <w:r>
        <w:rPr>
          <w:rStyle w:val="FootnoteReference"/>
          <w:lang w:eastAsia="x-none"/>
        </w:rPr>
        <w:footnoteReference w:id="32"/>
      </w:r>
      <w:r w:rsidRPr="00F57D68">
        <w:rPr>
          <w:lang w:eastAsia="x-none"/>
        </w:rPr>
        <w:t xml:space="preserve"> (NPA-EE), the National Strategy on Energy Efficiency</w:t>
      </w:r>
      <w:r>
        <w:rPr>
          <w:rStyle w:val="FootnoteReference"/>
          <w:lang w:eastAsia="x-none"/>
        </w:rPr>
        <w:footnoteReference w:id="33"/>
      </w:r>
      <w:r w:rsidRPr="00F57D68">
        <w:rPr>
          <w:lang w:eastAsia="x-none"/>
        </w:rPr>
        <w:t xml:space="preserve"> (NSEE) and the GEMS </w:t>
      </w:r>
      <w:r w:rsidR="00F0732B" w:rsidRPr="00B54513">
        <w:rPr>
          <w:lang w:eastAsia="x-none"/>
        </w:rPr>
        <w:t xml:space="preserve">Inter-Governmental Agreement </w:t>
      </w:r>
      <w:r w:rsidR="00F0732B">
        <w:rPr>
          <w:lang w:eastAsia="x-none"/>
        </w:rPr>
        <w:t>(</w:t>
      </w:r>
      <w:r w:rsidRPr="00F57D68">
        <w:rPr>
          <w:lang w:eastAsia="x-none"/>
        </w:rPr>
        <w:t>IGA</w:t>
      </w:r>
      <w:r w:rsidR="00B32BDA">
        <w:rPr>
          <w:rStyle w:val="FootnoteReference"/>
          <w:lang w:eastAsia="x-none"/>
        </w:rPr>
        <w:footnoteReference w:id="34"/>
      </w:r>
      <w:r w:rsidR="00F0732B">
        <w:rPr>
          <w:lang w:eastAsia="x-none"/>
        </w:rPr>
        <w:t>)</w:t>
      </w:r>
      <w:r>
        <w:rPr>
          <w:lang w:eastAsia="x-none"/>
        </w:rPr>
        <w:t>.</w:t>
      </w:r>
    </w:p>
    <w:p w14:paraId="427028CA" w14:textId="77777777" w:rsidR="00882CB3" w:rsidRPr="00B54513" w:rsidRDefault="00930F15" w:rsidP="009F4031">
      <w:pPr>
        <w:rPr>
          <w:lang w:eastAsia="x-none"/>
        </w:rPr>
      </w:pPr>
      <w:r>
        <w:rPr>
          <w:lang w:eastAsia="x-none"/>
        </w:rPr>
        <w:t>T</w:t>
      </w:r>
      <w:r w:rsidR="00794B45" w:rsidRPr="00B54513">
        <w:rPr>
          <w:lang w:eastAsia="x-none"/>
        </w:rPr>
        <w:t xml:space="preserve">he regulatory framework </w:t>
      </w:r>
      <w:r w:rsidR="00E63CBB">
        <w:rPr>
          <w:lang w:eastAsia="x-none"/>
        </w:rPr>
        <w:t xml:space="preserve">is </w:t>
      </w:r>
      <w:r w:rsidR="00794B45" w:rsidRPr="00B54513">
        <w:rPr>
          <w:lang w:eastAsia="x-none"/>
        </w:rPr>
        <w:t xml:space="preserve">set out </w:t>
      </w:r>
      <w:r w:rsidR="00E63CBB">
        <w:rPr>
          <w:lang w:eastAsia="x-none"/>
        </w:rPr>
        <w:t xml:space="preserve">in </w:t>
      </w:r>
      <w:r w:rsidR="00D81C11">
        <w:rPr>
          <w:lang w:eastAsia="x-none"/>
        </w:rPr>
        <w:t>Australian</w:t>
      </w:r>
      <w:r w:rsidR="00D81C11" w:rsidRPr="00B54513">
        <w:rPr>
          <w:lang w:eastAsia="x-none"/>
        </w:rPr>
        <w:t xml:space="preserve"> </w:t>
      </w:r>
      <w:r w:rsidR="00794B45" w:rsidRPr="00B54513">
        <w:rPr>
          <w:lang w:eastAsia="x-none"/>
        </w:rPr>
        <w:t xml:space="preserve">legislation, subject to and limited by decisions of a ministerial council, with representation from </w:t>
      </w:r>
      <w:r w:rsidR="00E63CBB">
        <w:rPr>
          <w:lang w:eastAsia="x-none"/>
        </w:rPr>
        <w:t>s</w:t>
      </w:r>
      <w:r w:rsidR="00794B45" w:rsidRPr="00B54513">
        <w:rPr>
          <w:lang w:eastAsia="x-none"/>
        </w:rPr>
        <w:t xml:space="preserve">tates and </w:t>
      </w:r>
      <w:r w:rsidR="00E63CBB">
        <w:rPr>
          <w:lang w:eastAsia="x-none"/>
        </w:rPr>
        <w:t>t</w:t>
      </w:r>
      <w:r w:rsidR="00794B45" w:rsidRPr="00B54513">
        <w:rPr>
          <w:lang w:eastAsia="x-none"/>
        </w:rPr>
        <w:t xml:space="preserve">erritories.  To implement this, an IGA was signed by </w:t>
      </w:r>
      <w:r w:rsidR="00F0732B">
        <w:rPr>
          <w:lang w:eastAsia="x-none"/>
        </w:rPr>
        <w:t xml:space="preserve">the Commonwealth and </w:t>
      </w:r>
      <w:r w:rsidR="00794B45" w:rsidRPr="00B54513">
        <w:rPr>
          <w:lang w:eastAsia="x-none"/>
        </w:rPr>
        <w:t xml:space="preserve">all </w:t>
      </w:r>
      <w:r w:rsidR="00E63CBB">
        <w:rPr>
          <w:lang w:eastAsia="x-none"/>
        </w:rPr>
        <w:t>s</w:t>
      </w:r>
      <w:r w:rsidR="00794B45" w:rsidRPr="00B54513">
        <w:rPr>
          <w:lang w:eastAsia="x-none"/>
        </w:rPr>
        <w:t xml:space="preserve">tates and </w:t>
      </w:r>
      <w:r w:rsidR="00E63CBB">
        <w:rPr>
          <w:lang w:eastAsia="x-none"/>
        </w:rPr>
        <w:t>t</w:t>
      </w:r>
      <w:r w:rsidR="00794B45" w:rsidRPr="00B54513">
        <w:rPr>
          <w:lang w:eastAsia="x-none"/>
        </w:rPr>
        <w:t>erritories</w:t>
      </w:r>
      <w:r w:rsidR="006B14C4">
        <w:rPr>
          <w:lang w:eastAsia="x-none"/>
        </w:rPr>
        <w:t>, with the exception of the Northern Territory</w:t>
      </w:r>
      <w:r w:rsidR="006B14C4">
        <w:rPr>
          <w:rStyle w:val="FootnoteReference"/>
          <w:lang w:eastAsia="x-none"/>
        </w:rPr>
        <w:footnoteReference w:id="35"/>
      </w:r>
      <w:r w:rsidR="00794B45" w:rsidRPr="00B54513">
        <w:rPr>
          <w:lang w:eastAsia="x-none"/>
        </w:rPr>
        <w:t>.</w:t>
      </w:r>
      <w:r w:rsidR="0030722E">
        <w:rPr>
          <w:lang w:eastAsia="x-none"/>
        </w:rPr>
        <w:t xml:space="preserve">  </w:t>
      </w:r>
      <w:r w:rsidR="00794B45" w:rsidRPr="00B54513">
        <w:rPr>
          <w:lang w:eastAsia="x-none"/>
        </w:rPr>
        <w:t xml:space="preserve">The </w:t>
      </w:r>
      <w:r w:rsidR="00F0732B">
        <w:rPr>
          <w:lang w:eastAsia="x-none"/>
        </w:rPr>
        <w:t>IGA</w:t>
      </w:r>
      <w:r w:rsidR="00F0732B" w:rsidRPr="00B54513">
        <w:rPr>
          <w:lang w:eastAsia="x-none"/>
        </w:rPr>
        <w:t xml:space="preserve"> </w:t>
      </w:r>
      <w:r w:rsidR="00F0732B">
        <w:rPr>
          <w:lang w:eastAsia="x-none"/>
        </w:rPr>
        <w:t>sets out the objectives and governance arrangements for the program</w:t>
      </w:r>
      <w:r w:rsidR="00BF1634">
        <w:rPr>
          <w:lang w:eastAsia="x-none"/>
        </w:rPr>
        <w:t xml:space="preserve">. </w:t>
      </w:r>
      <w:r w:rsidR="00960C7F">
        <w:t>Only jurisdictions that sign the IGA and provide funding can formally participate in the program.</w:t>
      </w:r>
      <w:r w:rsidR="001900A6">
        <w:rPr>
          <w:lang w:eastAsia="x-none"/>
        </w:rPr>
        <w:t xml:space="preserve"> F</w:t>
      </w:r>
      <w:r w:rsidR="005C0D4D" w:rsidRPr="00B54513">
        <w:rPr>
          <w:lang w:eastAsia="x-none"/>
        </w:rPr>
        <w:t>ull details are available in the IGA</w:t>
      </w:r>
      <w:r w:rsidR="0030722E">
        <w:rPr>
          <w:lang w:eastAsia="x-none"/>
        </w:rPr>
        <w:t xml:space="preserve"> document</w:t>
      </w:r>
      <w:r w:rsidR="005C0D4D" w:rsidRPr="00B54513">
        <w:rPr>
          <w:lang w:eastAsia="x-none"/>
        </w:rPr>
        <w:t xml:space="preserve">, and a summary is provided below.  </w:t>
      </w:r>
    </w:p>
    <w:p w14:paraId="63D9AF3D" w14:textId="77777777" w:rsidR="002B05C4" w:rsidRPr="00B54513" w:rsidRDefault="00B54513" w:rsidP="009F4031">
      <w:pPr>
        <w:rPr>
          <w:b/>
          <w:lang w:eastAsia="x-none"/>
        </w:rPr>
      </w:pPr>
      <w:r w:rsidRPr="00B54513">
        <w:rPr>
          <w:b/>
          <w:lang w:eastAsia="x-none"/>
        </w:rPr>
        <w:t>Governance</w:t>
      </w:r>
      <w:r w:rsidR="002B05C4" w:rsidRPr="00B54513">
        <w:rPr>
          <w:b/>
          <w:lang w:eastAsia="x-none"/>
        </w:rPr>
        <w:t xml:space="preserve">  </w:t>
      </w:r>
    </w:p>
    <w:p w14:paraId="3124998B" w14:textId="77777777" w:rsidR="00794B45" w:rsidRDefault="002B05C4" w:rsidP="009F4031">
      <w:pPr>
        <w:rPr>
          <w:lang w:eastAsia="x-none"/>
        </w:rPr>
      </w:pPr>
      <w:r w:rsidRPr="00F57D68">
        <w:rPr>
          <w:u w:val="single"/>
          <w:lang w:eastAsia="x-none"/>
        </w:rPr>
        <w:t>Ministerial Council</w:t>
      </w:r>
      <w:r w:rsidRPr="00F57D68">
        <w:rPr>
          <w:lang w:eastAsia="x-none"/>
        </w:rPr>
        <w:t xml:space="preserve">:  COAG </w:t>
      </w:r>
      <w:r w:rsidR="00F57D68" w:rsidRPr="00F57D68">
        <w:rPr>
          <w:lang w:eastAsia="x-none"/>
        </w:rPr>
        <w:t>Energy Council</w:t>
      </w:r>
      <w:r w:rsidR="00014A00">
        <w:rPr>
          <w:lang w:eastAsia="x-none"/>
        </w:rPr>
        <w:t xml:space="preserve"> is</w:t>
      </w:r>
      <w:r w:rsidRPr="00F57D68">
        <w:rPr>
          <w:lang w:eastAsia="x-none"/>
        </w:rPr>
        <w:t xml:space="preserve"> the </w:t>
      </w:r>
      <w:r w:rsidR="00E63CBB">
        <w:rPr>
          <w:lang w:eastAsia="x-none"/>
        </w:rPr>
        <w:t>m</w:t>
      </w:r>
      <w:r w:rsidRPr="00F57D68">
        <w:rPr>
          <w:lang w:eastAsia="x-none"/>
        </w:rPr>
        <w:t xml:space="preserve">inisterial </w:t>
      </w:r>
      <w:r w:rsidR="00E63CBB">
        <w:rPr>
          <w:lang w:eastAsia="x-none"/>
        </w:rPr>
        <w:t>c</w:t>
      </w:r>
      <w:r w:rsidRPr="00F57D68">
        <w:rPr>
          <w:lang w:eastAsia="x-none"/>
        </w:rPr>
        <w:t xml:space="preserve">ouncil responsible for the IGA, which comprises </w:t>
      </w:r>
      <w:r w:rsidR="00E63CBB">
        <w:rPr>
          <w:lang w:eastAsia="x-none"/>
        </w:rPr>
        <w:t>m</w:t>
      </w:r>
      <w:r w:rsidRPr="00F57D68">
        <w:rPr>
          <w:lang w:eastAsia="x-none"/>
        </w:rPr>
        <w:t>inisters from each jurisdiction who</w:t>
      </w:r>
      <w:r w:rsidRPr="00B54513">
        <w:rPr>
          <w:lang w:eastAsia="x-none"/>
        </w:rPr>
        <w:t xml:space="preserve"> are responsible for the objectives of the </w:t>
      </w:r>
      <w:r w:rsidR="0030722E">
        <w:rPr>
          <w:lang w:eastAsia="x-none"/>
        </w:rPr>
        <w:t>program</w:t>
      </w:r>
      <w:r w:rsidRPr="00B54513">
        <w:rPr>
          <w:lang w:eastAsia="x-none"/>
        </w:rPr>
        <w:t xml:space="preserve">. The Ministerial Council is ultimately responsible for policy, planning and implementation of the </w:t>
      </w:r>
      <w:r w:rsidR="0030722E">
        <w:rPr>
          <w:lang w:eastAsia="x-none"/>
        </w:rPr>
        <w:t>program</w:t>
      </w:r>
      <w:r w:rsidRPr="00B54513">
        <w:rPr>
          <w:lang w:eastAsia="x-none"/>
        </w:rPr>
        <w:t>. Decisions are made, where possible</w:t>
      </w:r>
      <w:r w:rsidR="00E63CBB">
        <w:rPr>
          <w:lang w:eastAsia="x-none"/>
        </w:rPr>
        <w:t>,</w:t>
      </w:r>
      <w:r w:rsidRPr="00B54513">
        <w:rPr>
          <w:lang w:eastAsia="x-none"/>
        </w:rPr>
        <w:t xml:space="preserve"> by consensus and by voting where consensus isn’t reached</w:t>
      </w:r>
      <w:r w:rsidRPr="00B54513">
        <w:rPr>
          <w:rStyle w:val="FootnoteReference"/>
          <w:lang w:eastAsia="x-none"/>
        </w:rPr>
        <w:footnoteReference w:id="36"/>
      </w:r>
      <w:r w:rsidRPr="00B54513">
        <w:rPr>
          <w:lang w:eastAsia="x-none"/>
        </w:rPr>
        <w:t xml:space="preserve">.  </w:t>
      </w:r>
    </w:p>
    <w:p w14:paraId="64232FED" w14:textId="77777777" w:rsidR="00BB2282" w:rsidRPr="00B54513" w:rsidRDefault="005C0D4D" w:rsidP="00565E13">
      <w:pPr>
        <w:spacing w:after="0"/>
        <w:rPr>
          <w:lang w:eastAsia="x-none"/>
        </w:rPr>
      </w:pPr>
      <w:r w:rsidRPr="00F57D68">
        <w:rPr>
          <w:u w:val="single"/>
          <w:lang w:eastAsia="x-none"/>
        </w:rPr>
        <w:t>Inter-jurisdictional Advisory Committee (E3 Committee):</w:t>
      </w:r>
      <w:r w:rsidRPr="00B54513">
        <w:rPr>
          <w:lang w:eastAsia="x-none"/>
        </w:rPr>
        <w:t xml:space="preserve">  The </w:t>
      </w:r>
      <w:r w:rsidR="0030722E">
        <w:rPr>
          <w:lang w:eastAsia="x-none"/>
        </w:rPr>
        <w:t>IGA</w:t>
      </w:r>
      <w:r w:rsidR="0030722E" w:rsidRPr="00B54513">
        <w:rPr>
          <w:lang w:eastAsia="x-none"/>
        </w:rPr>
        <w:t xml:space="preserve"> </w:t>
      </w:r>
      <w:r w:rsidRPr="00B54513">
        <w:rPr>
          <w:lang w:eastAsia="x-none"/>
        </w:rPr>
        <w:t>set out the establishment of an advisory committee (the E3 Committee), chaired by the Commonwealth and with up to two representatives from each jurisdiction. The main functions of the Committee are to</w:t>
      </w:r>
      <w:r w:rsidR="00E63CBB">
        <w:rPr>
          <w:lang w:eastAsia="x-none"/>
        </w:rPr>
        <w:t>:</w:t>
      </w:r>
      <w:r w:rsidRPr="00B54513">
        <w:rPr>
          <w:lang w:eastAsia="x-none"/>
        </w:rPr>
        <w:t xml:space="preserve"> </w:t>
      </w:r>
    </w:p>
    <w:p w14:paraId="34F28D69" w14:textId="77777777" w:rsidR="00BB2282" w:rsidRPr="00B54513" w:rsidRDefault="001900A6" w:rsidP="00320FDC">
      <w:pPr>
        <w:numPr>
          <w:ilvl w:val="0"/>
          <w:numId w:val="47"/>
        </w:numPr>
        <w:spacing w:after="0"/>
        <w:rPr>
          <w:lang w:eastAsia="x-none"/>
        </w:rPr>
      </w:pPr>
      <w:r>
        <w:rPr>
          <w:lang w:eastAsia="x-none"/>
        </w:rPr>
        <w:t>p</w:t>
      </w:r>
      <w:r w:rsidR="005C0D4D" w:rsidRPr="00B54513">
        <w:rPr>
          <w:lang w:eastAsia="x-none"/>
        </w:rPr>
        <w:t xml:space="preserve">rovide </w:t>
      </w:r>
      <w:r w:rsidR="00F0732B" w:rsidRPr="00B54513">
        <w:rPr>
          <w:lang w:eastAsia="x-none"/>
        </w:rPr>
        <w:t xml:space="preserve">planning, policy development, standards setting </w:t>
      </w:r>
      <w:r w:rsidR="001D6350">
        <w:rPr>
          <w:lang w:eastAsia="x-none"/>
        </w:rPr>
        <w:t xml:space="preserve">and budget </w:t>
      </w:r>
      <w:r w:rsidR="005C0D4D" w:rsidRPr="00B54513">
        <w:rPr>
          <w:lang w:eastAsia="x-none"/>
        </w:rPr>
        <w:t>advice and technical i</w:t>
      </w:r>
      <w:r w:rsidR="00897AF9">
        <w:rPr>
          <w:lang w:eastAsia="x-none"/>
        </w:rPr>
        <w:t>nput to the Ministerial Council</w:t>
      </w:r>
      <w:r>
        <w:rPr>
          <w:lang w:eastAsia="x-none"/>
        </w:rPr>
        <w:t>;</w:t>
      </w:r>
    </w:p>
    <w:p w14:paraId="5827C7B7" w14:textId="77777777" w:rsidR="00BB2282" w:rsidRPr="00B54513" w:rsidRDefault="00960520" w:rsidP="00320FDC">
      <w:pPr>
        <w:numPr>
          <w:ilvl w:val="0"/>
          <w:numId w:val="47"/>
        </w:numPr>
        <w:spacing w:after="0"/>
        <w:rPr>
          <w:lang w:eastAsia="x-none"/>
        </w:rPr>
      </w:pPr>
      <w:r>
        <w:rPr>
          <w:lang w:eastAsia="x-none"/>
        </w:rPr>
        <w:t>t</w:t>
      </w:r>
      <w:r w:rsidR="00BB2282" w:rsidRPr="00B54513">
        <w:rPr>
          <w:lang w:eastAsia="x-none"/>
        </w:rPr>
        <w:t>ake lead responsibility for</w:t>
      </w:r>
      <w:r w:rsidR="00E63CBB">
        <w:rPr>
          <w:lang w:eastAsia="x-none"/>
        </w:rPr>
        <w:t>,</w:t>
      </w:r>
      <w:r w:rsidR="00BB2282" w:rsidRPr="00B54513">
        <w:rPr>
          <w:lang w:eastAsia="x-none"/>
        </w:rPr>
        <w:t xml:space="preserve"> and coordinate the development of</w:t>
      </w:r>
      <w:r w:rsidR="00E63CBB">
        <w:rPr>
          <w:lang w:eastAsia="x-none"/>
        </w:rPr>
        <w:t>,</w:t>
      </w:r>
      <w:r w:rsidR="00BB2282" w:rsidRPr="00B54513">
        <w:rPr>
          <w:lang w:eastAsia="x-none"/>
        </w:rPr>
        <w:t xml:space="preserve"> new or revised GEMS requirements</w:t>
      </w:r>
      <w:r w:rsidR="00E63CBB">
        <w:rPr>
          <w:lang w:eastAsia="x-none"/>
        </w:rPr>
        <w:t>;</w:t>
      </w:r>
      <w:r w:rsidR="001D6350">
        <w:rPr>
          <w:lang w:eastAsia="x-none"/>
        </w:rPr>
        <w:t xml:space="preserve"> and</w:t>
      </w:r>
    </w:p>
    <w:p w14:paraId="092597C4" w14:textId="77777777" w:rsidR="00BB2282" w:rsidRPr="00B54513" w:rsidRDefault="001900A6" w:rsidP="00320FDC">
      <w:pPr>
        <w:numPr>
          <w:ilvl w:val="0"/>
          <w:numId w:val="47"/>
        </w:numPr>
        <w:spacing w:after="0"/>
        <w:rPr>
          <w:lang w:eastAsia="x-none"/>
        </w:rPr>
      </w:pPr>
      <w:r>
        <w:rPr>
          <w:lang w:eastAsia="x-none"/>
        </w:rPr>
        <w:t>a</w:t>
      </w:r>
      <w:r w:rsidR="00BB2282" w:rsidRPr="00B54513">
        <w:rPr>
          <w:lang w:eastAsia="x-none"/>
        </w:rPr>
        <w:t xml:space="preserve">dvise and assist the </w:t>
      </w:r>
      <w:r w:rsidR="00E63CBB">
        <w:rPr>
          <w:lang w:eastAsia="x-none"/>
        </w:rPr>
        <w:t>r</w:t>
      </w:r>
      <w:r w:rsidR="00BB2282" w:rsidRPr="00B54513">
        <w:rPr>
          <w:lang w:eastAsia="x-none"/>
        </w:rPr>
        <w:t xml:space="preserve">egulator in the implementation of all major aspects of the scheme (compliance, enforcement and monitoring/ evaluation of outcomes). </w:t>
      </w:r>
    </w:p>
    <w:p w14:paraId="023BFD58" w14:textId="77777777" w:rsidR="00BB2282" w:rsidRDefault="00BB2282" w:rsidP="009F4031">
      <w:pPr>
        <w:spacing w:after="0"/>
        <w:rPr>
          <w:lang w:eastAsia="x-none"/>
        </w:rPr>
      </w:pPr>
    </w:p>
    <w:p w14:paraId="5272C2DA" w14:textId="77777777" w:rsidR="005F019B" w:rsidRDefault="0030722E" w:rsidP="009F4031">
      <w:pPr>
        <w:spacing w:after="0"/>
        <w:rPr>
          <w:lang w:eastAsia="x-none"/>
        </w:rPr>
      </w:pPr>
      <w:r>
        <w:rPr>
          <w:lang w:eastAsia="x-none"/>
        </w:rPr>
        <w:t xml:space="preserve">New Zealand is not a signatory </w:t>
      </w:r>
      <w:r w:rsidR="00E63CBB">
        <w:rPr>
          <w:lang w:eastAsia="x-none"/>
        </w:rPr>
        <w:t>to</w:t>
      </w:r>
      <w:r>
        <w:rPr>
          <w:lang w:eastAsia="x-none"/>
        </w:rPr>
        <w:t xml:space="preserve"> the IGA, but </w:t>
      </w:r>
      <w:r w:rsidR="00E63CBB">
        <w:rPr>
          <w:lang w:eastAsia="x-none"/>
        </w:rPr>
        <w:t xml:space="preserve">is a member </w:t>
      </w:r>
      <w:r>
        <w:rPr>
          <w:lang w:eastAsia="x-none"/>
        </w:rPr>
        <w:t>o</w:t>
      </w:r>
      <w:r w:rsidR="00E63CBB">
        <w:rPr>
          <w:lang w:eastAsia="x-none"/>
        </w:rPr>
        <w:t>f</w:t>
      </w:r>
      <w:r>
        <w:rPr>
          <w:lang w:eastAsia="x-none"/>
        </w:rPr>
        <w:t xml:space="preserve"> the E3 Committee </w:t>
      </w:r>
      <w:r w:rsidR="00E63CBB">
        <w:rPr>
          <w:lang w:eastAsia="x-none"/>
        </w:rPr>
        <w:t xml:space="preserve">under the IGA.  New Zealand </w:t>
      </w:r>
      <w:r>
        <w:rPr>
          <w:lang w:eastAsia="x-none"/>
        </w:rPr>
        <w:t>contributes funding towards administration in line with other jurisdictions.</w:t>
      </w:r>
    </w:p>
    <w:p w14:paraId="17AA13A5" w14:textId="77777777" w:rsidR="005F019B" w:rsidRDefault="005F019B" w:rsidP="009F4031">
      <w:pPr>
        <w:spacing w:after="0"/>
        <w:rPr>
          <w:lang w:eastAsia="x-none"/>
        </w:rPr>
      </w:pPr>
    </w:p>
    <w:p w14:paraId="72C06161" w14:textId="77777777" w:rsidR="005F019B" w:rsidRPr="005F019B" w:rsidRDefault="0030722E" w:rsidP="00C0330B">
      <w:pPr>
        <w:rPr>
          <w:rFonts w:eastAsia="Calibri"/>
          <w:szCs w:val="22"/>
          <w:lang w:val="en-AU" w:eastAsia="en-US"/>
        </w:rPr>
      </w:pPr>
      <w:r w:rsidRPr="00C0330B">
        <w:rPr>
          <w:u w:val="single"/>
          <w:lang w:eastAsia="x-none"/>
        </w:rPr>
        <w:t xml:space="preserve"> </w:t>
      </w:r>
      <w:r w:rsidR="005F019B" w:rsidRPr="00C0330B">
        <w:rPr>
          <w:rFonts w:eastAsia="Calibri"/>
          <w:szCs w:val="22"/>
          <w:u w:val="single"/>
          <w:lang w:val="en-AU" w:eastAsia="en-US"/>
        </w:rPr>
        <w:t>E3 Review Committee</w:t>
      </w:r>
      <w:r w:rsidR="00133A22">
        <w:rPr>
          <w:rFonts w:eastAsia="Calibri"/>
          <w:szCs w:val="22"/>
          <w:u w:val="single"/>
          <w:lang w:val="en-AU" w:eastAsia="en-US"/>
        </w:rPr>
        <w:t xml:space="preserve">:  </w:t>
      </w:r>
      <w:r w:rsidR="005F019B">
        <w:rPr>
          <w:rFonts w:eastAsia="Calibri"/>
          <w:szCs w:val="22"/>
          <w:lang w:val="en-AU" w:eastAsia="en-US"/>
        </w:rPr>
        <w:t>The E3 Committee is advised by the E3 Review Committee, comprised of i</w:t>
      </w:r>
      <w:r w:rsidR="005F019B" w:rsidRPr="005F019B">
        <w:rPr>
          <w:rFonts w:eastAsia="Calibri"/>
          <w:szCs w:val="22"/>
          <w:lang w:val="en-AU" w:eastAsia="en-US"/>
        </w:rPr>
        <w:t>ndustry groups and associations and consumer advocacy groups</w:t>
      </w:r>
      <w:r w:rsidR="005F019B">
        <w:rPr>
          <w:rFonts w:eastAsia="Calibri"/>
          <w:szCs w:val="22"/>
          <w:lang w:val="en-AU" w:eastAsia="en-US"/>
        </w:rPr>
        <w:t xml:space="preserve">. </w:t>
      </w:r>
      <w:r w:rsidR="005F019B" w:rsidRPr="005F019B">
        <w:rPr>
          <w:rFonts w:eastAsia="Calibri"/>
          <w:szCs w:val="22"/>
          <w:lang w:val="en-AU" w:eastAsia="en-US"/>
        </w:rPr>
        <w:t xml:space="preserve"> The Review Committee meets twice a year, back-to-back with the E3 Committee, and is chaired by the Chair of the E3 Committee (the head of the branch in the DoIS responsible for the E3 Program). The Review Committee is also consulted via email or telephone at other times as issues arise or advice and feedback is sought.</w:t>
      </w:r>
    </w:p>
    <w:p w14:paraId="5964A82B" w14:textId="77777777" w:rsidR="005F019B" w:rsidRPr="005F019B" w:rsidRDefault="005F019B" w:rsidP="005F019B">
      <w:pPr>
        <w:spacing w:before="120" w:after="120" w:line="240" w:lineRule="auto"/>
        <w:ind w:right="-3"/>
        <w:rPr>
          <w:rFonts w:eastAsia="Cambria"/>
          <w:szCs w:val="22"/>
          <w:lang w:val="en-AU" w:eastAsia="en-US"/>
        </w:rPr>
      </w:pPr>
      <w:r w:rsidRPr="005F019B">
        <w:rPr>
          <w:rFonts w:eastAsia="Calibri"/>
          <w:szCs w:val="22"/>
          <w:lang w:val="en-AU" w:eastAsia="en-US"/>
        </w:rPr>
        <w:t>The Review Committee is a valuable mechanism for consultation on work priorities, timeframes, technical details, across the products either regulated under the GEMS Act or where there is voluntary action. S</w:t>
      </w:r>
      <w:r w:rsidRPr="005F019B">
        <w:rPr>
          <w:rFonts w:eastAsia="Cambria"/>
          <w:szCs w:val="22"/>
          <w:lang w:val="en-AU" w:eastAsia="en-US"/>
        </w:rPr>
        <w:t>takeholder engagement, particularly during the product investigation process, provides important advice in relation to:</w:t>
      </w:r>
    </w:p>
    <w:p w14:paraId="0594630D" w14:textId="77777777" w:rsidR="005F019B" w:rsidRPr="005F019B" w:rsidRDefault="005F019B" w:rsidP="00243E2E">
      <w:pPr>
        <w:numPr>
          <w:ilvl w:val="0"/>
          <w:numId w:val="81"/>
        </w:numPr>
        <w:spacing w:before="120" w:after="120" w:line="240" w:lineRule="auto"/>
        <w:contextualSpacing/>
        <w:rPr>
          <w:rFonts w:eastAsia="Calibri"/>
          <w:szCs w:val="22"/>
          <w:lang w:eastAsia="en-US"/>
        </w:rPr>
      </w:pPr>
      <w:r w:rsidRPr="005F019B">
        <w:rPr>
          <w:rFonts w:eastAsia="Calibri"/>
          <w:szCs w:val="22"/>
          <w:lang w:eastAsia="en-US"/>
        </w:rPr>
        <w:t>Informing the identification of products for investigation</w:t>
      </w:r>
      <w:r w:rsidR="00133A22">
        <w:rPr>
          <w:rFonts w:eastAsia="Calibri"/>
          <w:szCs w:val="22"/>
          <w:lang w:eastAsia="en-US"/>
        </w:rPr>
        <w:t>;</w:t>
      </w:r>
    </w:p>
    <w:p w14:paraId="28A88CA4" w14:textId="77777777" w:rsidR="005F019B" w:rsidRPr="005F019B" w:rsidRDefault="005F019B" w:rsidP="00243E2E">
      <w:pPr>
        <w:numPr>
          <w:ilvl w:val="0"/>
          <w:numId w:val="81"/>
        </w:numPr>
        <w:spacing w:before="120" w:after="120" w:line="240" w:lineRule="auto"/>
        <w:contextualSpacing/>
        <w:rPr>
          <w:rFonts w:eastAsia="Calibri"/>
          <w:szCs w:val="22"/>
          <w:lang w:eastAsia="en-US"/>
        </w:rPr>
      </w:pPr>
      <w:r w:rsidRPr="005F019B">
        <w:rPr>
          <w:rFonts w:eastAsia="Calibri"/>
          <w:szCs w:val="22"/>
          <w:lang w:eastAsia="en-US"/>
        </w:rPr>
        <w:t>Developing timeframes for the investigation process</w:t>
      </w:r>
      <w:r w:rsidR="00133A22">
        <w:rPr>
          <w:rFonts w:eastAsia="Calibri"/>
          <w:szCs w:val="22"/>
          <w:lang w:eastAsia="en-US"/>
        </w:rPr>
        <w:t>;</w:t>
      </w:r>
    </w:p>
    <w:p w14:paraId="65283BC7" w14:textId="77777777" w:rsidR="005F019B" w:rsidRPr="005F019B" w:rsidRDefault="005F019B" w:rsidP="00243E2E">
      <w:pPr>
        <w:numPr>
          <w:ilvl w:val="0"/>
          <w:numId w:val="81"/>
        </w:numPr>
        <w:spacing w:before="120" w:after="120" w:line="240" w:lineRule="auto"/>
        <w:contextualSpacing/>
        <w:rPr>
          <w:rFonts w:eastAsia="Calibri"/>
          <w:szCs w:val="22"/>
          <w:lang w:eastAsia="en-US"/>
        </w:rPr>
      </w:pPr>
      <w:r w:rsidRPr="005F019B">
        <w:rPr>
          <w:rFonts w:eastAsia="Calibri"/>
          <w:szCs w:val="22"/>
          <w:lang w:eastAsia="en-US"/>
        </w:rPr>
        <w:t>Informing and reviewing product profiles</w:t>
      </w:r>
      <w:r w:rsidR="00133A22">
        <w:rPr>
          <w:rFonts w:eastAsia="Calibri"/>
          <w:szCs w:val="22"/>
          <w:lang w:eastAsia="en-US"/>
        </w:rPr>
        <w:t>;</w:t>
      </w:r>
    </w:p>
    <w:p w14:paraId="538A3714" w14:textId="77777777" w:rsidR="005F019B" w:rsidRPr="005F019B" w:rsidRDefault="005F019B" w:rsidP="00243E2E">
      <w:pPr>
        <w:numPr>
          <w:ilvl w:val="0"/>
          <w:numId w:val="81"/>
        </w:numPr>
        <w:spacing w:before="120" w:after="120" w:line="240" w:lineRule="auto"/>
        <w:contextualSpacing/>
        <w:rPr>
          <w:rFonts w:eastAsia="Calibri"/>
          <w:szCs w:val="22"/>
          <w:lang w:eastAsia="en-US"/>
        </w:rPr>
      </w:pPr>
      <w:r w:rsidRPr="005F019B">
        <w:rPr>
          <w:rFonts w:eastAsia="Calibri"/>
          <w:szCs w:val="22"/>
          <w:lang w:eastAsia="en-US"/>
        </w:rPr>
        <w:t>Providing key information, data and perspectives for Consultation RISs</w:t>
      </w:r>
      <w:r w:rsidR="00133A22">
        <w:rPr>
          <w:rFonts w:eastAsia="Calibri"/>
          <w:szCs w:val="22"/>
          <w:lang w:eastAsia="en-US"/>
        </w:rPr>
        <w:t>;</w:t>
      </w:r>
    </w:p>
    <w:p w14:paraId="786FE8C8" w14:textId="77777777" w:rsidR="005F019B" w:rsidRPr="005F019B" w:rsidRDefault="005F019B" w:rsidP="00243E2E">
      <w:pPr>
        <w:numPr>
          <w:ilvl w:val="0"/>
          <w:numId w:val="81"/>
        </w:numPr>
        <w:spacing w:before="120" w:after="120" w:line="240" w:lineRule="auto"/>
        <w:contextualSpacing/>
        <w:rPr>
          <w:rFonts w:eastAsia="Calibri"/>
          <w:szCs w:val="22"/>
          <w:lang w:eastAsia="en-US"/>
        </w:rPr>
      </w:pPr>
      <w:r w:rsidRPr="005F019B">
        <w:rPr>
          <w:rFonts w:eastAsia="Calibri"/>
          <w:szCs w:val="22"/>
          <w:lang w:eastAsia="en-US"/>
        </w:rPr>
        <w:t>Informing draft determinations</w:t>
      </w:r>
      <w:r w:rsidR="00133A22">
        <w:rPr>
          <w:rFonts w:eastAsia="Calibri"/>
          <w:szCs w:val="22"/>
          <w:lang w:eastAsia="en-US"/>
        </w:rPr>
        <w:t>;</w:t>
      </w:r>
    </w:p>
    <w:p w14:paraId="78423DC9" w14:textId="77777777" w:rsidR="005F019B" w:rsidRPr="005F019B" w:rsidRDefault="005F019B" w:rsidP="00243E2E">
      <w:pPr>
        <w:numPr>
          <w:ilvl w:val="0"/>
          <w:numId w:val="81"/>
        </w:numPr>
        <w:spacing w:before="120" w:after="120" w:line="240" w:lineRule="auto"/>
        <w:contextualSpacing/>
        <w:rPr>
          <w:rFonts w:eastAsia="Calibri"/>
          <w:szCs w:val="22"/>
          <w:lang w:eastAsia="en-US"/>
        </w:rPr>
      </w:pPr>
      <w:r w:rsidRPr="005F019B">
        <w:rPr>
          <w:rFonts w:eastAsia="Calibri"/>
          <w:szCs w:val="22"/>
          <w:lang w:eastAsia="en-US"/>
        </w:rPr>
        <w:t>Providing information towards and reviewing proposals for voluntary measures</w:t>
      </w:r>
      <w:r w:rsidR="00133A22">
        <w:rPr>
          <w:rFonts w:eastAsia="Calibri"/>
          <w:szCs w:val="22"/>
          <w:lang w:eastAsia="en-US"/>
        </w:rPr>
        <w:t>;</w:t>
      </w:r>
    </w:p>
    <w:p w14:paraId="20492F0C" w14:textId="77777777" w:rsidR="005F019B" w:rsidRPr="005F019B" w:rsidRDefault="005F019B" w:rsidP="00243E2E">
      <w:pPr>
        <w:numPr>
          <w:ilvl w:val="0"/>
          <w:numId w:val="81"/>
        </w:numPr>
        <w:spacing w:before="120" w:after="120" w:line="240" w:lineRule="auto"/>
        <w:contextualSpacing/>
        <w:rPr>
          <w:rFonts w:eastAsia="Calibri"/>
          <w:szCs w:val="22"/>
          <w:lang w:eastAsia="en-US"/>
        </w:rPr>
      </w:pPr>
      <w:r w:rsidRPr="005F019B">
        <w:rPr>
          <w:rFonts w:eastAsia="Calibri"/>
          <w:szCs w:val="22"/>
          <w:lang w:eastAsia="en-US"/>
        </w:rPr>
        <w:t>Participating in the development of technical standards and testing methods</w:t>
      </w:r>
      <w:r w:rsidR="00133A22">
        <w:rPr>
          <w:rFonts w:eastAsia="Calibri"/>
          <w:szCs w:val="22"/>
          <w:lang w:eastAsia="en-US"/>
        </w:rPr>
        <w:t>;</w:t>
      </w:r>
    </w:p>
    <w:p w14:paraId="329EAFE9" w14:textId="77777777" w:rsidR="005F019B" w:rsidRPr="005F019B" w:rsidRDefault="005F019B" w:rsidP="00243E2E">
      <w:pPr>
        <w:numPr>
          <w:ilvl w:val="0"/>
          <w:numId w:val="81"/>
        </w:numPr>
        <w:spacing w:before="120" w:after="120" w:line="240" w:lineRule="auto"/>
        <w:contextualSpacing/>
        <w:rPr>
          <w:rFonts w:eastAsia="Calibri"/>
          <w:szCs w:val="22"/>
          <w:lang w:eastAsia="en-US"/>
        </w:rPr>
      </w:pPr>
      <w:r w:rsidRPr="005F019B">
        <w:rPr>
          <w:rFonts w:eastAsia="Calibri"/>
          <w:szCs w:val="22"/>
          <w:lang w:eastAsia="en-US"/>
        </w:rPr>
        <w:t>Providing ongoing feedback on the effectiveness and efficiency of the administration of the E3 Program</w:t>
      </w:r>
      <w:r w:rsidR="00133A22">
        <w:rPr>
          <w:rFonts w:eastAsia="Calibri"/>
          <w:szCs w:val="22"/>
          <w:lang w:eastAsia="en-US"/>
        </w:rPr>
        <w:t>;</w:t>
      </w:r>
    </w:p>
    <w:p w14:paraId="0CCF3B3D" w14:textId="77777777" w:rsidR="005F019B" w:rsidRPr="005F019B" w:rsidRDefault="005F019B" w:rsidP="00243E2E">
      <w:pPr>
        <w:numPr>
          <w:ilvl w:val="0"/>
          <w:numId w:val="81"/>
        </w:numPr>
        <w:spacing w:before="120" w:after="120" w:line="240" w:lineRule="auto"/>
        <w:contextualSpacing/>
        <w:rPr>
          <w:rFonts w:eastAsia="Calibri"/>
          <w:szCs w:val="22"/>
          <w:lang w:eastAsia="en-US"/>
        </w:rPr>
      </w:pPr>
      <w:r w:rsidRPr="005F019B">
        <w:rPr>
          <w:rFonts w:eastAsia="Calibri"/>
          <w:szCs w:val="22"/>
          <w:lang w:eastAsia="en-US"/>
        </w:rPr>
        <w:t>Inputting into compliance mechanisms and processes</w:t>
      </w:r>
      <w:r w:rsidR="00133A22">
        <w:rPr>
          <w:rFonts w:eastAsia="Calibri"/>
          <w:szCs w:val="22"/>
          <w:lang w:eastAsia="en-US"/>
        </w:rPr>
        <w:t>;</w:t>
      </w:r>
      <w:r w:rsidRPr="005F019B">
        <w:rPr>
          <w:rFonts w:eastAsia="Calibri"/>
          <w:szCs w:val="22"/>
          <w:lang w:eastAsia="en-US"/>
        </w:rPr>
        <w:t xml:space="preserve"> and</w:t>
      </w:r>
    </w:p>
    <w:p w14:paraId="0520527A" w14:textId="77777777" w:rsidR="005F019B" w:rsidRPr="005F019B" w:rsidRDefault="005F019B" w:rsidP="00243E2E">
      <w:pPr>
        <w:numPr>
          <w:ilvl w:val="0"/>
          <w:numId w:val="81"/>
        </w:numPr>
        <w:spacing w:before="120" w:after="120" w:line="240" w:lineRule="auto"/>
        <w:contextualSpacing/>
        <w:rPr>
          <w:rFonts w:eastAsia="Calibri"/>
          <w:szCs w:val="22"/>
          <w:lang w:eastAsia="en-US"/>
        </w:rPr>
      </w:pPr>
      <w:r w:rsidRPr="005F019B">
        <w:rPr>
          <w:rFonts w:eastAsia="Calibri"/>
          <w:szCs w:val="22"/>
          <w:lang w:eastAsia="en-US"/>
        </w:rPr>
        <w:t>Provide input into the ongoing evaluation of the E3 Program and GEMS legislation.</w:t>
      </w:r>
    </w:p>
    <w:p w14:paraId="4408D874" w14:textId="77777777" w:rsidR="00C24886" w:rsidRDefault="00C24886" w:rsidP="009F4031">
      <w:pPr>
        <w:spacing w:after="0"/>
        <w:rPr>
          <w:highlight w:val="yellow"/>
          <w:u w:val="single"/>
          <w:lang w:eastAsia="x-none"/>
        </w:rPr>
      </w:pPr>
    </w:p>
    <w:p w14:paraId="2264B495" w14:textId="77777777" w:rsidR="00C0545B" w:rsidRPr="00B54513" w:rsidRDefault="009F28AF" w:rsidP="009F4031">
      <w:pPr>
        <w:spacing w:after="0"/>
        <w:rPr>
          <w:lang w:eastAsia="x-none"/>
        </w:rPr>
      </w:pPr>
      <w:r w:rsidRPr="00997283">
        <w:rPr>
          <w:b/>
          <w:u w:val="single"/>
          <w:lang w:eastAsia="x-none"/>
        </w:rPr>
        <w:t>Administration and funding</w:t>
      </w:r>
    </w:p>
    <w:p w14:paraId="0C7074D3" w14:textId="77777777" w:rsidR="00ED29C7" w:rsidRDefault="0087357D" w:rsidP="00997283">
      <w:pPr>
        <w:spacing w:after="0"/>
        <w:rPr>
          <w:lang w:eastAsia="x-none"/>
        </w:rPr>
      </w:pPr>
      <w:r w:rsidRPr="00B54513">
        <w:rPr>
          <w:u w:val="single"/>
          <w:lang w:eastAsia="x-none"/>
        </w:rPr>
        <w:t>Program administration and t</w:t>
      </w:r>
      <w:r w:rsidR="00BB2282" w:rsidRPr="00B54513">
        <w:rPr>
          <w:u w:val="single"/>
          <w:lang w:eastAsia="x-none"/>
        </w:rPr>
        <w:t xml:space="preserve">he </w:t>
      </w:r>
      <w:r w:rsidR="00A152C2" w:rsidRPr="00B54513">
        <w:rPr>
          <w:u w:val="single"/>
          <w:lang w:eastAsia="x-none"/>
        </w:rPr>
        <w:t xml:space="preserve">GEMS </w:t>
      </w:r>
      <w:r w:rsidR="00BB2282" w:rsidRPr="00B54513">
        <w:rPr>
          <w:u w:val="single"/>
          <w:lang w:eastAsia="x-none"/>
        </w:rPr>
        <w:t>Regulator</w:t>
      </w:r>
      <w:r w:rsidR="00BB2282" w:rsidRPr="00B54513">
        <w:rPr>
          <w:lang w:eastAsia="x-none"/>
        </w:rPr>
        <w:t xml:space="preserve">:  </w:t>
      </w:r>
      <w:r w:rsidRPr="00B54513">
        <w:t xml:space="preserve">The </w:t>
      </w:r>
      <w:r w:rsidR="0030722E">
        <w:t xml:space="preserve">E3 </w:t>
      </w:r>
      <w:r w:rsidRPr="00B54513">
        <w:t xml:space="preserve">program is managed on behalf of all jurisdictions by the Appliance Energy Efficiency Branch in </w:t>
      </w:r>
      <w:r w:rsidR="00C70DE9" w:rsidRPr="00A71C14">
        <w:t>DoI</w:t>
      </w:r>
      <w:r w:rsidR="00C70DE9">
        <w:t>S</w:t>
      </w:r>
      <w:r w:rsidRPr="00B54513">
        <w:t xml:space="preserve">.  </w:t>
      </w:r>
      <w:r w:rsidR="00BB2282" w:rsidRPr="00B54513">
        <w:rPr>
          <w:lang w:eastAsia="x-none"/>
        </w:rPr>
        <w:t xml:space="preserve">The role of </w:t>
      </w:r>
      <w:r w:rsidR="00474399">
        <w:rPr>
          <w:lang w:eastAsia="x-none"/>
        </w:rPr>
        <w:t xml:space="preserve">GEMS </w:t>
      </w:r>
      <w:r w:rsidR="00BB2282" w:rsidRPr="00B54513">
        <w:rPr>
          <w:lang w:eastAsia="x-none"/>
        </w:rPr>
        <w:t xml:space="preserve">Regulator is undertaken by </w:t>
      </w:r>
      <w:r w:rsidR="00A152C2" w:rsidRPr="00B54513">
        <w:rPr>
          <w:lang w:eastAsia="x-none"/>
        </w:rPr>
        <w:t xml:space="preserve">a senior </w:t>
      </w:r>
      <w:r w:rsidR="0030722E">
        <w:rPr>
          <w:lang w:eastAsia="x-none"/>
        </w:rPr>
        <w:t>public</w:t>
      </w:r>
      <w:r w:rsidR="009C6846">
        <w:rPr>
          <w:lang w:eastAsia="x-none"/>
        </w:rPr>
        <w:t xml:space="preserve"> servant</w:t>
      </w:r>
      <w:r w:rsidR="0030722E">
        <w:rPr>
          <w:lang w:eastAsia="x-none"/>
        </w:rPr>
        <w:t xml:space="preserve">, and their </w:t>
      </w:r>
      <w:r w:rsidR="00BB2282" w:rsidRPr="00B54513">
        <w:rPr>
          <w:lang w:eastAsia="x-none"/>
        </w:rPr>
        <w:t xml:space="preserve">responsibilities are set out in the </w:t>
      </w:r>
      <w:r w:rsidR="00A152C2" w:rsidRPr="00B54513">
        <w:rPr>
          <w:lang w:eastAsia="x-none"/>
        </w:rPr>
        <w:t>GEMS Act</w:t>
      </w:r>
      <w:r w:rsidR="008537BB">
        <w:rPr>
          <w:lang w:eastAsia="x-none"/>
        </w:rPr>
        <w:t>.</w:t>
      </w:r>
    </w:p>
    <w:p w14:paraId="513E7B13" w14:textId="77777777" w:rsidR="0030722E" w:rsidRPr="00B54513" w:rsidRDefault="0030722E" w:rsidP="00997283">
      <w:pPr>
        <w:spacing w:after="0"/>
        <w:rPr>
          <w:lang w:eastAsia="x-none"/>
        </w:rPr>
      </w:pPr>
    </w:p>
    <w:p w14:paraId="6504591F" w14:textId="77777777" w:rsidR="0087357D" w:rsidRPr="00B54513" w:rsidRDefault="00797B33" w:rsidP="009F4031">
      <w:pPr>
        <w:rPr>
          <w:lang w:eastAsia="x-none"/>
        </w:rPr>
      </w:pPr>
      <w:r w:rsidRPr="00B54513">
        <w:rPr>
          <w:u w:val="single"/>
          <w:lang w:eastAsia="x-none"/>
        </w:rPr>
        <w:t>Program funding</w:t>
      </w:r>
      <w:r w:rsidR="0087357D" w:rsidRPr="00B54513">
        <w:rPr>
          <w:lang w:eastAsia="x-none"/>
        </w:rPr>
        <w:t xml:space="preserve">:  The IGA sets out the agreement for the funding of the </w:t>
      </w:r>
      <w:r w:rsidR="009F28AF">
        <w:rPr>
          <w:lang w:eastAsia="x-none"/>
        </w:rPr>
        <w:t>program</w:t>
      </w:r>
      <w:r w:rsidR="009F28AF" w:rsidRPr="00B54513">
        <w:rPr>
          <w:lang w:eastAsia="x-none"/>
        </w:rPr>
        <w:t xml:space="preserve"> </w:t>
      </w:r>
      <w:r w:rsidR="0087357D" w:rsidRPr="00B54513">
        <w:rPr>
          <w:lang w:eastAsia="x-none"/>
        </w:rPr>
        <w:t xml:space="preserve">for the first four years.  </w:t>
      </w:r>
      <w:r w:rsidR="0087357D" w:rsidRPr="00B54513">
        <w:rPr>
          <w:lang w:eastAsia="x-none"/>
        </w:rPr>
        <w:fldChar w:fldCharType="begin"/>
      </w:r>
      <w:r w:rsidR="0087357D" w:rsidRPr="00B54513">
        <w:rPr>
          <w:lang w:eastAsia="x-none"/>
        </w:rPr>
        <w:instrText xml:space="preserve"> REF _Ref408987025 \h </w:instrText>
      </w:r>
      <w:r w:rsidR="00B54513">
        <w:rPr>
          <w:lang w:eastAsia="x-none"/>
        </w:rPr>
        <w:instrText xml:space="preserve"> \* MERGEFORMAT </w:instrText>
      </w:r>
      <w:r w:rsidR="0087357D" w:rsidRPr="00B54513">
        <w:rPr>
          <w:lang w:eastAsia="x-none"/>
        </w:rPr>
      </w:r>
      <w:r w:rsidR="0087357D" w:rsidRPr="00B54513">
        <w:rPr>
          <w:lang w:eastAsia="x-none"/>
        </w:rPr>
        <w:fldChar w:fldCharType="separate"/>
      </w:r>
      <w:r w:rsidR="00BE13BF" w:rsidRPr="009D32BA">
        <w:t xml:space="preserve">Table </w:t>
      </w:r>
      <w:r w:rsidR="00BE13BF">
        <w:rPr>
          <w:noProof/>
        </w:rPr>
        <w:t>1</w:t>
      </w:r>
      <w:r w:rsidR="0087357D" w:rsidRPr="00B54513">
        <w:rPr>
          <w:lang w:eastAsia="x-none"/>
        </w:rPr>
        <w:fldChar w:fldCharType="end"/>
      </w:r>
      <w:r w:rsidR="0087357D" w:rsidRPr="00B54513">
        <w:rPr>
          <w:lang w:eastAsia="x-none"/>
        </w:rPr>
        <w:t xml:space="preserve"> shows the </w:t>
      </w:r>
      <w:r w:rsidR="00EA5B87">
        <w:rPr>
          <w:lang w:eastAsia="x-none"/>
        </w:rPr>
        <w:t xml:space="preserve">percentage </w:t>
      </w:r>
      <w:r w:rsidR="0059439F">
        <w:rPr>
          <w:lang w:eastAsia="x-none"/>
        </w:rPr>
        <w:t xml:space="preserve">of </w:t>
      </w:r>
      <w:r w:rsidR="0087357D" w:rsidRPr="00B54513">
        <w:rPr>
          <w:lang w:eastAsia="x-none"/>
        </w:rPr>
        <w:t xml:space="preserve">funding contribution of each jurisdiction. </w:t>
      </w:r>
      <w:r w:rsidR="005C3C3A">
        <w:rPr>
          <w:lang w:eastAsia="x-none"/>
        </w:rPr>
        <w:t xml:space="preserve"> </w:t>
      </w:r>
      <w:r w:rsidR="00EA5B87">
        <w:rPr>
          <w:lang w:eastAsia="x-none"/>
        </w:rPr>
        <w:t>T</w:t>
      </w:r>
      <w:r w:rsidR="005C3C3A">
        <w:rPr>
          <w:lang w:eastAsia="x-none"/>
        </w:rPr>
        <w:t>otal indicative operating</w:t>
      </w:r>
      <w:r w:rsidR="007E4F12">
        <w:rPr>
          <w:lang w:eastAsia="x-none"/>
        </w:rPr>
        <w:t xml:space="preserve"> </w:t>
      </w:r>
      <w:r w:rsidR="005C3C3A">
        <w:rPr>
          <w:lang w:eastAsia="x-none"/>
        </w:rPr>
        <w:t xml:space="preserve">non-staff budgets are shown in </w:t>
      </w:r>
      <w:r w:rsidR="005C3C3A">
        <w:rPr>
          <w:lang w:eastAsia="x-none"/>
        </w:rPr>
        <w:fldChar w:fldCharType="begin"/>
      </w:r>
      <w:r w:rsidR="005C3C3A">
        <w:rPr>
          <w:lang w:eastAsia="x-none"/>
        </w:rPr>
        <w:instrText xml:space="preserve"> REF _Ref409352828 \h </w:instrText>
      </w:r>
      <w:r w:rsidR="005C3C3A">
        <w:rPr>
          <w:lang w:eastAsia="x-none"/>
        </w:rPr>
      </w:r>
      <w:r w:rsidR="005C3C3A">
        <w:rPr>
          <w:lang w:eastAsia="x-none"/>
        </w:rPr>
        <w:fldChar w:fldCharType="separate"/>
      </w:r>
      <w:r w:rsidR="00BE13BF">
        <w:t xml:space="preserve">Table </w:t>
      </w:r>
      <w:r w:rsidR="00BE13BF">
        <w:rPr>
          <w:noProof/>
        </w:rPr>
        <w:t>2</w:t>
      </w:r>
      <w:r w:rsidR="005C3C3A">
        <w:rPr>
          <w:lang w:eastAsia="x-none"/>
        </w:rPr>
        <w:fldChar w:fldCharType="end"/>
      </w:r>
      <w:r w:rsidR="005C3C3A">
        <w:rPr>
          <w:lang w:eastAsia="x-none"/>
        </w:rPr>
        <w:t>.</w:t>
      </w:r>
    </w:p>
    <w:p w14:paraId="72DBF691" w14:textId="77777777" w:rsidR="0087357D" w:rsidRPr="009D32BA" w:rsidRDefault="0087357D" w:rsidP="009D32BA">
      <w:pPr>
        <w:pStyle w:val="Caption"/>
      </w:pPr>
      <w:bookmarkStart w:id="22" w:name="_Ref408987025"/>
      <w:r w:rsidRPr="009D32BA">
        <w:t xml:space="preserve">Table </w:t>
      </w:r>
      <w:r w:rsidRPr="009D32BA">
        <w:fldChar w:fldCharType="begin"/>
      </w:r>
      <w:r w:rsidRPr="009D32BA">
        <w:instrText xml:space="preserve"> SEQ Table \* ARABIC </w:instrText>
      </w:r>
      <w:r w:rsidRPr="009D32BA">
        <w:fldChar w:fldCharType="separate"/>
      </w:r>
      <w:r w:rsidR="00BE13BF">
        <w:rPr>
          <w:noProof/>
        </w:rPr>
        <w:t>1</w:t>
      </w:r>
      <w:r w:rsidRPr="009D32BA">
        <w:fldChar w:fldCharType="end"/>
      </w:r>
      <w:bookmarkEnd w:id="22"/>
      <w:r w:rsidRPr="009D32BA">
        <w:t xml:space="preserve">:  </w:t>
      </w:r>
      <w:r w:rsidR="00C24886">
        <w:t>Percentage of</w:t>
      </w:r>
      <w:r w:rsidR="00C24886" w:rsidRPr="009D32BA">
        <w:t xml:space="preserve"> </w:t>
      </w:r>
      <w:r w:rsidRPr="009D32BA">
        <w:t>GEMS funding contribution by jurisdiction</w:t>
      </w:r>
      <w:r w:rsidR="000234B7">
        <w:rPr>
          <w:rStyle w:val="FootnoteReference"/>
        </w:rPr>
        <w:footnoteReference w:id="37"/>
      </w:r>
    </w:p>
    <w:tbl>
      <w:tblPr>
        <w:tblW w:w="9087" w:type="dxa"/>
        <w:tblInd w:w="93" w:type="dxa"/>
        <w:tblLook w:val="04A0" w:firstRow="1" w:lastRow="0" w:firstColumn="1" w:lastColumn="0" w:noHBand="0" w:noVBand="1"/>
      </w:tblPr>
      <w:tblGrid>
        <w:gridCol w:w="1574"/>
        <w:gridCol w:w="765"/>
        <w:gridCol w:w="764"/>
        <w:gridCol w:w="742"/>
        <w:gridCol w:w="743"/>
        <w:gridCol w:w="743"/>
        <w:gridCol w:w="742"/>
        <w:gridCol w:w="743"/>
        <w:gridCol w:w="764"/>
        <w:gridCol w:w="743"/>
        <w:gridCol w:w="764"/>
      </w:tblGrid>
      <w:tr w:rsidR="00641823" w:rsidRPr="00B54513" w14:paraId="2D7C4171" w14:textId="77777777" w:rsidTr="00AA19CB">
        <w:trPr>
          <w:trHeight w:val="300"/>
        </w:trPr>
        <w:tc>
          <w:tcPr>
            <w:tcW w:w="15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8EFFA0" w14:textId="77777777" w:rsidR="0087357D" w:rsidRPr="00B54513" w:rsidRDefault="0087357D" w:rsidP="009F4031">
            <w:pPr>
              <w:spacing w:after="0"/>
              <w:jc w:val="center"/>
              <w:rPr>
                <w:rFonts w:cs="Calibri"/>
                <w:szCs w:val="22"/>
              </w:rPr>
            </w:pPr>
            <w:r w:rsidRPr="00B54513">
              <w:rPr>
                <w:rFonts w:cs="Calibri"/>
                <w:szCs w:val="22"/>
              </w:rPr>
              <w:t>Jurisdiction</w:t>
            </w:r>
          </w:p>
        </w:tc>
        <w:tc>
          <w:tcPr>
            <w:tcW w:w="749" w:type="dxa"/>
            <w:tcBorders>
              <w:top w:val="single" w:sz="4" w:space="0" w:color="auto"/>
              <w:left w:val="nil"/>
              <w:bottom w:val="single" w:sz="4" w:space="0" w:color="auto"/>
              <w:right w:val="single" w:sz="4" w:space="0" w:color="auto"/>
            </w:tcBorders>
            <w:shd w:val="clear" w:color="auto" w:fill="auto"/>
            <w:vAlign w:val="center"/>
            <w:hideMark/>
          </w:tcPr>
          <w:p w14:paraId="37F18D25" w14:textId="77777777" w:rsidR="0087357D" w:rsidRPr="00B54513" w:rsidRDefault="0087357D" w:rsidP="009F4031">
            <w:pPr>
              <w:spacing w:after="0"/>
              <w:jc w:val="center"/>
              <w:rPr>
                <w:rFonts w:cs="Calibri"/>
                <w:szCs w:val="22"/>
              </w:rPr>
            </w:pPr>
            <w:r w:rsidRPr="00B54513">
              <w:rPr>
                <w:rFonts w:cs="Calibri"/>
                <w:szCs w:val="22"/>
              </w:rPr>
              <w:t>Cth</w:t>
            </w:r>
          </w:p>
        </w:tc>
        <w:tc>
          <w:tcPr>
            <w:tcW w:w="750" w:type="dxa"/>
            <w:tcBorders>
              <w:top w:val="single" w:sz="4" w:space="0" w:color="auto"/>
              <w:left w:val="nil"/>
              <w:bottom w:val="single" w:sz="4" w:space="0" w:color="auto"/>
              <w:right w:val="single" w:sz="4" w:space="0" w:color="auto"/>
            </w:tcBorders>
            <w:shd w:val="clear" w:color="auto" w:fill="auto"/>
            <w:vAlign w:val="center"/>
            <w:hideMark/>
          </w:tcPr>
          <w:p w14:paraId="48C08D32" w14:textId="77777777" w:rsidR="0087357D" w:rsidRPr="00B54513" w:rsidRDefault="0087357D" w:rsidP="009F4031">
            <w:pPr>
              <w:spacing w:after="0"/>
              <w:jc w:val="center"/>
              <w:rPr>
                <w:rFonts w:cs="Calibri"/>
                <w:szCs w:val="22"/>
              </w:rPr>
            </w:pPr>
            <w:r w:rsidRPr="00B54513">
              <w:rPr>
                <w:rFonts w:cs="Calibri"/>
                <w:szCs w:val="22"/>
              </w:rPr>
              <w:t>NSW</w:t>
            </w:r>
          </w:p>
        </w:tc>
        <w:tc>
          <w:tcPr>
            <w:tcW w:w="749" w:type="dxa"/>
            <w:tcBorders>
              <w:top w:val="single" w:sz="4" w:space="0" w:color="auto"/>
              <w:left w:val="nil"/>
              <w:bottom w:val="single" w:sz="4" w:space="0" w:color="auto"/>
              <w:right w:val="single" w:sz="4" w:space="0" w:color="auto"/>
            </w:tcBorders>
            <w:shd w:val="clear" w:color="auto" w:fill="auto"/>
            <w:vAlign w:val="center"/>
            <w:hideMark/>
          </w:tcPr>
          <w:p w14:paraId="1DF59F51" w14:textId="77777777" w:rsidR="0087357D" w:rsidRPr="00B54513" w:rsidRDefault="0087357D" w:rsidP="009F4031">
            <w:pPr>
              <w:spacing w:after="0"/>
              <w:jc w:val="center"/>
              <w:rPr>
                <w:rFonts w:cs="Calibri"/>
                <w:szCs w:val="22"/>
              </w:rPr>
            </w:pPr>
            <w:r w:rsidRPr="00B54513">
              <w:rPr>
                <w:rFonts w:cs="Calibri"/>
                <w:szCs w:val="22"/>
              </w:rPr>
              <w:t>ACT</w:t>
            </w:r>
          </w:p>
        </w:tc>
        <w:tc>
          <w:tcPr>
            <w:tcW w:w="750" w:type="dxa"/>
            <w:tcBorders>
              <w:top w:val="single" w:sz="4" w:space="0" w:color="auto"/>
              <w:left w:val="nil"/>
              <w:bottom w:val="single" w:sz="4" w:space="0" w:color="auto"/>
              <w:right w:val="single" w:sz="4" w:space="0" w:color="auto"/>
            </w:tcBorders>
            <w:shd w:val="clear" w:color="auto" w:fill="auto"/>
            <w:vAlign w:val="center"/>
            <w:hideMark/>
          </w:tcPr>
          <w:p w14:paraId="72EDAC55" w14:textId="77777777" w:rsidR="0087357D" w:rsidRPr="00B54513" w:rsidRDefault="0087357D" w:rsidP="009F4031">
            <w:pPr>
              <w:spacing w:after="0"/>
              <w:jc w:val="center"/>
              <w:rPr>
                <w:rFonts w:cs="Calibri"/>
                <w:szCs w:val="22"/>
              </w:rPr>
            </w:pPr>
            <w:r w:rsidRPr="00B54513">
              <w:rPr>
                <w:rFonts w:cs="Calibri"/>
                <w:szCs w:val="22"/>
              </w:rPr>
              <w:t>NT</w:t>
            </w:r>
            <w:r w:rsidR="00641823">
              <w:rPr>
                <w:rStyle w:val="FootnoteReference"/>
                <w:rFonts w:cs="Calibri"/>
                <w:szCs w:val="22"/>
              </w:rPr>
              <w:footnoteReference w:id="38"/>
            </w:r>
          </w:p>
        </w:tc>
        <w:tc>
          <w:tcPr>
            <w:tcW w:w="750" w:type="dxa"/>
            <w:tcBorders>
              <w:top w:val="single" w:sz="4" w:space="0" w:color="auto"/>
              <w:left w:val="nil"/>
              <w:bottom w:val="single" w:sz="4" w:space="0" w:color="auto"/>
              <w:right w:val="single" w:sz="4" w:space="0" w:color="auto"/>
            </w:tcBorders>
            <w:shd w:val="clear" w:color="auto" w:fill="auto"/>
            <w:vAlign w:val="center"/>
            <w:hideMark/>
          </w:tcPr>
          <w:p w14:paraId="22F924C7" w14:textId="77777777" w:rsidR="0087357D" w:rsidRPr="00B54513" w:rsidRDefault="0087357D" w:rsidP="009F4031">
            <w:pPr>
              <w:spacing w:after="0"/>
              <w:jc w:val="center"/>
              <w:rPr>
                <w:rFonts w:cs="Calibri"/>
                <w:szCs w:val="22"/>
              </w:rPr>
            </w:pPr>
            <w:r w:rsidRPr="00B54513">
              <w:rPr>
                <w:rFonts w:cs="Calibri"/>
                <w:szCs w:val="22"/>
              </w:rPr>
              <w:t>QLD</w:t>
            </w:r>
          </w:p>
        </w:tc>
        <w:tc>
          <w:tcPr>
            <w:tcW w:w="749" w:type="dxa"/>
            <w:tcBorders>
              <w:top w:val="single" w:sz="4" w:space="0" w:color="auto"/>
              <w:left w:val="nil"/>
              <w:bottom w:val="single" w:sz="4" w:space="0" w:color="auto"/>
              <w:right w:val="single" w:sz="4" w:space="0" w:color="auto"/>
            </w:tcBorders>
            <w:shd w:val="clear" w:color="auto" w:fill="auto"/>
            <w:vAlign w:val="center"/>
            <w:hideMark/>
          </w:tcPr>
          <w:p w14:paraId="4B04AF59" w14:textId="77777777" w:rsidR="0087357D" w:rsidRPr="00B54513" w:rsidRDefault="0087357D" w:rsidP="009F4031">
            <w:pPr>
              <w:spacing w:after="0"/>
              <w:jc w:val="center"/>
              <w:rPr>
                <w:rFonts w:cs="Calibri"/>
                <w:szCs w:val="22"/>
              </w:rPr>
            </w:pPr>
            <w:r w:rsidRPr="00B54513">
              <w:rPr>
                <w:rFonts w:cs="Calibri"/>
                <w:szCs w:val="22"/>
              </w:rPr>
              <w:t>SA</w:t>
            </w:r>
          </w:p>
        </w:tc>
        <w:tc>
          <w:tcPr>
            <w:tcW w:w="750" w:type="dxa"/>
            <w:tcBorders>
              <w:top w:val="single" w:sz="4" w:space="0" w:color="auto"/>
              <w:left w:val="nil"/>
              <w:bottom w:val="single" w:sz="4" w:space="0" w:color="auto"/>
              <w:right w:val="single" w:sz="4" w:space="0" w:color="auto"/>
            </w:tcBorders>
            <w:shd w:val="clear" w:color="auto" w:fill="auto"/>
            <w:vAlign w:val="center"/>
            <w:hideMark/>
          </w:tcPr>
          <w:p w14:paraId="0DC7C6FF" w14:textId="77777777" w:rsidR="0087357D" w:rsidRPr="00B54513" w:rsidRDefault="0087357D" w:rsidP="009F4031">
            <w:pPr>
              <w:spacing w:after="0"/>
              <w:jc w:val="center"/>
              <w:rPr>
                <w:rFonts w:cs="Calibri"/>
                <w:szCs w:val="22"/>
              </w:rPr>
            </w:pPr>
            <w:r w:rsidRPr="00B54513">
              <w:rPr>
                <w:rFonts w:cs="Calibri"/>
                <w:szCs w:val="22"/>
              </w:rPr>
              <w:t>TAS</w:t>
            </w:r>
          </w:p>
        </w:tc>
        <w:tc>
          <w:tcPr>
            <w:tcW w:w="749" w:type="dxa"/>
            <w:tcBorders>
              <w:top w:val="single" w:sz="4" w:space="0" w:color="auto"/>
              <w:left w:val="nil"/>
              <w:bottom w:val="single" w:sz="4" w:space="0" w:color="auto"/>
              <w:right w:val="single" w:sz="4" w:space="0" w:color="auto"/>
            </w:tcBorders>
            <w:shd w:val="clear" w:color="auto" w:fill="auto"/>
            <w:vAlign w:val="center"/>
            <w:hideMark/>
          </w:tcPr>
          <w:p w14:paraId="4429DA10" w14:textId="77777777" w:rsidR="0087357D" w:rsidRPr="00B54513" w:rsidRDefault="0087357D" w:rsidP="009F4031">
            <w:pPr>
              <w:spacing w:after="0"/>
              <w:jc w:val="center"/>
              <w:rPr>
                <w:rFonts w:cs="Calibri"/>
                <w:szCs w:val="22"/>
              </w:rPr>
            </w:pPr>
            <w:r w:rsidRPr="00B54513">
              <w:rPr>
                <w:rFonts w:cs="Calibri"/>
                <w:szCs w:val="22"/>
              </w:rPr>
              <w:t>VIC</w:t>
            </w:r>
          </w:p>
        </w:tc>
        <w:tc>
          <w:tcPr>
            <w:tcW w:w="750" w:type="dxa"/>
            <w:tcBorders>
              <w:top w:val="single" w:sz="4" w:space="0" w:color="auto"/>
              <w:left w:val="nil"/>
              <w:bottom w:val="single" w:sz="4" w:space="0" w:color="auto"/>
              <w:right w:val="single" w:sz="4" w:space="0" w:color="auto"/>
            </w:tcBorders>
            <w:shd w:val="clear" w:color="auto" w:fill="auto"/>
            <w:vAlign w:val="center"/>
            <w:hideMark/>
          </w:tcPr>
          <w:p w14:paraId="149F5ED9" w14:textId="77777777" w:rsidR="0087357D" w:rsidRPr="00B54513" w:rsidRDefault="0087357D" w:rsidP="009F4031">
            <w:pPr>
              <w:spacing w:after="0"/>
              <w:jc w:val="center"/>
              <w:rPr>
                <w:rFonts w:cs="Calibri"/>
                <w:szCs w:val="22"/>
              </w:rPr>
            </w:pPr>
            <w:r w:rsidRPr="00B54513">
              <w:rPr>
                <w:rFonts w:cs="Calibri"/>
                <w:szCs w:val="22"/>
              </w:rPr>
              <w:t>WA</w:t>
            </w:r>
          </w:p>
        </w:tc>
        <w:tc>
          <w:tcPr>
            <w:tcW w:w="750" w:type="dxa"/>
            <w:tcBorders>
              <w:top w:val="single" w:sz="4" w:space="0" w:color="auto"/>
              <w:left w:val="nil"/>
              <w:bottom w:val="single" w:sz="4" w:space="0" w:color="auto"/>
              <w:right w:val="single" w:sz="4" w:space="0" w:color="auto"/>
            </w:tcBorders>
            <w:shd w:val="clear" w:color="auto" w:fill="auto"/>
            <w:vAlign w:val="center"/>
            <w:hideMark/>
          </w:tcPr>
          <w:p w14:paraId="410665CD" w14:textId="77777777" w:rsidR="0087357D" w:rsidRPr="00B54513" w:rsidRDefault="0087357D" w:rsidP="009F4031">
            <w:pPr>
              <w:spacing w:after="0"/>
              <w:jc w:val="center"/>
              <w:rPr>
                <w:rFonts w:cs="Calibri"/>
                <w:szCs w:val="22"/>
              </w:rPr>
            </w:pPr>
            <w:r w:rsidRPr="00B54513">
              <w:rPr>
                <w:rFonts w:cs="Calibri"/>
                <w:szCs w:val="22"/>
              </w:rPr>
              <w:t>NZ</w:t>
            </w:r>
          </w:p>
        </w:tc>
      </w:tr>
      <w:tr w:rsidR="00641823" w:rsidRPr="00B54513" w14:paraId="1B911CD7" w14:textId="77777777" w:rsidTr="00AA19CB">
        <w:trPr>
          <w:trHeight w:val="600"/>
        </w:trPr>
        <w:tc>
          <w:tcPr>
            <w:tcW w:w="1591" w:type="dxa"/>
            <w:tcBorders>
              <w:top w:val="nil"/>
              <w:left w:val="single" w:sz="4" w:space="0" w:color="auto"/>
              <w:bottom w:val="single" w:sz="4" w:space="0" w:color="auto"/>
              <w:right w:val="single" w:sz="4" w:space="0" w:color="auto"/>
            </w:tcBorders>
            <w:shd w:val="clear" w:color="auto" w:fill="auto"/>
            <w:vAlign w:val="center"/>
            <w:hideMark/>
          </w:tcPr>
          <w:p w14:paraId="12E748F8" w14:textId="77777777" w:rsidR="0087357D" w:rsidRPr="00B54513" w:rsidRDefault="0087357D" w:rsidP="009F4031">
            <w:pPr>
              <w:spacing w:after="0"/>
              <w:jc w:val="center"/>
              <w:rPr>
                <w:rFonts w:cs="Calibri"/>
                <w:szCs w:val="22"/>
              </w:rPr>
            </w:pPr>
            <w:r w:rsidRPr="00B54513">
              <w:rPr>
                <w:rFonts w:cs="Calibri"/>
                <w:szCs w:val="22"/>
              </w:rPr>
              <w:t>Funding contribution</w:t>
            </w:r>
          </w:p>
        </w:tc>
        <w:tc>
          <w:tcPr>
            <w:tcW w:w="749" w:type="dxa"/>
            <w:tcBorders>
              <w:top w:val="nil"/>
              <w:left w:val="nil"/>
              <w:bottom w:val="single" w:sz="4" w:space="0" w:color="auto"/>
              <w:right w:val="single" w:sz="4" w:space="0" w:color="auto"/>
            </w:tcBorders>
            <w:shd w:val="clear" w:color="auto" w:fill="auto"/>
            <w:vAlign w:val="center"/>
            <w:hideMark/>
          </w:tcPr>
          <w:p w14:paraId="4DE71F6B" w14:textId="77777777" w:rsidR="0087357D" w:rsidRPr="00B54513" w:rsidRDefault="0087357D" w:rsidP="009F4031">
            <w:pPr>
              <w:spacing w:after="0"/>
              <w:jc w:val="center"/>
              <w:rPr>
                <w:rFonts w:cs="Calibri"/>
                <w:szCs w:val="22"/>
              </w:rPr>
            </w:pPr>
            <w:r w:rsidRPr="00B54513">
              <w:rPr>
                <w:rFonts w:cs="Calibri"/>
                <w:szCs w:val="22"/>
              </w:rPr>
              <w:t>42</w:t>
            </w:r>
            <w:r w:rsidR="00641823">
              <w:rPr>
                <w:rFonts w:cs="Calibri"/>
                <w:szCs w:val="22"/>
              </w:rPr>
              <w:t>.2</w:t>
            </w:r>
            <w:r w:rsidRPr="00B54513">
              <w:rPr>
                <w:rFonts w:cs="Calibri"/>
                <w:szCs w:val="22"/>
              </w:rPr>
              <w:t>%</w:t>
            </w:r>
          </w:p>
        </w:tc>
        <w:tc>
          <w:tcPr>
            <w:tcW w:w="750" w:type="dxa"/>
            <w:tcBorders>
              <w:top w:val="nil"/>
              <w:left w:val="nil"/>
              <w:bottom w:val="single" w:sz="4" w:space="0" w:color="auto"/>
              <w:right w:val="single" w:sz="4" w:space="0" w:color="auto"/>
            </w:tcBorders>
            <w:shd w:val="clear" w:color="auto" w:fill="auto"/>
            <w:vAlign w:val="center"/>
            <w:hideMark/>
          </w:tcPr>
          <w:p w14:paraId="36AD3718" w14:textId="77777777" w:rsidR="0087357D" w:rsidRPr="00B54513" w:rsidRDefault="0087357D" w:rsidP="009F4031">
            <w:pPr>
              <w:spacing w:after="0"/>
              <w:jc w:val="center"/>
              <w:rPr>
                <w:rFonts w:cs="Calibri"/>
                <w:szCs w:val="22"/>
              </w:rPr>
            </w:pPr>
            <w:r w:rsidRPr="00B54513">
              <w:rPr>
                <w:rFonts w:cs="Calibri"/>
                <w:szCs w:val="22"/>
              </w:rPr>
              <w:t>1</w:t>
            </w:r>
            <w:r w:rsidR="00641823">
              <w:rPr>
                <w:rFonts w:cs="Calibri"/>
                <w:szCs w:val="22"/>
              </w:rPr>
              <w:t>3.7</w:t>
            </w:r>
            <w:r w:rsidRPr="00B54513">
              <w:rPr>
                <w:rFonts w:cs="Calibri"/>
                <w:szCs w:val="22"/>
              </w:rPr>
              <w:t>%</w:t>
            </w:r>
          </w:p>
        </w:tc>
        <w:tc>
          <w:tcPr>
            <w:tcW w:w="749" w:type="dxa"/>
            <w:tcBorders>
              <w:top w:val="nil"/>
              <w:left w:val="nil"/>
              <w:bottom w:val="single" w:sz="4" w:space="0" w:color="auto"/>
              <w:right w:val="single" w:sz="4" w:space="0" w:color="auto"/>
            </w:tcBorders>
            <w:shd w:val="clear" w:color="auto" w:fill="auto"/>
            <w:vAlign w:val="center"/>
            <w:hideMark/>
          </w:tcPr>
          <w:p w14:paraId="2E276AC9" w14:textId="77777777" w:rsidR="0087357D" w:rsidRPr="00B54513" w:rsidRDefault="00641823" w:rsidP="009F4031">
            <w:pPr>
              <w:spacing w:after="0"/>
              <w:jc w:val="center"/>
              <w:rPr>
                <w:rFonts w:cs="Calibri"/>
                <w:szCs w:val="22"/>
              </w:rPr>
            </w:pPr>
            <w:r>
              <w:rPr>
                <w:rFonts w:cs="Calibri"/>
                <w:szCs w:val="22"/>
              </w:rPr>
              <w:t>0.7</w:t>
            </w:r>
            <w:r w:rsidR="0087357D" w:rsidRPr="00B54513">
              <w:rPr>
                <w:rFonts w:cs="Calibri"/>
                <w:szCs w:val="22"/>
              </w:rPr>
              <w:t>%</w:t>
            </w:r>
          </w:p>
        </w:tc>
        <w:tc>
          <w:tcPr>
            <w:tcW w:w="750" w:type="dxa"/>
            <w:tcBorders>
              <w:top w:val="nil"/>
              <w:left w:val="nil"/>
              <w:bottom w:val="single" w:sz="4" w:space="0" w:color="auto"/>
              <w:right w:val="single" w:sz="4" w:space="0" w:color="auto"/>
            </w:tcBorders>
            <w:shd w:val="clear" w:color="auto" w:fill="auto"/>
            <w:vAlign w:val="center"/>
            <w:hideMark/>
          </w:tcPr>
          <w:p w14:paraId="39387D68" w14:textId="77777777" w:rsidR="0087357D" w:rsidRPr="00B54513" w:rsidRDefault="00641823" w:rsidP="009F4031">
            <w:pPr>
              <w:spacing w:after="0"/>
              <w:jc w:val="center"/>
              <w:rPr>
                <w:rFonts w:cs="Calibri"/>
                <w:szCs w:val="22"/>
              </w:rPr>
            </w:pPr>
            <w:r>
              <w:rPr>
                <w:rFonts w:cs="Calibri"/>
                <w:szCs w:val="22"/>
              </w:rPr>
              <w:t>0.4</w:t>
            </w:r>
            <w:r w:rsidR="0087357D" w:rsidRPr="00B54513">
              <w:rPr>
                <w:rFonts w:cs="Calibri"/>
                <w:szCs w:val="22"/>
              </w:rPr>
              <w:t>%</w:t>
            </w:r>
          </w:p>
        </w:tc>
        <w:tc>
          <w:tcPr>
            <w:tcW w:w="750" w:type="dxa"/>
            <w:tcBorders>
              <w:top w:val="nil"/>
              <w:left w:val="nil"/>
              <w:bottom w:val="single" w:sz="4" w:space="0" w:color="auto"/>
              <w:right w:val="single" w:sz="4" w:space="0" w:color="auto"/>
            </w:tcBorders>
            <w:shd w:val="clear" w:color="auto" w:fill="auto"/>
            <w:vAlign w:val="center"/>
            <w:hideMark/>
          </w:tcPr>
          <w:p w14:paraId="472FD732" w14:textId="77777777" w:rsidR="0087357D" w:rsidRPr="00B54513" w:rsidRDefault="00641823" w:rsidP="009F4031">
            <w:pPr>
              <w:spacing w:after="0"/>
              <w:jc w:val="center"/>
              <w:rPr>
                <w:rFonts w:cs="Calibri"/>
                <w:szCs w:val="22"/>
              </w:rPr>
            </w:pPr>
            <w:r>
              <w:rPr>
                <w:rFonts w:cs="Calibri"/>
                <w:szCs w:val="22"/>
              </w:rPr>
              <w:t>8.5</w:t>
            </w:r>
            <w:r w:rsidR="0087357D" w:rsidRPr="00B54513">
              <w:rPr>
                <w:rFonts w:cs="Calibri"/>
                <w:szCs w:val="22"/>
              </w:rPr>
              <w:t>%</w:t>
            </w:r>
          </w:p>
        </w:tc>
        <w:tc>
          <w:tcPr>
            <w:tcW w:w="749" w:type="dxa"/>
            <w:tcBorders>
              <w:top w:val="nil"/>
              <w:left w:val="nil"/>
              <w:bottom w:val="single" w:sz="4" w:space="0" w:color="auto"/>
              <w:right w:val="single" w:sz="4" w:space="0" w:color="auto"/>
            </w:tcBorders>
            <w:shd w:val="clear" w:color="auto" w:fill="auto"/>
            <w:vAlign w:val="center"/>
            <w:hideMark/>
          </w:tcPr>
          <w:p w14:paraId="115F7FE5" w14:textId="77777777" w:rsidR="0087357D" w:rsidRPr="00B54513" w:rsidRDefault="00641823" w:rsidP="009F4031">
            <w:pPr>
              <w:spacing w:after="0"/>
              <w:jc w:val="center"/>
              <w:rPr>
                <w:rFonts w:cs="Calibri"/>
                <w:szCs w:val="22"/>
              </w:rPr>
            </w:pPr>
            <w:r>
              <w:rPr>
                <w:rFonts w:cs="Calibri"/>
                <w:szCs w:val="22"/>
              </w:rPr>
              <w:t>3.1</w:t>
            </w:r>
            <w:r w:rsidR="0087357D" w:rsidRPr="00B54513">
              <w:rPr>
                <w:rFonts w:cs="Calibri"/>
                <w:szCs w:val="22"/>
              </w:rPr>
              <w:t>%</w:t>
            </w:r>
          </w:p>
        </w:tc>
        <w:tc>
          <w:tcPr>
            <w:tcW w:w="750" w:type="dxa"/>
            <w:tcBorders>
              <w:top w:val="nil"/>
              <w:left w:val="nil"/>
              <w:bottom w:val="single" w:sz="4" w:space="0" w:color="auto"/>
              <w:right w:val="single" w:sz="4" w:space="0" w:color="auto"/>
            </w:tcBorders>
            <w:shd w:val="clear" w:color="auto" w:fill="auto"/>
            <w:vAlign w:val="center"/>
            <w:hideMark/>
          </w:tcPr>
          <w:p w14:paraId="17BA28CB" w14:textId="77777777" w:rsidR="0087357D" w:rsidRPr="00B54513" w:rsidRDefault="0087357D" w:rsidP="009F4031">
            <w:pPr>
              <w:spacing w:after="0"/>
              <w:jc w:val="center"/>
              <w:rPr>
                <w:rFonts w:cs="Calibri"/>
                <w:szCs w:val="22"/>
              </w:rPr>
            </w:pPr>
            <w:r w:rsidRPr="00B54513">
              <w:rPr>
                <w:rFonts w:cs="Calibri"/>
                <w:szCs w:val="22"/>
              </w:rPr>
              <w:t>1</w:t>
            </w:r>
            <w:r w:rsidR="00641823">
              <w:rPr>
                <w:rFonts w:cs="Calibri"/>
                <w:szCs w:val="22"/>
              </w:rPr>
              <w:t>.0</w:t>
            </w:r>
            <w:r w:rsidRPr="00B54513">
              <w:rPr>
                <w:rFonts w:cs="Calibri"/>
                <w:szCs w:val="22"/>
              </w:rPr>
              <w:t>%</w:t>
            </w:r>
          </w:p>
        </w:tc>
        <w:tc>
          <w:tcPr>
            <w:tcW w:w="749" w:type="dxa"/>
            <w:tcBorders>
              <w:top w:val="nil"/>
              <w:left w:val="nil"/>
              <w:bottom w:val="single" w:sz="4" w:space="0" w:color="auto"/>
              <w:right w:val="single" w:sz="4" w:space="0" w:color="auto"/>
            </w:tcBorders>
            <w:shd w:val="clear" w:color="auto" w:fill="auto"/>
            <w:vAlign w:val="center"/>
            <w:hideMark/>
          </w:tcPr>
          <w:p w14:paraId="5BBBBADA" w14:textId="77777777" w:rsidR="0087357D" w:rsidRPr="00B54513" w:rsidRDefault="0087357D" w:rsidP="009F4031">
            <w:pPr>
              <w:spacing w:after="0"/>
              <w:jc w:val="center"/>
              <w:rPr>
                <w:rFonts w:cs="Calibri"/>
                <w:szCs w:val="22"/>
              </w:rPr>
            </w:pPr>
            <w:r w:rsidRPr="00B54513">
              <w:rPr>
                <w:rFonts w:cs="Calibri"/>
                <w:szCs w:val="22"/>
              </w:rPr>
              <w:t>10</w:t>
            </w:r>
            <w:r w:rsidR="00641823">
              <w:rPr>
                <w:rFonts w:cs="Calibri"/>
                <w:szCs w:val="22"/>
              </w:rPr>
              <w:t>.5</w:t>
            </w:r>
            <w:r w:rsidRPr="00B54513">
              <w:rPr>
                <w:rFonts w:cs="Calibri"/>
                <w:szCs w:val="22"/>
              </w:rPr>
              <w:t>%</w:t>
            </w:r>
          </w:p>
        </w:tc>
        <w:tc>
          <w:tcPr>
            <w:tcW w:w="750" w:type="dxa"/>
            <w:tcBorders>
              <w:top w:val="nil"/>
              <w:left w:val="nil"/>
              <w:bottom w:val="single" w:sz="4" w:space="0" w:color="auto"/>
              <w:right w:val="single" w:sz="4" w:space="0" w:color="auto"/>
            </w:tcBorders>
            <w:shd w:val="clear" w:color="auto" w:fill="auto"/>
            <w:vAlign w:val="center"/>
            <w:hideMark/>
          </w:tcPr>
          <w:p w14:paraId="4BFC257F" w14:textId="77777777" w:rsidR="0087357D" w:rsidRPr="00B54513" w:rsidRDefault="0087357D" w:rsidP="009F4031">
            <w:pPr>
              <w:spacing w:after="0"/>
              <w:jc w:val="center"/>
              <w:rPr>
                <w:rFonts w:cs="Calibri"/>
                <w:szCs w:val="22"/>
              </w:rPr>
            </w:pPr>
            <w:r w:rsidRPr="00B54513">
              <w:rPr>
                <w:rFonts w:cs="Calibri"/>
                <w:szCs w:val="22"/>
              </w:rPr>
              <w:t>4</w:t>
            </w:r>
            <w:r w:rsidR="00641823">
              <w:rPr>
                <w:rFonts w:cs="Calibri"/>
                <w:szCs w:val="22"/>
              </w:rPr>
              <w:t>.4</w:t>
            </w:r>
            <w:r w:rsidRPr="00B54513">
              <w:rPr>
                <w:rFonts w:cs="Calibri"/>
                <w:szCs w:val="22"/>
              </w:rPr>
              <w:t>%</w:t>
            </w:r>
          </w:p>
        </w:tc>
        <w:tc>
          <w:tcPr>
            <w:tcW w:w="750" w:type="dxa"/>
            <w:tcBorders>
              <w:top w:val="nil"/>
              <w:left w:val="nil"/>
              <w:bottom w:val="single" w:sz="4" w:space="0" w:color="auto"/>
              <w:right w:val="single" w:sz="4" w:space="0" w:color="auto"/>
            </w:tcBorders>
            <w:shd w:val="clear" w:color="auto" w:fill="auto"/>
            <w:vAlign w:val="center"/>
            <w:hideMark/>
          </w:tcPr>
          <w:p w14:paraId="23374CFC" w14:textId="77777777" w:rsidR="0087357D" w:rsidRPr="00B54513" w:rsidRDefault="0087357D" w:rsidP="009F4031">
            <w:pPr>
              <w:spacing w:after="0"/>
              <w:jc w:val="center"/>
              <w:rPr>
                <w:rFonts w:cs="Calibri"/>
                <w:szCs w:val="22"/>
              </w:rPr>
            </w:pPr>
            <w:r w:rsidRPr="00B54513">
              <w:rPr>
                <w:rFonts w:cs="Calibri"/>
                <w:szCs w:val="22"/>
              </w:rPr>
              <w:t>1</w:t>
            </w:r>
            <w:r w:rsidR="00641823">
              <w:rPr>
                <w:rFonts w:cs="Calibri"/>
                <w:szCs w:val="22"/>
              </w:rPr>
              <w:t>5.6</w:t>
            </w:r>
            <w:r w:rsidRPr="00B54513">
              <w:rPr>
                <w:rFonts w:cs="Calibri"/>
                <w:szCs w:val="22"/>
              </w:rPr>
              <w:t>%</w:t>
            </w:r>
          </w:p>
        </w:tc>
      </w:tr>
    </w:tbl>
    <w:p w14:paraId="290C2DE9" w14:textId="77777777" w:rsidR="00534202" w:rsidRDefault="0087357D" w:rsidP="00534202">
      <w:pPr>
        <w:spacing w:after="0"/>
        <w:rPr>
          <w:lang w:eastAsia="x-none"/>
        </w:rPr>
      </w:pPr>
      <w:r w:rsidRPr="00B54513">
        <w:rPr>
          <w:lang w:eastAsia="x-none"/>
        </w:rPr>
        <w:t xml:space="preserve">  </w:t>
      </w:r>
      <w:bookmarkStart w:id="23" w:name="_Ref409352828"/>
    </w:p>
    <w:p w14:paraId="534A1A43" w14:textId="77777777" w:rsidR="00534202" w:rsidRDefault="00534202">
      <w:pPr>
        <w:spacing w:after="0" w:line="240" w:lineRule="auto"/>
        <w:rPr>
          <w:lang w:eastAsia="x-none"/>
        </w:rPr>
      </w:pPr>
      <w:r>
        <w:rPr>
          <w:lang w:eastAsia="x-none"/>
        </w:rPr>
        <w:br w:type="page"/>
      </w:r>
    </w:p>
    <w:p w14:paraId="5CDE5547" w14:textId="77777777" w:rsidR="00A4317C" w:rsidRDefault="00A4317C" w:rsidP="00534202">
      <w:pPr>
        <w:spacing w:after="0"/>
      </w:pPr>
    </w:p>
    <w:p w14:paraId="587A75EF" w14:textId="77777777" w:rsidR="005C3C3A" w:rsidRDefault="005C3C3A" w:rsidP="005C3C3A">
      <w:pPr>
        <w:pStyle w:val="Caption"/>
        <w:keepNext/>
      </w:pPr>
      <w:r>
        <w:t xml:space="preserve">Table </w:t>
      </w:r>
      <w:r>
        <w:fldChar w:fldCharType="begin"/>
      </w:r>
      <w:r>
        <w:instrText xml:space="preserve"> SEQ Table \* ARABIC </w:instrText>
      </w:r>
      <w:r>
        <w:fldChar w:fldCharType="separate"/>
      </w:r>
      <w:r w:rsidR="00BE13BF">
        <w:rPr>
          <w:noProof/>
        </w:rPr>
        <w:t>2</w:t>
      </w:r>
      <w:r>
        <w:fldChar w:fldCharType="end"/>
      </w:r>
      <w:bookmarkEnd w:id="23"/>
      <w:r>
        <w:t>:  Indicative operating budgets of non-staff costs 2013-16 ($AUDM</w:t>
      </w:r>
      <w:r>
        <w:rPr>
          <w:rStyle w:val="FootnoteReference"/>
        </w:rPr>
        <w:footnoteReference w:id="39"/>
      </w:r>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575"/>
        <w:gridCol w:w="1575"/>
        <w:gridCol w:w="1575"/>
      </w:tblGrid>
      <w:tr w:rsidR="005C3C3A" w14:paraId="0C7BD0E3" w14:textId="77777777" w:rsidTr="005C3C3A">
        <w:tc>
          <w:tcPr>
            <w:tcW w:w="2943" w:type="dxa"/>
            <w:tcBorders>
              <w:top w:val="single" w:sz="4" w:space="0" w:color="auto"/>
              <w:left w:val="single" w:sz="4" w:space="0" w:color="auto"/>
              <w:bottom w:val="single" w:sz="4" w:space="0" w:color="auto"/>
              <w:right w:val="single" w:sz="4" w:space="0" w:color="auto"/>
            </w:tcBorders>
            <w:hideMark/>
          </w:tcPr>
          <w:p w14:paraId="6D0B364D" w14:textId="77777777" w:rsidR="005C3C3A" w:rsidRDefault="005C3C3A">
            <w:pPr>
              <w:spacing w:before="60" w:after="60" w:line="240" w:lineRule="auto"/>
              <w:rPr>
                <w:b/>
                <w:bCs/>
                <w:sz w:val="24"/>
                <w:szCs w:val="24"/>
                <w:lang w:val="en-AU" w:eastAsia="en-US"/>
              </w:rPr>
            </w:pPr>
            <w:r>
              <w:rPr>
                <w:b/>
                <w:bCs/>
                <w:szCs w:val="24"/>
              </w:rPr>
              <w:t>Year</w:t>
            </w:r>
          </w:p>
        </w:tc>
        <w:tc>
          <w:tcPr>
            <w:tcW w:w="1575" w:type="dxa"/>
            <w:tcBorders>
              <w:top w:val="single" w:sz="4" w:space="0" w:color="auto"/>
              <w:left w:val="single" w:sz="4" w:space="0" w:color="auto"/>
              <w:bottom w:val="single" w:sz="4" w:space="0" w:color="auto"/>
              <w:right w:val="single" w:sz="4" w:space="0" w:color="auto"/>
            </w:tcBorders>
            <w:hideMark/>
          </w:tcPr>
          <w:p w14:paraId="622F1810" w14:textId="77777777" w:rsidR="005C3C3A" w:rsidRDefault="005C3C3A">
            <w:pPr>
              <w:spacing w:before="60" w:after="60" w:line="240" w:lineRule="auto"/>
              <w:rPr>
                <w:b/>
                <w:bCs/>
                <w:sz w:val="24"/>
                <w:szCs w:val="24"/>
                <w:lang w:val="en-AU" w:eastAsia="en-US"/>
              </w:rPr>
            </w:pPr>
            <w:r>
              <w:rPr>
                <w:b/>
                <w:bCs/>
                <w:szCs w:val="24"/>
              </w:rPr>
              <w:t>2013-14</w:t>
            </w:r>
          </w:p>
        </w:tc>
        <w:tc>
          <w:tcPr>
            <w:tcW w:w="1575" w:type="dxa"/>
            <w:tcBorders>
              <w:top w:val="single" w:sz="4" w:space="0" w:color="auto"/>
              <w:left w:val="single" w:sz="4" w:space="0" w:color="auto"/>
              <w:bottom w:val="single" w:sz="4" w:space="0" w:color="auto"/>
              <w:right w:val="single" w:sz="4" w:space="0" w:color="auto"/>
            </w:tcBorders>
            <w:hideMark/>
          </w:tcPr>
          <w:p w14:paraId="43BB13D3" w14:textId="77777777" w:rsidR="005C3C3A" w:rsidRDefault="005C3C3A">
            <w:pPr>
              <w:spacing w:before="60" w:after="60" w:line="240" w:lineRule="auto"/>
              <w:rPr>
                <w:b/>
                <w:bCs/>
                <w:sz w:val="24"/>
                <w:szCs w:val="24"/>
                <w:lang w:val="en-AU" w:eastAsia="en-US"/>
              </w:rPr>
            </w:pPr>
            <w:r>
              <w:rPr>
                <w:b/>
                <w:bCs/>
                <w:szCs w:val="24"/>
              </w:rPr>
              <w:t>2014-15</w:t>
            </w:r>
          </w:p>
        </w:tc>
        <w:tc>
          <w:tcPr>
            <w:tcW w:w="1575" w:type="dxa"/>
            <w:tcBorders>
              <w:top w:val="single" w:sz="4" w:space="0" w:color="auto"/>
              <w:left w:val="single" w:sz="4" w:space="0" w:color="auto"/>
              <w:bottom w:val="single" w:sz="4" w:space="0" w:color="auto"/>
              <w:right w:val="single" w:sz="4" w:space="0" w:color="auto"/>
            </w:tcBorders>
            <w:hideMark/>
          </w:tcPr>
          <w:p w14:paraId="7AF462B6" w14:textId="77777777" w:rsidR="005C3C3A" w:rsidRDefault="005C3C3A">
            <w:pPr>
              <w:spacing w:before="60" w:after="60" w:line="240" w:lineRule="auto"/>
              <w:rPr>
                <w:b/>
                <w:bCs/>
                <w:sz w:val="24"/>
                <w:szCs w:val="24"/>
                <w:lang w:val="en-AU" w:eastAsia="en-US"/>
              </w:rPr>
            </w:pPr>
            <w:r>
              <w:rPr>
                <w:b/>
                <w:bCs/>
                <w:szCs w:val="24"/>
              </w:rPr>
              <w:t>2015-16</w:t>
            </w:r>
          </w:p>
        </w:tc>
      </w:tr>
      <w:tr w:rsidR="005C3C3A" w14:paraId="72D9D98F" w14:textId="77777777" w:rsidTr="005C3C3A">
        <w:tc>
          <w:tcPr>
            <w:tcW w:w="2943" w:type="dxa"/>
            <w:tcBorders>
              <w:top w:val="single" w:sz="4" w:space="0" w:color="auto"/>
              <w:left w:val="single" w:sz="4" w:space="0" w:color="auto"/>
              <w:bottom w:val="single" w:sz="4" w:space="0" w:color="auto"/>
              <w:right w:val="single" w:sz="4" w:space="0" w:color="auto"/>
            </w:tcBorders>
            <w:hideMark/>
          </w:tcPr>
          <w:p w14:paraId="0509562E" w14:textId="77777777" w:rsidR="005C3C3A" w:rsidRDefault="005C3C3A">
            <w:pPr>
              <w:spacing w:before="60" w:after="60" w:line="240" w:lineRule="auto"/>
              <w:rPr>
                <w:bCs/>
                <w:sz w:val="24"/>
                <w:szCs w:val="24"/>
                <w:lang w:val="en-AU" w:eastAsia="en-US"/>
              </w:rPr>
            </w:pPr>
            <w:r>
              <w:rPr>
                <w:bCs/>
                <w:szCs w:val="24"/>
              </w:rPr>
              <w:t>Indicative total budget</w:t>
            </w:r>
          </w:p>
        </w:tc>
        <w:tc>
          <w:tcPr>
            <w:tcW w:w="1575" w:type="dxa"/>
            <w:tcBorders>
              <w:top w:val="single" w:sz="4" w:space="0" w:color="auto"/>
              <w:left w:val="single" w:sz="4" w:space="0" w:color="auto"/>
              <w:bottom w:val="single" w:sz="4" w:space="0" w:color="auto"/>
              <w:right w:val="single" w:sz="4" w:space="0" w:color="auto"/>
            </w:tcBorders>
            <w:hideMark/>
          </w:tcPr>
          <w:p w14:paraId="523BE1A6" w14:textId="77777777" w:rsidR="005C3C3A" w:rsidRDefault="005C3C3A">
            <w:pPr>
              <w:spacing w:before="60" w:after="60" w:line="240" w:lineRule="auto"/>
              <w:rPr>
                <w:bCs/>
                <w:sz w:val="24"/>
                <w:szCs w:val="24"/>
                <w:lang w:val="en-AU" w:eastAsia="en-US"/>
              </w:rPr>
            </w:pPr>
            <w:r>
              <w:rPr>
                <w:bCs/>
                <w:szCs w:val="24"/>
              </w:rPr>
              <w:t>$4.882</w:t>
            </w:r>
          </w:p>
        </w:tc>
        <w:tc>
          <w:tcPr>
            <w:tcW w:w="1575" w:type="dxa"/>
            <w:tcBorders>
              <w:top w:val="single" w:sz="4" w:space="0" w:color="auto"/>
              <w:left w:val="single" w:sz="4" w:space="0" w:color="auto"/>
              <w:bottom w:val="single" w:sz="4" w:space="0" w:color="auto"/>
              <w:right w:val="single" w:sz="4" w:space="0" w:color="auto"/>
            </w:tcBorders>
            <w:hideMark/>
          </w:tcPr>
          <w:p w14:paraId="5E4C8D52" w14:textId="77777777" w:rsidR="005C3C3A" w:rsidRDefault="005C3C3A">
            <w:pPr>
              <w:spacing w:before="60" w:after="60" w:line="240" w:lineRule="auto"/>
              <w:rPr>
                <w:bCs/>
                <w:sz w:val="24"/>
                <w:szCs w:val="24"/>
                <w:lang w:val="en-AU" w:eastAsia="en-US"/>
              </w:rPr>
            </w:pPr>
            <w:r>
              <w:rPr>
                <w:bCs/>
                <w:szCs w:val="24"/>
              </w:rPr>
              <w:t>$5.601</w:t>
            </w:r>
          </w:p>
        </w:tc>
        <w:tc>
          <w:tcPr>
            <w:tcW w:w="1575" w:type="dxa"/>
            <w:tcBorders>
              <w:top w:val="single" w:sz="4" w:space="0" w:color="auto"/>
              <w:left w:val="single" w:sz="4" w:space="0" w:color="auto"/>
              <w:bottom w:val="single" w:sz="4" w:space="0" w:color="auto"/>
              <w:right w:val="single" w:sz="4" w:space="0" w:color="auto"/>
            </w:tcBorders>
            <w:hideMark/>
          </w:tcPr>
          <w:p w14:paraId="39D671D5" w14:textId="77777777" w:rsidR="005C3C3A" w:rsidRDefault="005C3C3A">
            <w:pPr>
              <w:spacing w:before="60" w:after="60" w:line="240" w:lineRule="auto"/>
              <w:rPr>
                <w:bCs/>
                <w:sz w:val="24"/>
                <w:szCs w:val="24"/>
                <w:lang w:val="en-AU" w:eastAsia="en-US"/>
              </w:rPr>
            </w:pPr>
            <w:r>
              <w:rPr>
                <w:bCs/>
                <w:szCs w:val="24"/>
              </w:rPr>
              <w:t>$6.461</w:t>
            </w:r>
          </w:p>
        </w:tc>
      </w:tr>
    </w:tbl>
    <w:p w14:paraId="2A7C3358" w14:textId="77777777" w:rsidR="005C3C3A" w:rsidRDefault="005C3C3A" w:rsidP="005C3C3A">
      <w:pPr>
        <w:spacing w:after="0"/>
      </w:pPr>
    </w:p>
    <w:p w14:paraId="79CA7C20" w14:textId="77777777" w:rsidR="00182AFF" w:rsidRDefault="00675792" w:rsidP="00182AFF">
      <w:r>
        <w:t>I</w:t>
      </w:r>
      <w:r w:rsidR="009C4717" w:rsidRPr="005C3C3A">
        <w:t xml:space="preserve">ndustry registration fees for eligible products </w:t>
      </w:r>
      <w:r w:rsidR="009C4717" w:rsidRPr="00C62FBD">
        <w:t xml:space="preserve">provide </w:t>
      </w:r>
      <w:r w:rsidR="005C3C3A" w:rsidRPr="00C62FBD">
        <w:t>a further $</w:t>
      </w:r>
      <w:r w:rsidR="009C6846">
        <w:t>2.2 – 2.3 million</w:t>
      </w:r>
      <w:r w:rsidR="005C3C3A" w:rsidRPr="00C62FBD">
        <w:t xml:space="preserve"> per year (approximate</w:t>
      </w:r>
      <w:r w:rsidR="00004FFF" w:rsidRPr="00C62FBD">
        <w:t xml:space="preserve"> annual estimate)</w:t>
      </w:r>
      <w:r w:rsidR="009B15FD">
        <w:t xml:space="preserve">. </w:t>
      </w:r>
      <w:r w:rsidR="00004FFF">
        <w:t xml:space="preserve"> </w:t>
      </w:r>
    </w:p>
    <w:p w14:paraId="6808CA90" w14:textId="77777777" w:rsidR="00182AFF" w:rsidRDefault="00182AFF" w:rsidP="00182AFF">
      <w:r>
        <w:t>In addition to funding provided by jurisdictions under the IGA, the Commonwealth provides funding to meet staffing costs for the implementation of the E3 program, and program activities not funded under the IGA.  Other jurisdictions also incur some staffing and other costs for E3 related activities. While not part of the IGA, New Zealand also funds its staffing and project costs to implement E3 outcomes in accordance with its national standards and labelling legislation.  </w:t>
      </w:r>
    </w:p>
    <w:p w14:paraId="344FE8BB" w14:textId="77777777" w:rsidR="00797B33" w:rsidRDefault="009F28AF" w:rsidP="009F4031">
      <w:pPr>
        <w:pStyle w:val="Heading3"/>
      </w:pPr>
      <w:bookmarkStart w:id="24" w:name="_Ref409071618"/>
      <w:bookmarkStart w:id="25" w:name="_Toc422298367"/>
      <w:r>
        <w:t>Operation of the Equipment Energy Efficiency (E3) Program</w:t>
      </w:r>
      <w:bookmarkEnd w:id="24"/>
      <w:bookmarkEnd w:id="25"/>
    </w:p>
    <w:p w14:paraId="78A00F6B" w14:textId="77777777" w:rsidR="009F28AF" w:rsidRPr="00997283" w:rsidRDefault="009F28AF" w:rsidP="00997283">
      <w:pPr>
        <w:rPr>
          <w:lang w:eastAsia="x-none"/>
        </w:rPr>
      </w:pPr>
      <w:r>
        <w:rPr>
          <w:lang w:eastAsia="x-none"/>
        </w:rPr>
        <w:t xml:space="preserve">A summary of the objectives and operation of the E3 program is provided in the </w:t>
      </w:r>
      <w:r w:rsidR="007D55B8">
        <w:rPr>
          <w:lang w:eastAsia="x-none"/>
        </w:rPr>
        <w:t>A</w:t>
      </w:r>
      <w:r>
        <w:rPr>
          <w:lang w:eastAsia="x-none"/>
        </w:rPr>
        <w:t xml:space="preserve">ppendix.  </w:t>
      </w:r>
    </w:p>
    <w:p w14:paraId="2F7C72A2" w14:textId="77777777" w:rsidR="00C6112D" w:rsidRDefault="00DB132E" w:rsidP="009F4031">
      <w:pPr>
        <w:pStyle w:val="Heading3"/>
      </w:pPr>
      <w:bookmarkStart w:id="26" w:name="_Toc422298368"/>
      <w:r>
        <w:t>Context for the review</w:t>
      </w:r>
      <w:bookmarkEnd w:id="26"/>
      <w:r>
        <w:t xml:space="preserve"> </w:t>
      </w:r>
    </w:p>
    <w:p w14:paraId="544686F1" w14:textId="77777777" w:rsidR="000E1DA4" w:rsidRDefault="009F28AF" w:rsidP="00997283">
      <w:pPr>
        <w:spacing w:after="0"/>
      </w:pPr>
      <w:r>
        <w:t xml:space="preserve">This </w:t>
      </w:r>
      <w:r w:rsidR="0026385A" w:rsidRPr="00F40B00">
        <w:t xml:space="preserve">review </w:t>
      </w:r>
      <w:r w:rsidR="00D014D4">
        <w:t xml:space="preserve">fulfils a requirement under the IGA to review the operation of the agreement within three years of the commencement of the Act.  The review </w:t>
      </w:r>
      <w:r w:rsidR="000E1DA4">
        <w:t xml:space="preserve">will play a key role in informing decisions about the future of the program.  </w:t>
      </w:r>
      <w:r w:rsidR="00AF695A">
        <w:t>It is being undertaken</w:t>
      </w:r>
      <w:r w:rsidR="00530532">
        <w:t>:</w:t>
      </w:r>
    </w:p>
    <w:p w14:paraId="30B3C071" w14:textId="77777777" w:rsidR="00107A77" w:rsidRDefault="00AF695A" w:rsidP="00320FDC">
      <w:pPr>
        <w:numPr>
          <w:ilvl w:val="0"/>
          <w:numId w:val="29"/>
        </w:numPr>
        <w:spacing w:after="0"/>
      </w:pPr>
      <w:r>
        <w:t xml:space="preserve">In the context of </w:t>
      </w:r>
      <w:r w:rsidRPr="00997283">
        <w:t>delivering best practice in regulation</w:t>
      </w:r>
      <w:r>
        <w:t xml:space="preserve"> – </w:t>
      </w:r>
      <w:r w:rsidR="00142BDE">
        <w:t>t</w:t>
      </w:r>
      <w:r>
        <w:t>his refers to delivering against principles set out by the COAG best practice regulation guide</w:t>
      </w:r>
      <w:r>
        <w:rPr>
          <w:rStyle w:val="FootnoteReference"/>
        </w:rPr>
        <w:footnoteReference w:id="40"/>
      </w:r>
      <w:r>
        <w:t xml:space="preserve">.  </w:t>
      </w:r>
      <w:r w:rsidR="00107A77">
        <w:t>These include e</w:t>
      </w:r>
      <w:r>
        <w:t xml:space="preserve">stablishing the case for action, </w:t>
      </w:r>
      <w:r w:rsidR="00107A77">
        <w:t>options and cost/benefit appraisal, competition considerations, providing guidance and information, time considerations, consultation with stakeholders and proportionality.</w:t>
      </w:r>
      <w:r w:rsidR="009D68CA">
        <w:t xml:space="preserve">  </w:t>
      </w:r>
    </w:p>
    <w:p w14:paraId="7AEA704F" w14:textId="77777777" w:rsidR="00530532" w:rsidRDefault="000E1DA4" w:rsidP="00320FDC">
      <w:pPr>
        <w:numPr>
          <w:ilvl w:val="0"/>
          <w:numId w:val="29"/>
        </w:numPr>
        <w:spacing w:after="0"/>
      </w:pPr>
      <w:r>
        <w:t>Against the backdrop of Commonwealth Government</w:t>
      </w:r>
      <w:r w:rsidR="00AF695A">
        <w:t xml:space="preserve"> and COAG</w:t>
      </w:r>
      <w:r>
        <w:t xml:space="preserve"> focus on </w:t>
      </w:r>
      <w:r w:rsidRPr="00997283">
        <w:t>regulatory reform</w:t>
      </w:r>
      <w:r>
        <w:t xml:space="preserve"> to reduce unnecessary burden on </w:t>
      </w:r>
      <w:r w:rsidR="00333724">
        <w:t xml:space="preserve">industry, </w:t>
      </w:r>
      <w:r w:rsidR="00530532" w:rsidRPr="00837F71">
        <w:t>businesses, community organisations and consumers</w:t>
      </w:r>
      <w:r w:rsidR="00B279BE">
        <w:t>.</w:t>
      </w:r>
    </w:p>
    <w:p w14:paraId="0EE38EEC" w14:textId="77777777" w:rsidR="00B279BE" w:rsidRDefault="00B279BE" w:rsidP="00997283">
      <w:pPr>
        <w:spacing w:after="0"/>
      </w:pPr>
    </w:p>
    <w:p w14:paraId="4AEEAFE7" w14:textId="77777777" w:rsidR="009D68CA" w:rsidRDefault="009D68CA" w:rsidP="00997283">
      <w:pPr>
        <w:spacing w:after="0"/>
      </w:pPr>
      <w:r>
        <w:t>With these two issues in mind, the review has focussed both on</w:t>
      </w:r>
    </w:p>
    <w:p w14:paraId="41DF054A" w14:textId="77777777" w:rsidR="000E1DA4" w:rsidRDefault="009D68CA" w:rsidP="00320FDC">
      <w:pPr>
        <w:numPr>
          <w:ilvl w:val="0"/>
          <w:numId w:val="54"/>
        </w:numPr>
        <w:spacing w:after="0"/>
      </w:pPr>
      <w:r w:rsidRPr="009D68CA">
        <w:rPr>
          <w:u w:val="single"/>
        </w:rPr>
        <w:t>Effectiveness</w:t>
      </w:r>
      <w:r>
        <w:t>:  exploring whether the regulatory design and process is delivering best practice and what learnings can be gleaned to improve effectiveness</w:t>
      </w:r>
      <w:r w:rsidR="00142BDE">
        <w:t>; and</w:t>
      </w:r>
    </w:p>
    <w:p w14:paraId="23DAAF97" w14:textId="77777777" w:rsidR="009D68CA" w:rsidRDefault="009D68CA" w:rsidP="00320FDC">
      <w:pPr>
        <w:numPr>
          <w:ilvl w:val="0"/>
          <w:numId w:val="54"/>
        </w:numPr>
      </w:pPr>
      <w:r w:rsidRPr="009D68CA">
        <w:rPr>
          <w:u w:val="single"/>
        </w:rPr>
        <w:t>Efficiency</w:t>
      </w:r>
      <w:r>
        <w:t xml:space="preserve">:  exploring </w:t>
      </w:r>
      <w:r w:rsidRPr="009D68CA">
        <w:t>opportunities to improve efficiency – reducing regulatory burden without compromising key fundamental criteria, such as retaining an even market for all and an appropriate level of risk control</w:t>
      </w:r>
      <w:r>
        <w:t>.</w:t>
      </w:r>
    </w:p>
    <w:p w14:paraId="178F072E" w14:textId="77777777" w:rsidR="002772B5" w:rsidRDefault="002772B5" w:rsidP="009F4031">
      <w:pPr>
        <w:pStyle w:val="Heading2"/>
      </w:pPr>
      <w:bookmarkStart w:id="27" w:name="_Toc422298369"/>
      <w:r>
        <w:t>Review objectives</w:t>
      </w:r>
      <w:bookmarkEnd w:id="27"/>
    </w:p>
    <w:p w14:paraId="65132296" w14:textId="77777777" w:rsidR="00EC20BC" w:rsidRPr="00C67AEC" w:rsidRDefault="00142BDE" w:rsidP="00EF7242">
      <w:pPr>
        <w:rPr>
          <w:lang w:eastAsia="x-none"/>
        </w:rPr>
      </w:pPr>
      <w:r>
        <w:rPr>
          <w:lang w:eastAsia="x-none"/>
        </w:rPr>
        <w:t>The Terms of Reference were agreed by COAG ministers</w:t>
      </w:r>
      <w:r w:rsidR="002F7202">
        <w:rPr>
          <w:rStyle w:val="FootnoteReference"/>
          <w:lang w:eastAsia="x-none"/>
        </w:rPr>
        <w:footnoteReference w:id="41"/>
      </w:r>
      <w:r w:rsidR="002F7202">
        <w:rPr>
          <w:lang w:eastAsia="x-none"/>
        </w:rPr>
        <w:t xml:space="preserve">.  </w:t>
      </w:r>
      <w:r w:rsidR="00825E30">
        <w:rPr>
          <w:lang w:eastAsia="x-none"/>
        </w:rPr>
        <w:t>These requirements were</w:t>
      </w:r>
      <w:r w:rsidR="00EC20BC" w:rsidRPr="00C67AEC">
        <w:rPr>
          <w:lang w:eastAsia="x-none"/>
        </w:rPr>
        <w:t xml:space="preserve"> further developed </w:t>
      </w:r>
      <w:r w:rsidR="00825E30">
        <w:rPr>
          <w:lang w:eastAsia="x-none"/>
        </w:rPr>
        <w:t>th</w:t>
      </w:r>
      <w:r w:rsidR="00EC20BC" w:rsidRPr="00C67AEC">
        <w:rPr>
          <w:lang w:eastAsia="x-none"/>
        </w:rPr>
        <w:t xml:space="preserve">rough a series of discussions and workshops with </w:t>
      </w:r>
      <w:r w:rsidR="00825E30">
        <w:rPr>
          <w:lang w:eastAsia="x-none"/>
        </w:rPr>
        <w:t>the Department</w:t>
      </w:r>
      <w:r w:rsidR="00EC20BC" w:rsidRPr="00C67AEC">
        <w:rPr>
          <w:lang w:eastAsia="x-none"/>
        </w:rPr>
        <w:t>, E3 Committee and stakeholder groups during September 2014</w:t>
      </w:r>
      <w:r w:rsidR="00825E30">
        <w:rPr>
          <w:lang w:eastAsia="x-none"/>
        </w:rPr>
        <w:t xml:space="preserve">, resulting in the objectives detailed below.  </w:t>
      </w:r>
    </w:p>
    <w:p w14:paraId="2A22BB25" w14:textId="77777777" w:rsidR="006178D9" w:rsidRDefault="006178D9" w:rsidP="009F4031">
      <w:pPr>
        <w:pStyle w:val="Heading3"/>
      </w:pPr>
      <w:bookmarkStart w:id="28" w:name="_Ref409212876"/>
      <w:bookmarkStart w:id="29" w:name="_Toc422298370"/>
      <w:bookmarkStart w:id="30" w:name="_Ref401654489"/>
      <w:r w:rsidRPr="0016046F">
        <w:lastRenderedPageBreak/>
        <w:t>Objectives of the review</w:t>
      </w:r>
      <w:bookmarkEnd w:id="28"/>
      <w:bookmarkEnd w:id="29"/>
    </w:p>
    <w:p w14:paraId="11724E70" w14:textId="77777777" w:rsidR="006178D9" w:rsidRPr="0088272C" w:rsidRDefault="006178D9" w:rsidP="009F4031">
      <w:pPr>
        <w:rPr>
          <w:lang w:eastAsia="x-none"/>
        </w:rPr>
      </w:pPr>
      <w:r>
        <w:rPr>
          <w:lang w:eastAsia="x-none"/>
        </w:rPr>
        <w:t>The objectives of the review were to</w:t>
      </w:r>
      <w:r w:rsidR="00825E30">
        <w:rPr>
          <w:lang w:eastAsia="x-none"/>
        </w:rPr>
        <w:t>:</w:t>
      </w:r>
    </w:p>
    <w:p w14:paraId="6937E9EA" w14:textId="77777777" w:rsidR="006178D9" w:rsidRPr="00A1208C" w:rsidRDefault="006178D9" w:rsidP="00997283">
      <w:pPr>
        <w:numPr>
          <w:ilvl w:val="0"/>
          <w:numId w:val="6"/>
        </w:numPr>
        <w:spacing w:after="0"/>
        <w:rPr>
          <w:b/>
        </w:rPr>
      </w:pPr>
      <w:r>
        <w:rPr>
          <w:b/>
        </w:rPr>
        <w:t>R</w:t>
      </w:r>
      <w:r w:rsidRPr="001770C8">
        <w:rPr>
          <w:b/>
        </w:rPr>
        <w:t xml:space="preserve">eview the case for </w:t>
      </w:r>
      <w:r>
        <w:rPr>
          <w:b/>
        </w:rPr>
        <w:t xml:space="preserve">policy </w:t>
      </w:r>
      <w:r w:rsidRPr="001770C8">
        <w:rPr>
          <w:b/>
        </w:rPr>
        <w:t>intervention</w:t>
      </w:r>
      <w:r>
        <w:rPr>
          <w:b/>
        </w:rPr>
        <w:t xml:space="preserve">, </w:t>
      </w:r>
      <w:r w:rsidR="00E77056">
        <w:t>including</w:t>
      </w:r>
      <w:r>
        <w:t>:</w:t>
      </w:r>
    </w:p>
    <w:p w14:paraId="21159DF0" w14:textId="77777777" w:rsidR="006178D9" w:rsidRDefault="006178D9" w:rsidP="00D014D4">
      <w:pPr>
        <w:numPr>
          <w:ilvl w:val="1"/>
          <w:numId w:val="6"/>
        </w:numPr>
        <w:spacing w:after="0"/>
        <w:ind w:left="709"/>
      </w:pPr>
      <w:r>
        <w:t>What form the intervention should take</w:t>
      </w:r>
      <w:r w:rsidR="00C24886">
        <w:t>?</w:t>
      </w:r>
      <w:r>
        <w:t xml:space="preserve"> (e.g. mandatory, voluntary) – exploring viable cost effective alternatives which meet the objectives of GEMS.  This include</w:t>
      </w:r>
      <w:r w:rsidR="00825E30">
        <w:t>d</w:t>
      </w:r>
      <w:r>
        <w:t xml:space="preserve"> investigating policy options such as removal of minimum standards, co-regulatory or voluntary programs and identifying the benefits and impacts to householders and businesses</w:t>
      </w:r>
      <w:r w:rsidR="00C939C1">
        <w:t>;</w:t>
      </w:r>
      <w:r w:rsidR="00142BDE">
        <w:t xml:space="preserve"> and</w:t>
      </w:r>
    </w:p>
    <w:p w14:paraId="5558B131" w14:textId="77777777" w:rsidR="006178D9" w:rsidRDefault="006178D9" w:rsidP="00D014D4">
      <w:pPr>
        <w:numPr>
          <w:ilvl w:val="1"/>
          <w:numId w:val="6"/>
        </w:numPr>
        <w:spacing w:after="0"/>
        <w:ind w:left="709"/>
      </w:pPr>
      <w:r>
        <w:t>Who should implement the program</w:t>
      </w:r>
      <w:r w:rsidR="00C24886">
        <w:t>?</w:t>
      </w:r>
      <w:r>
        <w:t xml:space="preserve"> (e.g. national or state and territory </w:t>
      </w:r>
      <w:r w:rsidR="00142BDE">
        <w:t>g</w:t>
      </w:r>
      <w:r>
        <w:t>overnments, industry or other bodies).</w:t>
      </w:r>
    </w:p>
    <w:p w14:paraId="469276B3" w14:textId="77777777" w:rsidR="00124E7D" w:rsidRDefault="00124E7D" w:rsidP="009F4031">
      <w:pPr>
        <w:spacing w:after="0"/>
        <w:ind w:left="1080"/>
      </w:pPr>
    </w:p>
    <w:p w14:paraId="7BE078F5" w14:textId="77777777" w:rsidR="006178D9" w:rsidRDefault="006178D9" w:rsidP="00AD5548">
      <w:pPr>
        <w:numPr>
          <w:ilvl w:val="0"/>
          <w:numId w:val="6"/>
        </w:numPr>
        <w:spacing w:after="0"/>
        <w:rPr>
          <w:b/>
        </w:rPr>
      </w:pPr>
      <w:r>
        <w:rPr>
          <w:b/>
        </w:rPr>
        <w:t>R</w:t>
      </w:r>
      <w:r w:rsidRPr="001770C8">
        <w:rPr>
          <w:b/>
        </w:rPr>
        <w:t>evie</w:t>
      </w:r>
      <w:r>
        <w:rPr>
          <w:b/>
        </w:rPr>
        <w:t xml:space="preserve">w </w:t>
      </w:r>
      <w:r w:rsidRPr="001770C8">
        <w:rPr>
          <w:b/>
        </w:rPr>
        <w:t>the outcomes of the program</w:t>
      </w:r>
      <w:r w:rsidR="00825E30">
        <w:t xml:space="preserve"> to understand:</w:t>
      </w:r>
    </w:p>
    <w:p w14:paraId="6D8D373A" w14:textId="77777777" w:rsidR="006178D9" w:rsidRDefault="006178D9" w:rsidP="00997283">
      <w:pPr>
        <w:numPr>
          <w:ilvl w:val="1"/>
          <w:numId w:val="6"/>
        </w:numPr>
        <w:spacing w:after="0"/>
        <w:ind w:left="709"/>
      </w:pPr>
      <w:r>
        <w:t xml:space="preserve">Whether </w:t>
      </w:r>
      <w:r w:rsidR="00124E7D">
        <w:t>the program has met its</w:t>
      </w:r>
      <w:r>
        <w:t xml:space="preserve"> objectives and how cost effectively </w:t>
      </w:r>
      <w:r w:rsidR="00124E7D">
        <w:t>it has</w:t>
      </w:r>
      <w:r>
        <w:t xml:space="preserve"> done so</w:t>
      </w:r>
      <w:r w:rsidR="00C939C1">
        <w:t>;</w:t>
      </w:r>
      <w:r>
        <w:t xml:space="preserve"> </w:t>
      </w:r>
      <w:r w:rsidR="00142BDE">
        <w:t>and</w:t>
      </w:r>
    </w:p>
    <w:p w14:paraId="5D8C9F62" w14:textId="77777777" w:rsidR="006178D9" w:rsidRDefault="006178D9" w:rsidP="00997283">
      <w:pPr>
        <w:numPr>
          <w:ilvl w:val="1"/>
          <w:numId w:val="6"/>
        </w:numPr>
        <w:spacing w:after="0"/>
        <w:ind w:left="709"/>
      </w:pPr>
      <w:r w:rsidRPr="003C115D">
        <w:t xml:space="preserve">What the impacts of the program are on consumers and industry. </w:t>
      </w:r>
    </w:p>
    <w:p w14:paraId="76CB616B" w14:textId="77777777" w:rsidR="00124E7D" w:rsidRPr="000E7A62" w:rsidRDefault="00124E7D" w:rsidP="009F4031">
      <w:pPr>
        <w:spacing w:after="0"/>
        <w:ind w:left="1080"/>
      </w:pPr>
    </w:p>
    <w:p w14:paraId="73653882" w14:textId="77777777" w:rsidR="006178D9" w:rsidRDefault="006178D9" w:rsidP="00997283">
      <w:pPr>
        <w:numPr>
          <w:ilvl w:val="0"/>
          <w:numId w:val="6"/>
        </w:numPr>
        <w:spacing w:after="0"/>
      </w:pPr>
      <w:r w:rsidRPr="001770C8">
        <w:rPr>
          <w:b/>
        </w:rPr>
        <w:t xml:space="preserve">Review </w:t>
      </w:r>
      <w:r>
        <w:rPr>
          <w:b/>
        </w:rPr>
        <w:t xml:space="preserve">program </w:t>
      </w:r>
      <w:r w:rsidRPr="001770C8">
        <w:rPr>
          <w:b/>
        </w:rPr>
        <w:t>process</w:t>
      </w:r>
      <w:r>
        <w:rPr>
          <w:b/>
        </w:rPr>
        <w:t>es</w:t>
      </w:r>
      <w:r>
        <w:t xml:space="preserve"> – </w:t>
      </w:r>
      <w:r w:rsidR="00825E30">
        <w:t xml:space="preserve">to understand whether </w:t>
      </w:r>
      <w:r>
        <w:t>existing process</w:t>
      </w:r>
      <w:r w:rsidR="00825E30">
        <w:t>es</w:t>
      </w:r>
      <w:r>
        <w:t xml:space="preserve"> </w:t>
      </w:r>
      <w:r w:rsidR="00825E30">
        <w:t xml:space="preserve">could </w:t>
      </w:r>
      <w:r>
        <w:t>be made more efficient and/or effective, whilst maintaining an even market for all competitors and achieving an appropriate level of risk control.  This covers:</w:t>
      </w:r>
    </w:p>
    <w:p w14:paraId="0D35D023" w14:textId="77777777" w:rsidR="00BE3574" w:rsidRPr="00BE3574" w:rsidRDefault="00BE3574" w:rsidP="00997283">
      <w:pPr>
        <w:numPr>
          <w:ilvl w:val="1"/>
          <w:numId w:val="6"/>
        </w:numPr>
        <w:spacing w:after="0"/>
        <w:ind w:left="709"/>
      </w:pPr>
      <w:r w:rsidRPr="00997283">
        <w:rPr>
          <w:u w:val="single"/>
        </w:rPr>
        <w:t>Program governance</w:t>
      </w:r>
      <w:r w:rsidRPr="00D014D4">
        <w:t xml:space="preserve"> – </w:t>
      </w:r>
      <w:r w:rsidRPr="00997283">
        <w:t>including the IGA</w:t>
      </w:r>
      <w:r w:rsidRPr="00D014D4">
        <w:t xml:space="preserve"> and E3 Committee</w:t>
      </w:r>
      <w:r w:rsidR="00142BDE">
        <w:t>;</w:t>
      </w:r>
    </w:p>
    <w:p w14:paraId="647E7A65" w14:textId="77777777" w:rsidR="006178D9" w:rsidRDefault="006178D9" w:rsidP="00997283">
      <w:pPr>
        <w:numPr>
          <w:ilvl w:val="1"/>
          <w:numId w:val="6"/>
        </w:numPr>
        <w:spacing w:after="0"/>
        <w:ind w:left="709"/>
      </w:pPr>
      <w:r w:rsidRPr="00997283">
        <w:rPr>
          <w:u w:val="single"/>
        </w:rPr>
        <w:t>Regulations (the Act)</w:t>
      </w:r>
      <w:r>
        <w:t xml:space="preserve"> – including its scope and requirements for developing determinations standards, compliance and registration requirements</w:t>
      </w:r>
      <w:r w:rsidR="00142BDE">
        <w:t>; and</w:t>
      </w:r>
    </w:p>
    <w:p w14:paraId="632A70EC" w14:textId="77777777" w:rsidR="006178D9" w:rsidRDefault="006178D9" w:rsidP="00997283">
      <w:pPr>
        <w:numPr>
          <w:ilvl w:val="1"/>
          <w:numId w:val="6"/>
        </w:numPr>
        <w:spacing w:after="0"/>
        <w:ind w:left="709"/>
      </w:pPr>
      <w:r w:rsidRPr="00997283">
        <w:rPr>
          <w:u w:val="single"/>
        </w:rPr>
        <w:t>Administration of the program</w:t>
      </w:r>
      <w:r>
        <w:t xml:space="preserve"> – including the planning process, regulatory impact statement development, product registration, compliance and communication with stakeholders.</w:t>
      </w:r>
    </w:p>
    <w:p w14:paraId="6E3AEDB7" w14:textId="77777777" w:rsidR="00D014D4" w:rsidRDefault="00D014D4" w:rsidP="009F4031">
      <w:pPr>
        <w:spacing w:after="0"/>
      </w:pPr>
    </w:p>
    <w:p w14:paraId="65BE7978" w14:textId="77777777" w:rsidR="00DE4CF3" w:rsidRPr="001724AC" w:rsidRDefault="00DE4CF3" w:rsidP="009F4031">
      <w:r w:rsidRPr="001724AC">
        <w:rPr>
          <w:b/>
        </w:rPr>
        <w:t>Scope</w:t>
      </w:r>
      <w:r w:rsidRPr="001724AC">
        <w:t xml:space="preserve">  </w:t>
      </w:r>
    </w:p>
    <w:p w14:paraId="5746D153" w14:textId="77777777" w:rsidR="00DE4CF3" w:rsidRPr="001724AC" w:rsidRDefault="00DE4CF3" w:rsidP="00320FDC">
      <w:pPr>
        <w:numPr>
          <w:ilvl w:val="0"/>
          <w:numId w:val="26"/>
        </w:numPr>
      </w:pPr>
      <w:r w:rsidRPr="001724AC">
        <w:t>Time</w:t>
      </w:r>
      <w:r w:rsidR="00C939C1">
        <w:t xml:space="preserve"> period:  T</w:t>
      </w:r>
      <w:r w:rsidR="00124E7D" w:rsidRPr="001724AC">
        <w:t>he review focuses on the time period October 2012 to the present</w:t>
      </w:r>
      <w:r w:rsidR="00C939C1">
        <w:t>.</w:t>
      </w:r>
      <w:r w:rsidR="00997283">
        <w:t xml:space="preserve"> </w:t>
      </w:r>
      <w:r w:rsidR="00C24886">
        <w:t xml:space="preserve"> </w:t>
      </w:r>
      <w:r w:rsidRPr="001724AC">
        <w:t>However, as program processes such as RIS development usually go over several years</w:t>
      </w:r>
      <w:r w:rsidR="00142BDE">
        <w:t xml:space="preserve">, </w:t>
      </w:r>
      <w:r w:rsidRPr="001724AC">
        <w:t>where necessary we have gone back further</w:t>
      </w:r>
      <w:r w:rsidR="00124E7D" w:rsidRPr="001724AC">
        <w:t xml:space="preserve"> in time</w:t>
      </w:r>
      <w:r w:rsidRPr="001724AC">
        <w:t xml:space="preserve">.  </w:t>
      </w:r>
    </w:p>
    <w:p w14:paraId="52D94A19" w14:textId="77777777" w:rsidR="001724AC" w:rsidRPr="001724AC" w:rsidRDefault="00C939C1" w:rsidP="00320FDC">
      <w:pPr>
        <w:numPr>
          <w:ilvl w:val="0"/>
          <w:numId w:val="26"/>
        </w:numPr>
      </w:pPr>
      <w:r>
        <w:t>S</w:t>
      </w:r>
      <w:r w:rsidR="00124E7D" w:rsidRPr="001724AC">
        <w:t xml:space="preserve">cope – </w:t>
      </w:r>
      <w:r>
        <w:t xml:space="preserve">the review focussed principally on standards and labelling interventions implemented through GEMS.  </w:t>
      </w:r>
      <w:r w:rsidR="001724AC" w:rsidRPr="001724AC">
        <w:t xml:space="preserve">However, other potential policy options were explored if they were </w:t>
      </w:r>
      <w:r w:rsidR="00124E7D" w:rsidRPr="001724AC">
        <w:t>spontaneously mentioned by respondents</w:t>
      </w:r>
      <w:r w:rsidR="001724AC" w:rsidRPr="001724AC">
        <w:t xml:space="preserve"> within stakeholder interviews.</w:t>
      </w:r>
    </w:p>
    <w:p w14:paraId="74FC7EF7" w14:textId="77777777" w:rsidR="00DE4CF3" w:rsidRDefault="00DE4CF3" w:rsidP="009F4031"/>
    <w:p w14:paraId="159FBA6D" w14:textId="77777777" w:rsidR="000E7A62" w:rsidRPr="000E7A62" w:rsidRDefault="00233AC7" w:rsidP="00565E13">
      <w:pPr>
        <w:pStyle w:val="Heading1"/>
      </w:pPr>
      <w:r>
        <w:br w:type="page"/>
      </w:r>
      <w:bookmarkStart w:id="31" w:name="_Toc422298371"/>
      <w:r w:rsidR="00A74BBF" w:rsidRPr="000E7A62">
        <w:lastRenderedPageBreak/>
        <w:t>Methodology</w:t>
      </w:r>
      <w:bookmarkEnd w:id="30"/>
      <w:bookmarkEnd w:id="31"/>
    </w:p>
    <w:p w14:paraId="2BBFA245" w14:textId="77777777" w:rsidR="000E7A62" w:rsidRDefault="008271BB" w:rsidP="004F1F23">
      <w:pPr>
        <w:spacing w:after="0"/>
      </w:pPr>
      <w:r>
        <w:t xml:space="preserve">The methodology for the review was developed </w:t>
      </w:r>
      <w:r w:rsidR="0035445A">
        <w:t xml:space="preserve">and agreed through </w:t>
      </w:r>
      <w:r w:rsidR="005F0229">
        <w:t xml:space="preserve">the development of a </w:t>
      </w:r>
      <w:r w:rsidR="0035445A">
        <w:t>methodology report</w:t>
      </w:r>
      <w:r w:rsidR="00C76E22">
        <w:t>.</w:t>
      </w:r>
      <w:r w:rsidR="005F0229">
        <w:t xml:space="preserve">  </w:t>
      </w:r>
      <w:r w:rsidR="0035445A">
        <w:t>In summary, t</w:t>
      </w:r>
      <w:r w:rsidR="00661FC0">
        <w:t xml:space="preserve">he </w:t>
      </w:r>
      <w:r w:rsidR="004F1F23">
        <w:t>approach</w:t>
      </w:r>
      <w:r w:rsidR="00661FC0">
        <w:t xml:space="preserve"> </w:t>
      </w:r>
      <w:r w:rsidR="000E7A62">
        <w:t>comprised:</w:t>
      </w:r>
    </w:p>
    <w:p w14:paraId="71C0ED28" w14:textId="77777777" w:rsidR="00465668" w:rsidRDefault="00465668" w:rsidP="009F4031">
      <w:pPr>
        <w:spacing w:after="0"/>
      </w:pPr>
    </w:p>
    <w:p w14:paraId="11570B4C" w14:textId="77777777" w:rsidR="000E7A62" w:rsidRDefault="000E7A62" w:rsidP="00AD5548">
      <w:pPr>
        <w:numPr>
          <w:ilvl w:val="0"/>
          <w:numId w:val="5"/>
        </w:numPr>
        <w:spacing w:after="0"/>
      </w:pPr>
      <w:r>
        <w:t>A review of</w:t>
      </w:r>
      <w:r w:rsidR="00700ADA">
        <w:t xml:space="preserve"> </w:t>
      </w:r>
      <w:r w:rsidR="00465668">
        <w:t xml:space="preserve">existing </w:t>
      </w:r>
      <w:r w:rsidR="00700ADA">
        <w:t>evidence</w:t>
      </w:r>
      <w:r w:rsidR="005F0229">
        <w:t>, including</w:t>
      </w:r>
    </w:p>
    <w:p w14:paraId="53592E83" w14:textId="77777777" w:rsidR="00BA1579" w:rsidRDefault="00BA1579" w:rsidP="00983742">
      <w:pPr>
        <w:numPr>
          <w:ilvl w:val="1"/>
          <w:numId w:val="14"/>
        </w:numPr>
        <w:tabs>
          <w:tab w:val="left" w:pos="851"/>
        </w:tabs>
        <w:spacing w:after="0"/>
        <w:ind w:left="851"/>
      </w:pPr>
      <w:r>
        <w:t xml:space="preserve">Program documentation - </w:t>
      </w:r>
      <w:r w:rsidR="00913A3D" w:rsidRPr="00C60F0D">
        <w:t xml:space="preserve">the </w:t>
      </w:r>
      <w:r w:rsidR="004F1F23">
        <w:t>R</w:t>
      </w:r>
      <w:r w:rsidR="00913A3D" w:rsidRPr="00C60F0D">
        <w:t xml:space="preserve">egulations, </w:t>
      </w:r>
      <w:r>
        <w:t xml:space="preserve">governance and </w:t>
      </w:r>
      <w:r w:rsidR="00913A3D" w:rsidRPr="00C60F0D">
        <w:t>process documents and guidelines</w:t>
      </w:r>
      <w:r w:rsidR="00C60F0D" w:rsidRPr="00C60F0D">
        <w:t xml:space="preserve">, </w:t>
      </w:r>
      <w:r>
        <w:t>policy development and implementation documents (e.g. planning documents, product profiles, RISs)</w:t>
      </w:r>
      <w:r w:rsidR="00C76E22">
        <w:t>; and</w:t>
      </w:r>
    </w:p>
    <w:p w14:paraId="1F5A3182" w14:textId="77777777" w:rsidR="00913A3D" w:rsidRPr="000E7A62" w:rsidRDefault="00BA1579" w:rsidP="00983742">
      <w:pPr>
        <w:numPr>
          <w:ilvl w:val="1"/>
          <w:numId w:val="14"/>
        </w:numPr>
        <w:tabs>
          <w:tab w:val="left" w:pos="851"/>
        </w:tabs>
        <w:spacing w:after="0"/>
        <w:ind w:left="851"/>
      </w:pPr>
      <w:r>
        <w:t>P</w:t>
      </w:r>
      <w:r w:rsidR="00C60F0D" w:rsidRPr="00C60F0D">
        <w:t>ublished literature rel</w:t>
      </w:r>
      <w:r>
        <w:t>evant to the scheme</w:t>
      </w:r>
      <w:r w:rsidR="004F1F23">
        <w:t xml:space="preserve">, </w:t>
      </w:r>
      <w:r>
        <w:t xml:space="preserve">including </w:t>
      </w:r>
      <w:r w:rsidR="00F516C5">
        <w:t xml:space="preserve">best practice guidance, </w:t>
      </w:r>
      <w:r>
        <w:t>i</w:t>
      </w:r>
      <w:r w:rsidR="00C60F0D" w:rsidRPr="00C60F0D">
        <w:t xml:space="preserve">mpact </w:t>
      </w:r>
      <w:r>
        <w:t>a</w:t>
      </w:r>
      <w:r w:rsidR="00C60F0D" w:rsidRPr="00C60F0D">
        <w:t>ssessments, consultant reports, evidence reviews and evaluations of other</w:t>
      </w:r>
      <w:r>
        <w:t xml:space="preserve"> international </w:t>
      </w:r>
      <w:r w:rsidR="00C60F0D" w:rsidRPr="00C60F0D">
        <w:t>schemes.</w:t>
      </w:r>
    </w:p>
    <w:p w14:paraId="6229FA80" w14:textId="77777777" w:rsidR="00233AC7" w:rsidRPr="00913A3D" w:rsidRDefault="00233AC7" w:rsidP="009F4031">
      <w:pPr>
        <w:spacing w:after="0"/>
      </w:pPr>
    </w:p>
    <w:p w14:paraId="7F7BFC21" w14:textId="77777777" w:rsidR="00700ADA" w:rsidRDefault="00700ADA" w:rsidP="00AD5548">
      <w:pPr>
        <w:numPr>
          <w:ilvl w:val="0"/>
          <w:numId w:val="5"/>
        </w:numPr>
        <w:spacing w:after="0"/>
      </w:pPr>
      <w:r>
        <w:t>Stakeholder feedback, obtained through</w:t>
      </w:r>
      <w:r w:rsidR="00CB59CD">
        <w:t>:</w:t>
      </w:r>
    </w:p>
    <w:p w14:paraId="528472F3" w14:textId="77777777" w:rsidR="00465668" w:rsidRDefault="009D5984" w:rsidP="00983742">
      <w:pPr>
        <w:numPr>
          <w:ilvl w:val="1"/>
          <w:numId w:val="14"/>
        </w:numPr>
        <w:tabs>
          <w:tab w:val="left" w:pos="851"/>
        </w:tabs>
        <w:spacing w:after="0"/>
        <w:ind w:left="851"/>
      </w:pPr>
      <w:r>
        <w:t>9</w:t>
      </w:r>
      <w:r w:rsidR="00F959C3">
        <w:t>8</w:t>
      </w:r>
      <w:r>
        <w:t xml:space="preserve"> in-</w:t>
      </w:r>
      <w:r w:rsidR="00923634">
        <w:t>depth interviews</w:t>
      </w:r>
      <w:r w:rsidR="006D51D2">
        <w:t xml:space="preserve"> and three workshops</w:t>
      </w:r>
      <w:r w:rsidR="00923634">
        <w:t xml:space="preserve"> with a broad range of stakeholders impacted by the scheme, including industry, state and federal </w:t>
      </w:r>
      <w:r w:rsidR="00C76E22">
        <w:t>g</w:t>
      </w:r>
      <w:r w:rsidR="00923634">
        <w:t>overnment, retailers, consumer and environmental groups and national and international product energy efficiency experts</w:t>
      </w:r>
      <w:r w:rsidR="00F959C3">
        <w:t xml:space="preserve"> (see Table 1 below for the </w:t>
      </w:r>
      <w:r w:rsidR="000E7A62">
        <w:t>number of interviews conducted in each group</w:t>
      </w:r>
      <w:r w:rsidR="00F959C3">
        <w:t>)</w:t>
      </w:r>
      <w:r w:rsidR="00C76E22">
        <w:t>; and</w:t>
      </w:r>
    </w:p>
    <w:p w14:paraId="3E3AC2F2" w14:textId="77777777" w:rsidR="00700ADA" w:rsidRDefault="00700ADA" w:rsidP="00983742">
      <w:pPr>
        <w:numPr>
          <w:ilvl w:val="1"/>
          <w:numId w:val="14"/>
        </w:numPr>
        <w:tabs>
          <w:tab w:val="left" w:pos="851"/>
        </w:tabs>
        <w:spacing w:after="0"/>
        <w:ind w:left="851"/>
      </w:pPr>
      <w:r>
        <w:t>Hosting an online survey on the E</w:t>
      </w:r>
      <w:r w:rsidR="00605607">
        <w:t>nergy Rating</w:t>
      </w:r>
      <w:r>
        <w:t xml:space="preserve"> website to obtain additional stakeholder views</w:t>
      </w:r>
      <w:r w:rsidR="000E7A62">
        <w:t>.</w:t>
      </w:r>
    </w:p>
    <w:p w14:paraId="6F55A29D" w14:textId="77777777" w:rsidR="00DC6E8D" w:rsidRDefault="00DC6E8D" w:rsidP="009F4031">
      <w:pPr>
        <w:spacing w:after="0"/>
        <w:ind w:left="45"/>
      </w:pPr>
    </w:p>
    <w:p w14:paraId="434C6608" w14:textId="77777777" w:rsidR="00F959C3" w:rsidRDefault="00F959C3" w:rsidP="00997283">
      <w:pPr>
        <w:pStyle w:val="Caption"/>
        <w:spacing w:after="0" w:line="276" w:lineRule="auto"/>
        <w:ind w:left="405" w:firstLine="720"/>
      </w:pPr>
      <w:r>
        <w:t>Table 1: Stakeholder interviews planned and conducted</w:t>
      </w:r>
    </w:p>
    <w:tbl>
      <w:tblPr>
        <w:tblW w:w="6770" w:type="dxa"/>
        <w:jc w:val="center"/>
        <w:tblLook w:val="04A0" w:firstRow="1" w:lastRow="0" w:firstColumn="1" w:lastColumn="0" w:noHBand="0" w:noVBand="1"/>
      </w:tblPr>
      <w:tblGrid>
        <w:gridCol w:w="5110"/>
        <w:gridCol w:w="1660"/>
      </w:tblGrid>
      <w:tr w:rsidR="00204AFE" w:rsidRPr="00F959C3" w14:paraId="154440AA" w14:textId="77777777" w:rsidTr="00C67AEC">
        <w:trPr>
          <w:trHeight w:val="300"/>
          <w:jc w:val="center"/>
        </w:trPr>
        <w:tc>
          <w:tcPr>
            <w:tcW w:w="51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32AA1" w14:textId="77777777" w:rsidR="00204AFE" w:rsidRPr="00F959C3" w:rsidRDefault="00204AFE" w:rsidP="009F4031">
            <w:pPr>
              <w:spacing w:after="0"/>
              <w:rPr>
                <w:rFonts w:cs="Calibri"/>
                <w:b/>
                <w:bCs/>
                <w:color w:val="000000"/>
                <w:szCs w:val="22"/>
              </w:rPr>
            </w:pPr>
            <w:r w:rsidRPr="00F959C3">
              <w:rPr>
                <w:rFonts w:cs="Calibri"/>
                <w:b/>
                <w:bCs/>
                <w:color w:val="000000"/>
                <w:szCs w:val="22"/>
              </w:rPr>
              <w:t>Group</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5FB747A4" w14:textId="77777777" w:rsidR="00204AFE" w:rsidRPr="00F959C3" w:rsidRDefault="00C67AEC" w:rsidP="009F4031">
            <w:pPr>
              <w:spacing w:after="0"/>
              <w:rPr>
                <w:rFonts w:cs="Calibri"/>
                <w:b/>
                <w:bCs/>
                <w:color w:val="000000"/>
                <w:szCs w:val="22"/>
              </w:rPr>
            </w:pPr>
            <w:r>
              <w:rPr>
                <w:rFonts w:cs="Calibri"/>
                <w:b/>
                <w:bCs/>
                <w:color w:val="000000"/>
                <w:szCs w:val="22"/>
              </w:rPr>
              <w:t xml:space="preserve">No. </w:t>
            </w:r>
            <w:r w:rsidR="00204AFE" w:rsidRPr="00F959C3">
              <w:rPr>
                <w:rFonts w:cs="Calibri"/>
                <w:b/>
                <w:bCs/>
                <w:color w:val="000000"/>
                <w:szCs w:val="22"/>
              </w:rPr>
              <w:t>interviews conducted</w:t>
            </w:r>
          </w:p>
        </w:tc>
      </w:tr>
      <w:tr w:rsidR="00204AFE" w:rsidRPr="00F959C3" w14:paraId="7B916411" w14:textId="77777777" w:rsidTr="00C67AEC">
        <w:trPr>
          <w:trHeight w:val="300"/>
          <w:jc w:val="center"/>
        </w:trPr>
        <w:tc>
          <w:tcPr>
            <w:tcW w:w="5110" w:type="dxa"/>
            <w:tcBorders>
              <w:top w:val="nil"/>
              <w:left w:val="single" w:sz="4" w:space="0" w:color="auto"/>
              <w:bottom w:val="single" w:sz="4" w:space="0" w:color="auto"/>
              <w:right w:val="single" w:sz="4" w:space="0" w:color="auto"/>
            </w:tcBorders>
            <w:shd w:val="clear" w:color="auto" w:fill="auto"/>
            <w:noWrap/>
            <w:vAlign w:val="bottom"/>
            <w:hideMark/>
          </w:tcPr>
          <w:p w14:paraId="76716450" w14:textId="77777777" w:rsidR="00204AFE" w:rsidRPr="00F959C3" w:rsidRDefault="00C70DE9" w:rsidP="009F4031">
            <w:pPr>
              <w:spacing w:after="0"/>
              <w:rPr>
                <w:rFonts w:cs="Calibri"/>
                <w:color w:val="000000"/>
                <w:szCs w:val="22"/>
              </w:rPr>
            </w:pPr>
            <w:r w:rsidRPr="00A71C14">
              <w:t>DoI</w:t>
            </w:r>
            <w:r>
              <w:t>S</w:t>
            </w:r>
            <w:r w:rsidR="00204AFE" w:rsidRPr="00F959C3">
              <w:rPr>
                <w:rFonts w:cs="Calibri"/>
                <w:color w:val="000000"/>
                <w:szCs w:val="22"/>
              </w:rPr>
              <w:t xml:space="preserve"> E3 staff - strategic planning leads </w:t>
            </w:r>
          </w:p>
        </w:tc>
        <w:tc>
          <w:tcPr>
            <w:tcW w:w="1660" w:type="dxa"/>
            <w:tcBorders>
              <w:top w:val="nil"/>
              <w:left w:val="nil"/>
              <w:bottom w:val="single" w:sz="4" w:space="0" w:color="auto"/>
              <w:right w:val="single" w:sz="4" w:space="0" w:color="auto"/>
            </w:tcBorders>
            <w:shd w:val="clear" w:color="auto" w:fill="auto"/>
            <w:noWrap/>
            <w:vAlign w:val="bottom"/>
            <w:hideMark/>
          </w:tcPr>
          <w:p w14:paraId="772257DB" w14:textId="77777777" w:rsidR="00204AFE" w:rsidRPr="00F959C3" w:rsidRDefault="00204AFE" w:rsidP="009F4031">
            <w:pPr>
              <w:spacing w:after="0"/>
              <w:jc w:val="center"/>
              <w:rPr>
                <w:rFonts w:cs="Calibri"/>
                <w:color w:val="000000"/>
                <w:szCs w:val="22"/>
              </w:rPr>
            </w:pPr>
            <w:r w:rsidRPr="00F959C3">
              <w:rPr>
                <w:rFonts w:cs="Calibri"/>
                <w:color w:val="000000"/>
                <w:szCs w:val="22"/>
              </w:rPr>
              <w:t>4</w:t>
            </w:r>
          </w:p>
        </w:tc>
      </w:tr>
      <w:tr w:rsidR="00204AFE" w:rsidRPr="00F959C3" w14:paraId="156AA5A7" w14:textId="77777777" w:rsidTr="00C67AEC">
        <w:trPr>
          <w:trHeight w:val="300"/>
          <w:jc w:val="center"/>
        </w:trPr>
        <w:tc>
          <w:tcPr>
            <w:tcW w:w="5110" w:type="dxa"/>
            <w:tcBorders>
              <w:top w:val="nil"/>
              <w:left w:val="single" w:sz="4" w:space="0" w:color="auto"/>
              <w:bottom w:val="single" w:sz="4" w:space="0" w:color="auto"/>
              <w:right w:val="single" w:sz="4" w:space="0" w:color="auto"/>
            </w:tcBorders>
            <w:shd w:val="clear" w:color="auto" w:fill="auto"/>
            <w:noWrap/>
            <w:vAlign w:val="bottom"/>
            <w:hideMark/>
          </w:tcPr>
          <w:p w14:paraId="13B8D597" w14:textId="77777777" w:rsidR="00204AFE" w:rsidRPr="00F959C3" w:rsidRDefault="00C70DE9" w:rsidP="009F4031">
            <w:pPr>
              <w:spacing w:after="0"/>
              <w:rPr>
                <w:rFonts w:cs="Calibri"/>
                <w:color w:val="000000"/>
                <w:szCs w:val="22"/>
              </w:rPr>
            </w:pPr>
            <w:r w:rsidRPr="00A71C14">
              <w:t>DoI</w:t>
            </w:r>
            <w:r>
              <w:t>S</w:t>
            </w:r>
            <w:r w:rsidRPr="00A71C14">
              <w:t xml:space="preserve"> </w:t>
            </w:r>
            <w:r w:rsidR="00336AFB">
              <w:rPr>
                <w:rFonts w:cs="Calibri"/>
                <w:color w:val="000000"/>
                <w:szCs w:val="22"/>
              </w:rPr>
              <w:t>E3 staff - s</w:t>
            </w:r>
            <w:r w:rsidR="00204AFE" w:rsidRPr="00F959C3">
              <w:rPr>
                <w:rFonts w:cs="Calibri"/>
                <w:color w:val="000000"/>
                <w:szCs w:val="22"/>
              </w:rPr>
              <w:t xml:space="preserve">ector leads </w:t>
            </w:r>
          </w:p>
        </w:tc>
        <w:tc>
          <w:tcPr>
            <w:tcW w:w="1660" w:type="dxa"/>
            <w:tcBorders>
              <w:top w:val="nil"/>
              <w:left w:val="nil"/>
              <w:bottom w:val="single" w:sz="4" w:space="0" w:color="auto"/>
              <w:right w:val="single" w:sz="4" w:space="0" w:color="auto"/>
            </w:tcBorders>
            <w:shd w:val="clear" w:color="auto" w:fill="auto"/>
            <w:noWrap/>
            <w:vAlign w:val="bottom"/>
            <w:hideMark/>
          </w:tcPr>
          <w:p w14:paraId="34E6CD9C" w14:textId="77777777" w:rsidR="00204AFE" w:rsidRPr="00F959C3" w:rsidRDefault="00204AFE" w:rsidP="009F4031">
            <w:pPr>
              <w:spacing w:after="0"/>
              <w:jc w:val="center"/>
              <w:rPr>
                <w:rFonts w:cs="Calibri"/>
                <w:color w:val="000000"/>
                <w:szCs w:val="22"/>
              </w:rPr>
            </w:pPr>
            <w:r w:rsidRPr="00F959C3">
              <w:rPr>
                <w:rFonts w:cs="Calibri"/>
                <w:color w:val="000000"/>
                <w:szCs w:val="22"/>
              </w:rPr>
              <w:t>10</w:t>
            </w:r>
          </w:p>
        </w:tc>
      </w:tr>
      <w:tr w:rsidR="00204AFE" w:rsidRPr="00F959C3" w14:paraId="54541FA5" w14:textId="77777777" w:rsidTr="00C67AEC">
        <w:trPr>
          <w:trHeight w:val="300"/>
          <w:jc w:val="center"/>
        </w:trPr>
        <w:tc>
          <w:tcPr>
            <w:tcW w:w="5110" w:type="dxa"/>
            <w:tcBorders>
              <w:top w:val="nil"/>
              <w:left w:val="single" w:sz="4" w:space="0" w:color="auto"/>
              <w:bottom w:val="single" w:sz="4" w:space="0" w:color="auto"/>
              <w:right w:val="single" w:sz="4" w:space="0" w:color="auto"/>
            </w:tcBorders>
            <w:shd w:val="clear" w:color="auto" w:fill="auto"/>
            <w:noWrap/>
            <w:vAlign w:val="bottom"/>
            <w:hideMark/>
          </w:tcPr>
          <w:p w14:paraId="3761B230" w14:textId="77777777" w:rsidR="00204AFE" w:rsidRPr="00F959C3" w:rsidRDefault="00204AFE" w:rsidP="009F4031">
            <w:pPr>
              <w:spacing w:after="0"/>
              <w:rPr>
                <w:rFonts w:cs="Calibri"/>
                <w:color w:val="000000"/>
                <w:szCs w:val="22"/>
              </w:rPr>
            </w:pPr>
            <w:r w:rsidRPr="00F959C3">
              <w:rPr>
                <w:rFonts w:cs="Calibri"/>
                <w:color w:val="000000"/>
                <w:szCs w:val="22"/>
              </w:rPr>
              <w:t xml:space="preserve">State representatives on E3 committee </w:t>
            </w:r>
          </w:p>
        </w:tc>
        <w:tc>
          <w:tcPr>
            <w:tcW w:w="1660" w:type="dxa"/>
            <w:tcBorders>
              <w:top w:val="nil"/>
              <w:left w:val="nil"/>
              <w:bottom w:val="single" w:sz="4" w:space="0" w:color="auto"/>
              <w:right w:val="single" w:sz="4" w:space="0" w:color="auto"/>
            </w:tcBorders>
            <w:shd w:val="clear" w:color="auto" w:fill="auto"/>
            <w:noWrap/>
            <w:vAlign w:val="bottom"/>
            <w:hideMark/>
          </w:tcPr>
          <w:p w14:paraId="39FDAFF5" w14:textId="77777777" w:rsidR="00204AFE" w:rsidRPr="00F959C3" w:rsidRDefault="00204AFE" w:rsidP="009F4031">
            <w:pPr>
              <w:spacing w:after="0"/>
              <w:jc w:val="center"/>
              <w:rPr>
                <w:rFonts w:cs="Calibri"/>
                <w:color w:val="000000"/>
                <w:szCs w:val="22"/>
              </w:rPr>
            </w:pPr>
            <w:r w:rsidRPr="00F959C3">
              <w:rPr>
                <w:rFonts w:cs="Calibri"/>
                <w:color w:val="000000"/>
                <w:szCs w:val="22"/>
              </w:rPr>
              <w:t>10</w:t>
            </w:r>
          </w:p>
        </w:tc>
      </w:tr>
      <w:tr w:rsidR="00204AFE" w:rsidRPr="00F959C3" w14:paraId="2A292377" w14:textId="77777777" w:rsidTr="00C67AEC">
        <w:trPr>
          <w:trHeight w:val="300"/>
          <w:jc w:val="center"/>
        </w:trPr>
        <w:tc>
          <w:tcPr>
            <w:tcW w:w="5110" w:type="dxa"/>
            <w:tcBorders>
              <w:top w:val="nil"/>
              <w:left w:val="single" w:sz="4" w:space="0" w:color="auto"/>
              <w:bottom w:val="single" w:sz="4" w:space="0" w:color="auto"/>
              <w:right w:val="single" w:sz="4" w:space="0" w:color="auto"/>
            </w:tcBorders>
            <w:shd w:val="clear" w:color="auto" w:fill="auto"/>
            <w:noWrap/>
            <w:vAlign w:val="bottom"/>
            <w:hideMark/>
          </w:tcPr>
          <w:p w14:paraId="3A4EEE62" w14:textId="77777777" w:rsidR="00204AFE" w:rsidRPr="00F959C3" w:rsidRDefault="00204AFE" w:rsidP="009F4031">
            <w:pPr>
              <w:spacing w:after="0"/>
              <w:rPr>
                <w:rFonts w:cs="Calibri"/>
                <w:color w:val="000000"/>
                <w:szCs w:val="22"/>
              </w:rPr>
            </w:pPr>
            <w:r w:rsidRPr="00F959C3">
              <w:rPr>
                <w:rFonts w:cs="Calibri"/>
                <w:color w:val="000000"/>
                <w:szCs w:val="22"/>
              </w:rPr>
              <w:t>Tech</w:t>
            </w:r>
            <w:r w:rsidR="004F1F23">
              <w:rPr>
                <w:rFonts w:cs="Calibri"/>
                <w:color w:val="000000"/>
                <w:szCs w:val="22"/>
              </w:rPr>
              <w:t>nical</w:t>
            </w:r>
            <w:r w:rsidRPr="00F959C3">
              <w:rPr>
                <w:rFonts w:cs="Calibri"/>
                <w:color w:val="000000"/>
                <w:szCs w:val="22"/>
              </w:rPr>
              <w:t xml:space="preserve"> experts / consultants </w:t>
            </w:r>
          </w:p>
        </w:tc>
        <w:tc>
          <w:tcPr>
            <w:tcW w:w="1660" w:type="dxa"/>
            <w:tcBorders>
              <w:top w:val="nil"/>
              <w:left w:val="nil"/>
              <w:bottom w:val="single" w:sz="4" w:space="0" w:color="auto"/>
              <w:right w:val="single" w:sz="4" w:space="0" w:color="auto"/>
            </w:tcBorders>
            <w:shd w:val="clear" w:color="auto" w:fill="auto"/>
            <w:noWrap/>
            <w:vAlign w:val="bottom"/>
            <w:hideMark/>
          </w:tcPr>
          <w:p w14:paraId="011BFF98" w14:textId="77777777" w:rsidR="00204AFE" w:rsidRPr="00F959C3" w:rsidRDefault="00204AFE" w:rsidP="009F4031">
            <w:pPr>
              <w:spacing w:after="0"/>
              <w:jc w:val="center"/>
              <w:rPr>
                <w:rFonts w:cs="Calibri"/>
                <w:color w:val="000000"/>
                <w:szCs w:val="22"/>
              </w:rPr>
            </w:pPr>
            <w:r w:rsidRPr="00F959C3">
              <w:rPr>
                <w:rFonts w:cs="Calibri"/>
                <w:color w:val="000000"/>
                <w:szCs w:val="22"/>
              </w:rPr>
              <w:t>6</w:t>
            </w:r>
          </w:p>
        </w:tc>
      </w:tr>
      <w:tr w:rsidR="00204AFE" w:rsidRPr="00F959C3" w14:paraId="19913BD7" w14:textId="77777777" w:rsidTr="00C67AEC">
        <w:trPr>
          <w:trHeight w:val="300"/>
          <w:jc w:val="center"/>
        </w:trPr>
        <w:tc>
          <w:tcPr>
            <w:tcW w:w="5110" w:type="dxa"/>
            <w:tcBorders>
              <w:top w:val="nil"/>
              <w:left w:val="single" w:sz="4" w:space="0" w:color="auto"/>
              <w:bottom w:val="single" w:sz="4" w:space="0" w:color="auto"/>
              <w:right w:val="single" w:sz="4" w:space="0" w:color="auto"/>
            </w:tcBorders>
            <w:shd w:val="clear" w:color="auto" w:fill="auto"/>
            <w:noWrap/>
            <w:vAlign w:val="bottom"/>
            <w:hideMark/>
          </w:tcPr>
          <w:p w14:paraId="07425D62" w14:textId="77777777" w:rsidR="00204AFE" w:rsidRPr="00F959C3" w:rsidRDefault="00204AFE" w:rsidP="009F4031">
            <w:pPr>
              <w:spacing w:after="0"/>
              <w:rPr>
                <w:rFonts w:cs="Calibri"/>
                <w:color w:val="000000"/>
                <w:szCs w:val="22"/>
              </w:rPr>
            </w:pPr>
            <w:r w:rsidRPr="00F959C3">
              <w:rPr>
                <w:rFonts w:cs="Calibri"/>
                <w:color w:val="000000"/>
                <w:szCs w:val="22"/>
              </w:rPr>
              <w:t>Manufacturers</w:t>
            </w:r>
            <w:r w:rsidR="00C76E22">
              <w:rPr>
                <w:rFonts w:cs="Calibri"/>
                <w:color w:val="000000"/>
                <w:szCs w:val="22"/>
              </w:rPr>
              <w:t>’</w:t>
            </w:r>
            <w:r w:rsidRPr="00F959C3">
              <w:rPr>
                <w:rFonts w:cs="Calibri"/>
                <w:color w:val="000000"/>
                <w:szCs w:val="22"/>
              </w:rPr>
              <w:t xml:space="preserve"> Peak Bodies (E3 Review </w:t>
            </w:r>
            <w:r w:rsidR="00C76E22">
              <w:rPr>
                <w:rFonts w:cs="Calibri"/>
                <w:color w:val="000000"/>
                <w:szCs w:val="22"/>
              </w:rPr>
              <w:t>C</w:t>
            </w:r>
            <w:r w:rsidRPr="00F959C3">
              <w:rPr>
                <w:rFonts w:cs="Calibri"/>
                <w:color w:val="000000"/>
                <w:szCs w:val="22"/>
              </w:rPr>
              <w:t xml:space="preserve">ommittee) </w:t>
            </w:r>
          </w:p>
        </w:tc>
        <w:tc>
          <w:tcPr>
            <w:tcW w:w="1660" w:type="dxa"/>
            <w:tcBorders>
              <w:top w:val="nil"/>
              <w:left w:val="nil"/>
              <w:bottom w:val="single" w:sz="4" w:space="0" w:color="auto"/>
              <w:right w:val="single" w:sz="4" w:space="0" w:color="auto"/>
            </w:tcBorders>
            <w:shd w:val="clear" w:color="auto" w:fill="auto"/>
            <w:noWrap/>
            <w:vAlign w:val="bottom"/>
            <w:hideMark/>
          </w:tcPr>
          <w:p w14:paraId="18052CB8" w14:textId="77777777" w:rsidR="00204AFE" w:rsidRPr="00F959C3" w:rsidRDefault="00204AFE" w:rsidP="009F4031">
            <w:pPr>
              <w:spacing w:after="0"/>
              <w:jc w:val="center"/>
              <w:rPr>
                <w:rFonts w:cs="Calibri"/>
                <w:color w:val="000000"/>
                <w:szCs w:val="22"/>
              </w:rPr>
            </w:pPr>
            <w:r w:rsidRPr="00F959C3">
              <w:rPr>
                <w:rFonts w:cs="Calibri"/>
                <w:color w:val="000000"/>
                <w:szCs w:val="22"/>
              </w:rPr>
              <w:t>7</w:t>
            </w:r>
          </w:p>
        </w:tc>
      </w:tr>
      <w:tr w:rsidR="00204AFE" w:rsidRPr="00F959C3" w14:paraId="76207DC6" w14:textId="77777777" w:rsidTr="00C67AEC">
        <w:trPr>
          <w:trHeight w:val="300"/>
          <w:jc w:val="center"/>
        </w:trPr>
        <w:tc>
          <w:tcPr>
            <w:tcW w:w="5110" w:type="dxa"/>
            <w:tcBorders>
              <w:top w:val="nil"/>
              <w:left w:val="single" w:sz="4" w:space="0" w:color="auto"/>
              <w:bottom w:val="single" w:sz="4" w:space="0" w:color="auto"/>
              <w:right w:val="single" w:sz="4" w:space="0" w:color="auto"/>
            </w:tcBorders>
            <w:shd w:val="clear" w:color="auto" w:fill="auto"/>
            <w:noWrap/>
            <w:vAlign w:val="bottom"/>
            <w:hideMark/>
          </w:tcPr>
          <w:p w14:paraId="73B170A5" w14:textId="77777777" w:rsidR="00204AFE" w:rsidRPr="00F959C3" w:rsidRDefault="00204AFE" w:rsidP="009F4031">
            <w:pPr>
              <w:spacing w:after="0"/>
              <w:rPr>
                <w:rFonts w:cs="Calibri"/>
                <w:color w:val="000000"/>
                <w:szCs w:val="22"/>
              </w:rPr>
            </w:pPr>
            <w:r w:rsidRPr="00F959C3">
              <w:rPr>
                <w:rFonts w:cs="Calibri"/>
                <w:color w:val="000000"/>
                <w:szCs w:val="22"/>
              </w:rPr>
              <w:t xml:space="preserve">Product sectors </w:t>
            </w:r>
          </w:p>
        </w:tc>
        <w:tc>
          <w:tcPr>
            <w:tcW w:w="1660" w:type="dxa"/>
            <w:tcBorders>
              <w:top w:val="nil"/>
              <w:left w:val="nil"/>
              <w:bottom w:val="single" w:sz="4" w:space="0" w:color="auto"/>
              <w:right w:val="single" w:sz="4" w:space="0" w:color="auto"/>
            </w:tcBorders>
            <w:shd w:val="clear" w:color="auto" w:fill="auto"/>
            <w:noWrap/>
            <w:vAlign w:val="bottom"/>
            <w:hideMark/>
          </w:tcPr>
          <w:p w14:paraId="793B61B6" w14:textId="77777777" w:rsidR="00204AFE" w:rsidRPr="00F959C3" w:rsidRDefault="00204AFE" w:rsidP="009F4031">
            <w:pPr>
              <w:spacing w:after="0"/>
              <w:jc w:val="center"/>
              <w:rPr>
                <w:rFonts w:cs="Calibri"/>
                <w:color w:val="000000"/>
                <w:szCs w:val="22"/>
              </w:rPr>
            </w:pPr>
            <w:r w:rsidRPr="00F959C3">
              <w:rPr>
                <w:rFonts w:cs="Calibri"/>
                <w:color w:val="000000"/>
                <w:szCs w:val="22"/>
              </w:rPr>
              <w:t>34</w:t>
            </w:r>
          </w:p>
        </w:tc>
      </w:tr>
      <w:tr w:rsidR="00204AFE" w:rsidRPr="00F959C3" w14:paraId="1A37F6F6" w14:textId="77777777" w:rsidTr="00C67AEC">
        <w:trPr>
          <w:trHeight w:val="300"/>
          <w:jc w:val="center"/>
        </w:trPr>
        <w:tc>
          <w:tcPr>
            <w:tcW w:w="5110" w:type="dxa"/>
            <w:tcBorders>
              <w:top w:val="nil"/>
              <w:left w:val="single" w:sz="4" w:space="0" w:color="auto"/>
              <w:bottom w:val="single" w:sz="4" w:space="0" w:color="auto"/>
              <w:right w:val="single" w:sz="4" w:space="0" w:color="auto"/>
            </w:tcBorders>
            <w:shd w:val="clear" w:color="auto" w:fill="auto"/>
            <w:noWrap/>
            <w:vAlign w:val="bottom"/>
            <w:hideMark/>
          </w:tcPr>
          <w:p w14:paraId="5785FC1B" w14:textId="77777777" w:rsidR="00204AFE" w:rsidRPr="00F959C3" w:rsidRDefault="00204AFE" w:rsidP="009F4031">
            <w:pPr>
              <w:spacing w:after="0"/>
              <w:rPr>
                <w:rFonts w:cs="Calibri"/>
                <w:color w:val="000000"/>
                <w:szCs w:val="22"/>
              </w:rPr>
            </w:pPr>
            <w:r w:rsidRPr="00F959C3">
              <w:rPr>
                <w:rFonts w:cs="Calibri"/>
                <w:color w:val="000000"/>
                <w:szCs w:val="22"/>
              </w:rPr>
              <w:t xml:space="preserve">Retailers </w:t>
            </w:r>
          </w:p>
        </w:tc>
        <w:tc>
          <w:tcPr>
            <w:tcW w:w="1660" w:type="dxa"/>
            <w:tcBorders>
              <w:top w:val="nil"/>
              <w:left w:val="nil"/>
              <w:bottom w:val="single" w:sz="4" w:space="0" w:color="auto"/>
              <w:right w:val="single" w:sz="4" w:space="0" w:color="auto"/>
            </w:tcBorders>
            <w:shd w:val="clear" w:color="auto" w:fill="auto"/>
            <w:noWrap/>
            <w:vAlign w:val="bottom"/>
            <w:hideMark/>
          </w:tcPr>
          <w:p w14:paraId="4A25764B" w14:textId="77777777" w:rsidR="00204AFE" w:rsidRPr="00F959C3" w:rsidRDefault="00204AFE" w:rsidP="009F4031">
            <w:pPr>
              <w:spacing w:after="0"/>
              <w:jc w:val="center"/>
              <w:rPr>
                <w:rFonts w:cs="Calibri"/>
                <w:color w:val="000000"/>
                <w:szCs w:val="22"/>
              </w:rPr>
            </w:pPr>
            <w:r w:rsidRPr="00F959C3">
              <w:rPr>
                <w:rFonts w:cs="Calibri"/>
                <w:color w:val="000000"/>
                <w:szCs w:val="22"/>
              </w:rPr>
              <w:t>5</w:t>
            </w:r>
          </w:p>
        </w:tc>
      </w:tr>
      <w:tr w:rsidR="00204AFE" w:rsidRPr="00F959C3" w14:paraId="6C540A3F" w14:textId="77777777" w:rsidTr="00C67AEC">
        <w:trPr>
          <w:trHeight w:val="300"/>
          <w:jc w:val="center"/>
        </w:trPr>
        <w:tc>
          <w:tcPr>
            <w:tcW w:w="5110" w:type="dxa"/>
            <w:tcBorders>
              <w:top w:val="nil"/>
              <w:left w:val="single" w:sz="4" w:space="0" w:color="auto"/>
              <w:bottom w:val="single" w:sz="4" w:space="0" w:color="auto"/>
              <w:right w:val="single" w:sz="4" w:space="0" w:color="auto"/>
            </w:tcBorders>
            <w:shd w:val="clear" w:color="auto" w:fill="auto"/>
            <w:noWrap/>
            <w:vAlign w:val="bottom"/>
            <w:hideMark/>
          </w:tcPr>
          <w:p w14:paraId="7009FB6E" w14:textId="77777777" w:rsidR="00204AFE" w:rsidRPr="00F959C3" w:rsidRDefault="00204AFE" w:rsidP="005F0229">
            <w:pPr>
              <w:spacing w:after="0"/>
              <w:rPr>
                <w:rFonts w:cs="Calibri"/>
                <w:color w:val="000000"/>
                <w:szCs w:val="22"/>
              </w:rPr>
            </w:pPr>
            <w:r w:rsidRPr="00F959C3">
              <w:rPr>
                <w:rFonts w:cs="Calibri"/>
                <w:color w:val="000000"/>
                <w:szCs w:val="22"/>
              </w:rPr>
              <w:t xml:space="preserve">Consumer </w:t>
            </w:r>
            <w:r w:rsidR="005F0229">
              <w:rPr>
                <w:rFonts w:cs="Calibri"/>
                <w:color w:val="000000"/>
                <w:szCs w:val="22"/>
              </w:rPr>
              <w:t xml:space="preserve">groups </w:t>
            </w:r>
            <w:r w:rsidR="005F0229" w:rsidRPr="00F959C3">
              <w:rPr>
                <w:rFonts w:cs="Calibri"/>
                <w:color w:val="000000"/>
                <w:szCs w:val="22"/>
              </w:rPr>
              <w:t xml:space="preserve">  </w:t>
            </w:r>
          </w:p>
        </w:tc>
        <w:tc>
          <w:tcPr>
            <w:tcW w:w="1660" w:type="dxa"/>
            <w:tcBorders>
              <w:top w:val="nil"/>
              <w:left w:val="nil"/>
              <w:bottom w:val="single" w:sz="4" w:space="0" w:color="auto"/>
              <w:right w:val="single" w:sz="4" w:space="0" w:color="auto"/>
            </w:tcBorders>
            <w:shd w:val="clear" w:color="auto" w:fill="auto"/>
            <w:noWrap/>
            <w:vAlign w:val="bottom"/>
            <w:hideMark/>
          </w:tcPr>
          <w:p w14:paraId="49FF906A" w14:textId="77777777" w:rsidR="00204AFE" w:rsidRPr="00F959C3" w:rsidRDefault="00204AFE" w:rsidP="009F4031">
            <w:pPr>
              <w:spacing w:after="0"/>
              <w:jc w:val="center"/>
              <w:rPr>
                <w:rFonts w:cs="Calibri"/>
                <w:color w:val="000000"/>
                <w:szCs w:val="22"/>
              </w:rPr>
            </w:pPr>
            <w:r w:rsidRPr="00F959C3">
              <w:rPr>
                <w:rFonts w:cs="Calibri"/>
                <w:color w:val="000000"/>
                <w:szCs w:val="22"/>
              </w:rPr>
              <w:t>11</w:t>
            </w:r>
          </w:p>
        </w:tc>
      </w:tr>
      <w:tr w:rsidR="00204AFE" w:rsidRPr="00F959C3" w14:paraId="1A7EFB7B" w14:textId="77777777" w:rsidTr="00C67AEC">
        <w:trPr>
          <w:trHeight w:val="300"/>
          <w:jc w:val="center"/>
        </w:trPr>
        <w:tc>
          <w:tcPr>
            <w:tcW w:w="5110" w:type="dxa"/>
            <w:tcBorders>
              <w:top w:val="nil"/>
              <w:left w:val="single" w:sz="4" w:space="0" w:color="auto"/>
              <w:bottom w:val="single" w:sz="4" w:space="0" w:color="auto"/>
              <w:right w:val="single" w:sz="4" w:space="0" w:color="auto"/>
            </w:tcBorders>
            <w:shd w:val="clear" w:color="auto" w:fill="auto"/>
            <w:noWrap/>
            <w:vAlign w:val="bottom"/>
            <w:hideMark/>
          </w:tcPr>
          <w:p w14:paraId="6F1A079F" w14:textId="77777777" w:rsidR="00204AFE" w:rsidRPr="00F959C3" w:rsidRDefault="00204AFE" w:rsidP="005F0229">
            <w:pPr>
              <w:spacing w:after="0"/>
              <w:rPr>
                <w:rFonts w:cs="Calibri"/>
                <w:color w:val="000000"/>
                <w:szCs w:val="22"/>
              </w:rPr>
            </w:pPr>
            <w:r w:rsidRPr="00F959C3">
              <w:rPr>
                <w:rFonts w:cs="Calibri"/>
                <w:color w:val="000000"/>
                <w:szCs w:val="22"/>
              </w:rPr>
              <w:t xml:space="preserve">Environmental </w:t>
            </w:r>
            <w:r w:rsidR="005F0229">
              <w:rPr>
                <w:rFonts w:cs="Calibri"/>
                <w:color w:val="000000"/>
                <w:szCs w:val="22"/>
              </w:rPr>
              <w:t>g</w:t>
            </w:r>
            <w:r w:rsidRPr="00F959C3">
              <w:rPr>
                <w:rFonts w:cs="Calibri"/>
                <w:color w:val="000000"/>
                <w:szCs w:val="22"/>
              </w:rPr>
              <w:t xml:space="preserve">roups </w:t>
            </w:r>
          </w:p>
        </w:tc>
        <w:tc>
          <w:tcPr>
            <w:tcW w:w="1660" w:type="dxa"/>
            <w:tcBorders>
              <w:top w:val="nil"/>
              <w:left w:val="nil"/>
              <w:bottom w:val="single" w:sz="4" w:space="0" w:color="auto"/>
              <w:right w:val="single" w:sz="4" w:space="0" w:color="auto"/>
            </w:tcBorders>
            <w:shd w:val="clear" w:color="auto" w:fill="auto"/>
            <w:noWrap/>
            <w:vAlign w:val="bottom"/>
            <w:hideMark/>
          </w:tcPr>
          <w:p w14:paraId="54A35EF7" w14:textId="77777777" w:rsidR="00204AFE" w:rsidRPr="00F959C3" w:rsidRDefault="00204AFE" w:rsidP="009F4031">
            <w:pPr>
              <w:spacing w:after="0"/>
              <w:jc w:val="center"/>
              <w:rPr>
                <w:rFonts w:cs="Calibri"/>
                <w:color w:val="000000"/>
                <w:szCs w:val="22"/>
              </w:rPr>
            </w:pPr>
            <w:r w:rsidRPr="00F959C3">
              <w:rPr>
                <w:rFonts w:cs="Calibri"/>
                <w:color w:val="000000"/>
                <w:szCs w:val="22"/>
              </w:rPr>
              <w:t>4</w:t>
            </w:r>
          </w:p>
        </w:tc>
      </w:tr>
      <w:tr w:rsidR="00204AFE" w:rsidRPr="00F959C3" w14:paraId="7A96878D" w14:textId="77777777" w:rsidTr="00C67AEC">
        <w:trPr>
          <w:trHeight w:val="300"/>
          <w:jc w:val="center"/>
        </w:trPr>
        <w:tc>
          <w:tcPr>
            <w:tcW w:w="5110" w:type="dxa"/>
            <w:tcBorders>
              <w:top w:val="nil"/>
              <w:left w:val="single" w:sz="4" w:space="0" w:color="auto"/>
              <w:bottom w:val="single" w:sz="4" w:space="0" w:color="auto"/>
              <w:right w:val="single" w:sz="4" w:space="0" w:color="auto"/>
            </w:tcBorders>
            <w:shd w:val="clear" w:color="auto" w:fill="auto"/>
            <w:noWrap/>
            <w:vAlign w:val="bottom"/>
            <w:hideMark/>
          </w:tcPr>
          <w:p w14:paraId="148257AE" w14:textId="77777777" w:rsidR="00204AFE" w:rsidRPr="00F959C3" w:rsidRDefault="00204AFE" w:rsidP="00AD2B97">
            <w:pPr>
              <w:spacing w:after="0"/>
              <w:rPr>
                <w:rFonts w:cs="Calibri"/>
                <w:color w:val="000000"/>
                <w:szCs w:val="22"/>
              </w:rPr>
            </w:pPr>
            <w:r w:rsidRPr="00F959C3">
              <w:rPr>
                <w:rFonts w:cs="Calibri"/>
                <w:color w:val="000000"/>
                <w:szCs w:val="22"/>
              </w:rPr>
              <w:t xml:space="preserve">Other </w:t>
            </w:r>
            <w:r w:rsidR="00AD2B97">
              <w:rPr>
                <w:rFonts w:cs="Calibri"/>
                <w:color w:val="000000"/>
                <w:szCs w:val="22"/>
              </w:rPr>
              <w:t>f</w:t>
            </w:r>
            <w:r w:rsidRPr="00F959C3">
              <w:rPr>
                <w:rFonts w:cs="Calibri"/>
                <w:color w:val="000000"/>
                <w:szCs w:val="22"/>
              </w:rPr>
              <w:t>ed</w:t>
            </w:r>
            <w:r w:rsidR="004F1F23">
              <w:rPr>
                <w:rFonts w:cs="Calibri"/>
                <w:color w:val="000000"/>
                <w:szCs w:val="22"/>
              </w:rPr>
              <w:t>eral</w:t>
            </w:r>
            <w:r w:rsidRPr="00F959C3">
              <w:rPr>
                <w:rFonts w:cs="Calibri"/>
                <w:color w:val="000000"/>
                <w:szCs w:val="22"/>
              </w:rPr>
              <w:t xml:space="preserve"> </w:t>
            </w:r>
            <w:r w:rsidR="00AD2B97">
              <w:rPr>
                <w:rFonts w:cs="Calibri"/>
                <w:color w:val="000000"/>
                <w:szCs w:val="22"/>
              </w:rPr>
              <w:t>g</w:t>
            </w:r>
            <w:r w:rsidRPr="00F959C3">
              <w:rPr>
                <w:rFonts w:cs="Calibri"/>
                <w:color w:val="000000"/>
                <w:szCs w:val="22"/>
              </w:rPr>
              <w:t>ov</w:t>
            </w:r>
            <w:r w:rsidR="00B95C6A">
              <w:rPr>
                <w:rFonts w:cs="Calibri"/>
                <w:color w:val="000000"/>
                <w:szCs w:val="22"/>
              </w:rPr>
              <w:t>ernment</w:t>
            </w:r>
            <w:r w:rsidRPr="00F959C3">
              <w:rPr>
                <w:rFonts w:cs="Calibri"/>
                <w:color w:val="000000"/>
                <w:szCs w:val="22"/>
              </w:rPr>
              <w:t xml:space="preserve"> </w:t>
            </w:r>
          </w:p>
        </w:tc>
        <w:tc>
          <w:tcPr>
            <w:tcW w:w="1660" w:type="dxa"/>
            <w:tcBorders>
              <w:top w:val="nil"/>
              <w:left w:val="nil"/>
              <w:bottom w:val="single" w:sz="4" w:space="0" w:color="auto"/>
              <w:right w:val="single" w:sz="4" w:space="0" w:color="auto"/>
            </w:tcBorders>
            <w:shd w:val="clear" w:color="auto" w:fill="auto"/>
            <w:noWrap/>
            <w:vAlign w:val="bottom"/>
            <w:hideMark/>
          </w:tcPr>
          <w:p w14:paraId="676A7850" w14:textId="77777777" w:rsidR="00204AFE" w:rsidRPr="00F959C3" w:rsidRDefault="00204AFE" w:rsidP="009F4031">
            <w:pPr>
              <w:spacing w:after="0"/>
              <w:jc w:val="center"/>
              <w:rPr>
                <w:rFonts w:cs="Calibri"/>
                <w:color w:val="000000"/>
                <w:szCs w:val="22"/>
              </w:rPr>
            </w:pPr>
            <w:r w:rsidRPr="00F959C3">
              <w:rPr>
                <w:rFonts w:cs="Calibri"/>
                <w:color w:val="000000"/>
                <w:szCs w:val="22"/>
              </w:rPr>
              <w:t>2</w:t>
            </w:r>
          </w:p>
        </w:tc>
      </w:tr>
      <w:tr w:rsidR="00204AFE" w:rsidRPr="00F959C3" w14:paraId="3B3CD0C5" w14:textId="77777777" w:rsidTr="00C67AEC">
        <w:trPr>
          <w:trHeight w:val="300"/>
          <w:jc w:val="center"/>
        </w:trPr>
        <w:tc>
          <w:tcPr>
            <w:tcW w:w="5110" w:type="dxa"/>
            <w:tcBorders>
              <w:top w:val="nil"/>
              <w:left w:val="single" w:sz="4" w:space="0" w:color="auto"/>
              <w:bottom w:val="single" w:sz="4" w:space="0" w:color="auto"/>
              <w:right w:val="single" w:sz="4" w:space="0" w:color="auto"/>
            </w:tcBorders>
            <w:shd w:val="clear" w:color="auto" w:fill="auto"/>
            <w:noWrap/>
            <w:vAlign w:val="bottom"/>
            <w:hideMark/>
          </w:tcPr>
          <w:p w14:paraId="7BDB1B0A" w14:textId="77777777" w:rsidR="00204AFE" w:rsidRPr="00F959C3" w:rsidRDefault="00204AFE" w:rsidP="009F4031">
            <w:pPr>
              <w:spacing w:after="0"/>
              <w:rPr>
                <w:rFonts w:cs="Calibri"/>
                <w:color w:val="000000"/>
                <w:szCs w:val="22"/>
              </w:rPr>
            </w:pPr>
            <w:r w:rsidRPr="00F959C3">
              <w:rPr>
                <w:rFonts w:cs="Calibri"/>
                <w:color w:val="000000"/>
                <w:szCs w:val="22"/>
              </w:rPr>
              <w:t xml:space="preserve">Test labs / certifiers  </w:t>
            </w:r>
          </w:p>
        </w:tc>
        <w:tc>
          <w:tcPr>
            <w:tcW w:w="1660" w:type="dxa"/>
            <w:tcBorders>
              <w:top w:val="nil"/>
              <w:left w:val="nil"/>
              <w:bottom w:val="single" w:sz="4" w:space="0" w:color="auto"/>
              <w:right w:val="single" w:sz="4" w:space="0" w:color="auto"/>
            </w:tcBorders>
            <w:shd w:val="clear" w:color="auto" w:fill="auto"/>
            <w:noWrap/>
            <w:vAlign w:val="bottom"/>
            <w:hideMark/>
          </w:tcPr>
          <w:p w14:paraId="1FA9415A" w14:textId="77777777" w:rsidR="00204AFE" w:rsidRPr="00F959C3" w:rsidRDefault="00204AFE" w:rsidP="009F4031">
            <w:pPr>
              <w:spacing w:after="0"/>
              <w:jc w:val="center"/>
              <w:rPr>
                <w:rFonts w:cs="Calibri"/>
                <w:color w:val="000000"/>
                <w:szCs w:val="22"/>
              </w:rPr>
            </w:pPr>
            <w:r w:rsidRPr="00F959C3">
              <w:rPr>
                <w:rFonts w:cs="Calibri"/>
                <w:color w:val="000000"/>
                <w:szCs w:val="22"/>
              </w:rPr>
              <w:t>5</w:t>
            </w:r>
          </w:p>
        </w:tc>
      </w:tr>
      <w:tr w:rsidR="00204AFE" w:rsidRPr="00F959C3" w14:paraId="483AA731" w14:textId="77777777" w:rsidTr="00C67AEC">
        <w:trPr>
          <w:trHeight w:val="300"/>
          <w:jc w:val="center"/>
        </w:trPr>
        <w:tc>
          <w:tcPr>
            <w:tcW w:w="5110" w:type="dxa"/>
            <w:tcBorders>
              <w:top w:val="nil"/>
              <w:left w:val="single" w:sz="4" w:space="0" w:color="auto"/>
              <w:bottom w:val="single" w:sz="4" w:space="0" w:color="auto"/>
              <w:right w:val="single" w:sz="4" w:space="0" w:color="auto"/>
            </w:tcBorders>
            <w:shd w:val="clear" w:color="auto" w:fill="auto"/>
            <w:noWrap/>
            <w:vAlign w:val="bottom"/>
            <w:hideMark/>
          </w:tcPr>
          <w:p w14:paraId="2721DC73" w14:textId="77777777" w:rsidR="00204AFE" w:rsidRPr="00F959C3" w:rsidRDefault="00204AFE" w:rsidP="009F4031">
            <w:pPr>
              <w:spacing w:after="0"/>
              <w:rPr>
                <w:rFonts w:cs="Calibri"/>
                <w:b/>
                <w:bCs/>
                <w:color w:val="000000"/>
                <w:szCs w:val="22"/>
              </w:rPr>
            </w:pPr>
            <w:r w:rsidRPr="00F959C3">
              <w:rPr>
                <w:rFonts w:cs="Calibri"/>
                <w:b/>
                <w:bCs/>
                <w:color w:val="000000"/>
                <w:szCs w:val="22"/>
              </w:rPr>
              <w:t>Total</w:t>
            </w:r>
          </w:p>
        </w:tc>
        <w:tc>
          <w:tcPr>
            <w:tcW w:w="1660" w:type="dxa"/>
            <w:tcBorders>
              <w:top w:val="nil"/>
              <w:left w:val="nil"/>
              <w:bottom w:val="single" w:sz="4" w:space="0" w:color="auto"/>
              <w:right w:val="single" w:sz="4" w:space="0" w:color="auto"/>
            </w:tcBorders>
            <w:shd w:val="clear" w:color="auto" w:fill="auto"/>
            <w:noWrap/>
            <w:vAlign w:val="bottom"/>
            <w:hideMark/>
          </w:tcPr>
          <w:p w14:paraId="5912FB2C" w14:textId="77777777" w:rsidR="00204AFE" w:rsidRPr="000E7A62" w:rsidRDefault="00204AFE" w:rsidP="009F4031">
            <w:pPr>
              <w:spacing w:after="0"/>
              <w:jc w:val="center"/>
              <w:rPr>
                <w:rFonts w:cs="Calibri"/>
                <w:b/>
                <w:color w:val="000000"/>
                <w:szCs w:val="22"/>
              </w:rPr>
            </w:pPr>
            <w:r w:rsidRPr="000E7A62">
              <w:rPr>
                <w:rFonts w:cs="Calibri"/>
                <w:b/>
                <w:color w:val="000000"/>
                <w:szCs w:val="22"/>
              </w:rPr>
              <w:t>98</w:t>
            </w:r>
          </w:p>
        </w:tc>
      </w:tr>
    </w:tbl>
    <w:p w14:paraId="0D2CE556" w14:textId="77777777" w:rsidR="0035445A" w:rsidRDefault="0035445A" w:rsidP="009F4031">
      <w:pPr>
        <w:spacing w:after="0"/>
        <w:ind w:left="45"/>
      </w:pPr>
    </w:p>
    <w:p w14:paraId="0E66C240" w14:textId="77777777" w:rsidR="009D5984" w:rsidRDefault="005D4285" w:rsidP="009F4031">
      <w:pPr>
        <w:spacing w:after="0"/>
        <w:ind w:left="45"/>
      </w:pPr>
      <w:r>
        <w:t xml:space="preserve">In addition, </w:t>
      </w:r>
      <w:r w:rsidR="009D5984">
        <w:t>two written papers from stakeholder groups</w:t>
      </w:r>
      <w:r w:rsidR="000E7A62">
        <w:t xml:space="preserve"> were received</w:t>
      </w:r>
      <w:r w:rsidR="00B32BDA">
        <w:rPr>
          <w:rStyle w:val="FootnoteReference"/>
        </w:rPr>
        <w:footnoteReference w:id="42"/>
      </w:r>
      <w:r w:rsidR="000E7A62">
        <w:t>:</w:t>
      </w:r>
    </w:p>
    <w:p w14:paraId="1736D8F6" w14:textId="77777777" w:rsidR="005D4285" w:rsidRDefault="000E7A62" w:rsidP="00AD5548">
      <w:pPr>
        <w:numPr>
          <w:ilvl w:val="0"/>
          <w:numId w:val="8"/>
        </w:numPr>
        <w:spacing w:after="0"/>
      </w:pPr>
      <w:r w:rsidRPr="00B32BDA">
        <w:rPr>
          <w:i/>
        </w:rPr>
        <w:t>Industry c</w:t>
      </w:r>
      <w:r w:rsidR="005D4285" w:rsidRPr="00B32BDA">
        <w:rPr>
          <w:i/>
        </w:rPr>
        <w:t>omments regarding the GEMS review</w:t>
      </w:r>
      <w:r w:rsidR="005D4285">
        <w:t xml:space="preserve"> – a collaborative submission of industry associations:  </w:t>
      </w:r>
      <w:r w:rsidR="005D4285" w:rsidRPr="005D4285">
        <w:t>L</w:t>
      </w:r>
      <w:r w:rsidR="005D4285">
        <w:t>ighting Council Australia (LCA),</w:t>
      </w:r>
      <w:r w:rsidR="005D4285" w:rsidRPr="005D4285">
        <w:t xml:space="preserve"> Gas Appliance Manufacturers Association of Australia (G</w:t>
      </w:r>
      <w:r w:rsidR="005D4285">
        <w:t>AMAA),</w:t>
      </w:r>
      <w:r w:rsidR="005D4285" w:rsidRPr="005D4285">
        <w:t xml:space="preserve"> Consumer Electroni</w:t>
      </w:r>
      <w:r w:rsidR="005D4285">
        <w:t>cs Suppliers Association (CESA), Clean Energy Council (CEC),</w:t>
      </w:r>
      <w:r w:rsidR="005D4285" w:rsidRPr="005D4285">
        <w:t xml:space="preserve"> Air conditioning and Refrigeration Equipment Manufacturers A</w:t>
      </w:r>
      <w:r w:rsidR="005D4285">
        <w:t xml:space="preserve">ssociation of Australia </w:t>
      </w:r>
      <w:r w:rsidR="005D4285">
        <w:lastRenderedPageBreak/>
        <w:t>(AREMA),</w:t>
      </w:r>
      <w:r w:rsidR="005D4285" w:rsidRPr="005D4285">
        <w:t xml:space="preserve"> Australian Informat</w:t>
      </w:r>
      <w:r w:rsidR="005D4285">
        <w:t>ion Industry Association (AIIA),</w:t>
      </w:r>
      <w:r w:rsidR="005D4285" w:rsidRPr="005D4285">
        <w:t xml:space="preserve"> and The Australian Industry Group (Ai Group)</w:t>
      </w:r>
      <w:r w:rsidR="005D4285">
        <w:t>.</w:t>
      </w:r>
    </w:p>
    <w:p w14:paraId="2E2E0253" w14:textId="77777777" w:rsidR="009D5984" w:rsidRDefault="000E7A62" w:rsidP="00AD5548">
      <w:pPr>
        <w:numPr>
          <w:ilvl w:val="0"/>
          <w:numId w:val="8"/>
        </w:numPr>
        <w:spacing w:after="0"/>
      </w:pPr>
      <w:r w:rsidRPr="00B32BDA">
        <w:rPr>
          <w:i/>
        </w:rPr>
        <w:t>The future of GEMS - r</w:t>
      </w:r>
      <w:r w:rsidR="005D4285" w:rsidRPr="00B32BDA">
        <w:rPr>
          <w:i/>
        </w:rPr>
        <w:t>ecommendations from the consumer sector</w:t>
      </w:r>
      <w:r w:rsidR="005D4285">
        <w:t xml:space="preserve"> – a collaborative submission of consumer advocacy groups - </w:t>
      </w:r>
      <w:r w:rsidR="005D4285" w:rsidRPr="005D4285">
        <w:t>Alternative Technology Association</w:t>
      </w:r>
      <w:r w:rsidR="005D4285">
        <w:t xml:space="preserve">, Choice, Victorian Council of Social Service (VCOSS), the Public Interest Advocacy Centre Ltd, UnitingCare Australia, Ethnic Communities Council of NSW Inc., South Australian Council of Social Service, Brotherhood of St Laurence, Tasmanian Council of Social Service (TasCOSS), Consumer Utilities Advocacy Centre (CUAC). </w:t>
      </w:r>
    </w:p>
    <w:p w14:paraId="361C0365" w14:textId="77777777" w:rsidR="00913A3D" w:rsidRDefault="00913A3D" w:rsidP="009F4031">
      <w:pPr>
        <w:spacing w:after="0"/>
        <w:ind w:left="45"/>
      </w:pPr>
    </w:p>
    <w:p w14:paraId="6BBAF9FA" w14:textId="77777777" w:rsidR="005F0229" w:rsidRDefault="005F0229" w:rsidP="005F0229">
      <w:pPr>
        <w:spacing w:after="0"/>
      </w:pPr>
      <w:r>
        <w:t xml:space="preserve">The </w:t>
      </w:r>
      <w:r w:rsidR="001754B8">
        <w:t xml:space="preserve">full </w:t>
      </w:r>
      <w:r>
        <w:t xml:space="preserve">methodology </w:t>
      </w:r>
      <w:r w:rsidR="001754B8">
        <w:t xml:space="preserve">is provided in the </w:t>
      </w:r>
      <w:r w:rsidR="007D55B8">
        <w:t>A</w:t>
      </w:r>
      <w:r w:rsidR="001754B8">
        <w:t xml:space="preserve">ppendix.  The </w:t>
      </w:r>
      <w:r w:rsidR="007D55B8">
        <w:t>A</w:t>
      </w:r>
      <w:r w:rsidR="001754B8">
        <w:t xml:space="preserve">ppendix also provides </w:t>
      </w:r>
      <w:r>
        <w:t>lists of evidence reviewed, a summary of the interviews and surveys</w:t>
      </w:r>
      <w:r w:rsidR="00A9327E">
        <w:t>,</w:t>
      </w:r>
      <w:r>
        <w:t xml:space="preserve"> and written </w:t>
      </w:r>
      <w:r w:rsidR="001754B8">
        <w:t xml:space="preserve">submissions.  </w:t>
      </w:r>
    </w:p>
    <w:p w14:paraId="7F14E62D" w14:textId="77777777" w:rsidR="00700ADA" w:rsidRPr="000E7A62" w:rsidRDefault="00700ADA" w:rsidP="009F4031">
      <w:pPr>
        <w:pStyle w:val="Heading2"/>
      </w:pPr>
      <w:bookmarkStart w:id="32" w:name="_Ref405384943"/>
      <w:bookmarkStart w:id="33" w:name="_Toc422298372"/>
      <w:r w:rsidRPr="000E7A62">
        <w:t>Approach considerations</w:t>
      </w:r>
      <w:bookmarkEnd w:id="32"/>
      <w:r w:rsidR="0088272C">
        <w:t xml:space="preserve"> and limitations</w:t>
      </w:r>
      <w:bookmarkEnd w:id="33"/>
    </w:p>
    <w:p w14:paraId="5FCF3E03" w14:textId="77777777" w:rsidR="00BC5AB0" w:rsidRPr="00BC5AB0" w:rsidRDefault="00BC5AB0" w:rsidP="009F4031">
      <w:pPr>
        <w:pStyle w:val="Heading3"/>
      </w:pPr>
      <w:bookmarkStart w:id="34" w:name="_Toc422298373"/>
      <w:r>
        <w:t>Review and assessment of evidence</w:t>
      </w:r>
      <w:bookmarkEnd w:id="34"/>
    </w:p>
    <w:p w14:paraId="2C8AE80F" w14:textId="77777777" w:rsidR="00233AC7" w:rsidRDefault="00184CA7" w:rsidP="00392536">
      <w:r>
        <w:t xml:space="preserve">The findings in the report draw on </w:t>
      </w:r>
      <w:r w:rsidR="00392536">
        <w:t xml:space="preserve">a wide range of </w:t>
      </w:r>
      <w:r>
        <w:t>primary</w:t>
      </w:r>
      <w:r w:rsidR="00913A3D">
        <w:t>,</w:t>
      </w:r>
      <w:r>
        <w:t xml:space="preserve"> secondary, qualitative and quantitative</w:t>
      </w:r>
      <w:r w:rsidR="00EF7242">
        <w:t xml:space="preserve"> evidence</w:t>
      </w:r>
      <w:r w:rsidR="00392536">
        <w:rPr>
          <w:rStyle w:val="FootnoteReference"/>
        </w:rPr>
        <w:footnoteReference w:id="43"/>
      </w:r>
      <w:r w:rsidR="00EF7242">
        <w:t xml:space="preserve">.  </w:t>
      </w:r>
      <w:r w:rsidR="00392536">
        <w:t>T</w:t>
      </w:r>
      <w:r>
        <w:t xml:space="preserve">he evidence varies considerably in </w:t>
      </w:r>
      <w:r w:rsidR="00C60F0D">
        <w:t>both its applicability and/</w:t>
      </w:r>
      <w:r>
        <w:t>or relevance to GEMS and methodological rigour</w:t>
      </w:r>
      <w:r w:rsidR="000E7A62">
        <w:t>.</w:t>
      </w:r>
      <w:r w:rsidR="00C24886">
        <w:t xml:space="preserve"> </w:t>
      </w:r>
      <w:r w:rsidR="000E7A62">
        <w:t xml:space="preserve"> This</w:t>
      </w:r>
      <w:r>
        <w:t xml:space="preserve"> means that the findings should be interpreted in accordance with the strength of the evidence base</w:t>
      </w:r>
      <w:r w:rsidR="00233AC7">
        <w:t>, which is discussed within each section</w:t>
      </w:r>
      <w:r>
        <w:t xml:space="preserve">.  </w:t>
      </w:r>
    </w:p>
    <w:p w14:paraId="67F561A9" w14:textId="77777777" w:rsidR="0033741E" w:rsidRDefault="00D134B0" w:rsidP="009F4031">
      <w:pPr>
        <w:pStyle w:val="Heading3"/>
      </w:pPr>
      <w:bookmarkStart w:id="35" w:name="_Toc422298374"/>
      <w:r>
        <w:t>Stakeholder interviews</w:t>
      </w:r>
      <w:bookmarkEnd w:id="35"/>
    </w:p>
    <w:p w14:paraId="4BB084E8" w14:textId="77777777" w:rsidR="00647E42" w:rsidRDefault="00647E42" w:rsidP="009F4031">
      <w:r w:rsidRPr="00647E42">
        <w:rPr>
          <w:b/>
        </w:rPr>
        <w:t>Interview approach</w:t>
      </w:r>
      <w:r>
        <w:t xml:space="preserve">:  </w:t>
      </w:r>
      <w:r w:rsidRPr="00647E42">
        <w:t>The qualitative approach taken for this project allows exploration of the wide</w:t>
      </w:r>
      <w:r w:rsidR="00A9327E">
        <w:t xml:space="preserve"> </w:t>
      </w:r>
      <w:r w:rsidRPr="00647E42">
        <w:t>range of experiences and provides depth of insight into potential opportunities for improvement. Balancing th</w:t>
      </w:r>
      <w:r w:rsidR="000E7A62">
        <w:t>is flexibility, a topic guide was</w:t>
      </w:r>
      <w:r w:rsidRPr="00647E42">
        <w:t xml:space="preserve"> used in the interviews to structure the conversation, enabling comparison across interviews.</w:t>
      </w:r>
    </w:p>
    <w:p w14:paraId="4DE7A36E" w14:textId="77777777" w:rsidR="00935202" w:rsidRDefault="00647E42" w:rsidP="009F4031">
      <w:pPr>
        <w:pStyle w:val="ColorfulList-Accent12"/>
        <w:ind w:left="0"/>
      </w:pPr>
      <w:r w:rsidRPr="00CD2AA9">
        <w:rPr>
          <w:b/>
        </w:rPr>
        <w:t>Stakeholder awareness and understanding</w:t>
      </w:r>
      <w:r w:rsidRPr="00324FA8">
        <w:t xml:space="preserve">:  </w:t>
      </w:r>
      <w:r w:rsidR="00392536">
        <w:t>A</w:t>
      </w:r>
      <w:r w:rsidRPr="00324FA8">
        <w:t xml:space="preserve">wareness and understanding of the </w:t>
      </w:r>
      <w:r w:rsidRPr="000E2980">
        <w:t>program</w:t>
      </w:r>
      <w:r w:rsidRPr="0027038C">
        <w:t xml:space="preserve"> varied significantly across respondents </w:t>
      </w:r>
      <w:r>
        <w:t xml:space="preserve">and </w:t>
      </w:r>
      <w:r w:rsidRPr="000B6AE5">
        <w:t>between</w:t>
      </w:r>
      <w:r w:rsidRPr="00D9081D">
        <w:t xml:space="preserve"> </w:t>
      </w:r>
      <w:r w:rsidR="00392536">
        <w:t xml:space="preserve">stakeholder </w:t>
      </w:r>
      <w:r w:rsidRPr="00FA60E4">
        <w:t xml:space="preserve">groups.  This limited the depth of discussion possible with respondents who have less awareness and understanding.  As groups who have more understanding are able to comment on a broader range of issues, and in greater depth, </w:t>
      </w:r>
      <w:r w:rsidRPr="00A3282C">
        <w:t>this introduces a risk of bias in the reporting</w:t>
      </w:r>
      <w:r w:rsidRPr="00837B6C">
        <w:t xml:space="preserve">. </w:t>
      </w:r>
      <w:r w:rsidR="00C24886">
        <w:t xml:space="preserve"> </w:t>
      </w:r>
      <w:r w:rsidRPr="00CD2AA9">
        <w:t>This has been</w:t>
      </w:r>
      <w:r w:rsidRPr="00324FA8">
        <w:t xml:space="preserve"> mitigated by highlighting,</w:t>
      </w:r>
      <w:r w:rsidRPr="000E2980">
        <w:t xml:space="preserve"> where possible, where some groups were </w:t>
      </w:r>
      <w:r>
        <w:t>less</w:t>
      </w:r>
      <w:r w:rsidRPr="000E2980">
        <w:t xml:space="preserve"> able to comment.</w:t>
      </w:r>
    </w:p>
    <w:p w14:paraId="4A75830F" w14:textId="77777777" w:rsidR="00392536" w:rsidRDefault="00392536" w:rsidP="009F4031">
      <w:pPr>
        <w:pStyle w:val="ColorfulList-Accent12"/>
        <w:ind w:left="0"/>
      </w:pPr>
    </w:p>
    <w:p w14:paraId="1931B6F6" w14:textId="77777777" w:rsidR="00AD3714" w:rsidRPr="00AB4396" w:rsidRDefault="00700ADA" w:rsidP="00565E13">
      <w:pPr>
        <w:pStyle w:val="Heading1"/>
      </w:pPr>
      <w:r>
        <w:br w:type="page"/>
      </w:r>
      <w:bookmarkStart w:id="36" w:name="_Toc422298375"/>
      <w:r w:rsidR="001754B8">
        <w:rPr>
          <w:lang w:val="en-GB"/>
        </w:rPr>
        <w:lastRenderedPageBreak/>
        <w:t xml:space="preserve">Findings:  </w:t>
      </w:r>
      <w:r w:rsidR="0088272C">
        <w:t>The case for policy intervention</w:t>
      </w:r>
      <w:r w:rsidR="006765D4">
        <w:rPr>
          <w:lang w:val="en-GB"/>
        </w:rPr>
        <w:t xml:space="preserve">, types of intervention, scheme design and </w:t>
      </w:r>
      <w:r w:rsidR="001754B8">
        <w:rPr>
          <w:lang w:val="en-GB"/>
        </w:rPr>
        <w:t>administration</w:t>
      </w:r>
      <w:bookmarkEnd w:id="36"/>
    </w:p>
    <w:p w14:paraId="2344AD0C" w14:textId="77777777" w:rsidR="0088272C" w:rsidRDefault="003F40B9" w:rsidP="009F4031">
      <w:pPr>
        <w:spacing w:after="0"/>
        <w:rPr>
          <w:lang w:eastAsia="x-none"/>
        </w:rPr>
      </w:pPr>
      <w:r>
        <w:rPr>
          <w:lang w:eastAsia="x-none"/>
        </w:rPr>
        <w:t>This section considers</w:t>
      </w:r>
    </w:p>
    <w:p w14:paraId="1CAF693F" w14:textId="77777777" w:rsidR="0088272C" w:rsidRDefault="0088272C" w:rsidP="00320FDC">
      <w:pPr>
        <w:numPr>
          <w:ilvl w:val="1"/>
          <w:numId w:val="26"/>
        </w:numPr>
        <w:spacing w:after="0"/>
        <w:ind w:left="426"/>
        <w:rPr>
          <w:lang w:eastAsia="x-none"/>
        </w:rPr>
      </w:pPr>
      <w:r>
        <w:rPr>
          <w:lang w:eastAsia="x-none"/>
        </w:rPr>
        <w:t>The case for policy intervention</w:t>
      </w:r>
      <w:r w:rsidR="003F40B9">
        <w:rPr>
          <w:lang w:eastAsia="x-none"/>
        </w:rPr>
        <w:t xml:space="preserve"> to improve product energy efficiency</w:t>
      </w:r>
      <w:r w:rsidR="00572171">
        <w:rPr>
          <w:lang w:eastAsia="x-none"/>
        </w:rPr>
        <w:t>.  This includes a review of product energy efficiency market failures, policy interventions implemented to tackle them and evidence of their benefits</w:t>
      </w:r>
      <w:r w:rsidR="00A9327E">
        <w:rPr>
          <w:lang w:eastAsia="x-none"/>
        </w:rPr>
        <w:t>;</w:t>
      </w:r>
      <w:r w:rsidR="00572171">
        <w:rPr>
          <w:lang w:eastAsia="x-none"/>
        </w:rPr>
        <w:t xml:space="preserve">  </w:t>
      </w:r>
    </w:p>
    <w:p w14:paraId="10655F18" w14:textId="77777777" w:rsidR="003F40B9" w:rsidRDefault="003F40B9" w:rsidP="00320FDC">
      <w:pPr>
        <w:numPr>
          <w:ilvl w:val="1"/>
          <w:numId w:val="26"/>
        </w:numPr>
        <w:spacing w:after="0"/>
        <w:ind w:left="426"/>
        <w:rPr>
          <w:lang w:eastAsia="x-none"/>
        </w:rPr>
      </w:pPr>
      <w:r>
        <w:rPr>
          <w:lang w:eastAsia="x-none"/>
        </w:rPr>
        <w:t>Types of policy intervention which are most effective in achieving product energy efficiency</w:t>
      </w:r>
      <w:r w:rsidR="00572171">
        <w:rPr>
          <w:lang w:eastAsia="x-none"/>
        </w:rPr>
        <w:t xml:space="preserve">.  This focuses on </w:t>
      </w:r>
      <w:r w:rsidR="00953CD7">
        <w:rPr>
          <w:lang w:eastAsia="x-none"/>
        </w:rPr>
        <w:t>standards and labelling</w:t>
      </w:r>
      <w:r w:rsidR="00572171">
        <w:rPr>
          <w:lang w:eastAsia="x-none"/>
        </w:rPr>
        <w:t xml:space="preserve"> schemes, experience and learnings from their implementation on a mandatory or voluntary basis</w:t>
      </w:r>
      <w:r w:rsidR="00A9327E">
        <w:rPr>
          <w:lang w:eastAsia="x-none"/>
        </w:rPr>
        <w:t>; and</w:t>
      </w:r>
    </w:p>
    <w:p w14:paraId="1BFDE0F4" w14:textId="77777777" w:rsidR="003F40B9" w:rsidRDefault="003F40B9" w:rsidP="00320FDC">
      <w:pPr>
        <w:numPr>
          <w:ilvl w:val="1"/>
          <w:numId w:val="26"/>
        </w:numPr>
        <w:spacing w:after="0"/>
        <w:ind w:left="426"/>
        <w:rPr>
          <w:lang w:eastAsia="x-none"/>
        </w:rPr>
      </w:pPr>
      <w:r>
        <w:rPr>
          <w:lang w:eastAsia="x-none"/>
        </w:rPr>
        <w:t xml:space="preserve">Who is best placed to </w:t>
      </w:r>
      <w:r w:rsidR="00572171">
        <w:rPr>
          <w:lang w:eastAsia="x-none"/>
        </w:rPr>
        <w:t>lead the design and administration of S</w:t>
      </w:r>
      <w:r w:rsidR="00A9327E">
        <w:rPr>
          <w:lang w:eastAsia="x-none"/>
        </w:rPr>
        <w:t xml:space="preserve">tandards </w:t>
      </w:r>
      <w:r w:rsidR="00572171">
        <w:rPr>
          <w:lang w:eastAsia="x-none"/>
        </w:rPr>
        <w:t>&amp;</w:t>
      </w:r>
      <w:r w:rsidR="00A9327E">
        <w:rPr>
          <w:lang w:eastAsia="x-none"/>
        </w:rPr>
        <w:t xml:space="preserve"> </w:t>
      </w:r>
      <w:r w:rsidR="00572171">
        <w:rPr>
          <w:lang w:eastAsia="x-none"/>
        </w:rPr>
        <w:t>L</w:t>
      </w:r>
      <w:r w:rsidR="00A9327E">
        <w:rPr>
          <w:lang w:eastAsia="x-none"/>
        </w:rPr>
        <w:t>abelling</w:t>
      </w:r>
      <w:r>
        <w:rPr>
          <w:lang w:eastAsia="x-none"/>
        </w:rPr>
        <w:t xml:space="preserve"> policy intervention</w:t>
      </w:r>
      <w:r w:rsidR="0040694E">
        <w:rPr>
          <w:lang w:eastAsia="x-none"/>
        </w:rPr>
        <w:t>.</w:t>
      </w:r>
      <w:r w:rsidR="00572171">
        <w:rPr>
          <w:lang w:eastAsia="x-none"/>
        </w:rPr>
        <w:t xml:space="preserve">  This focuses on administration by </w:t>
      </w:r>
      <w:r w:rsidR="00AE6DEF">
        <w:rPr>
          <w:lang w:eastAsia="x-none"/>
        </w:rPr>
        <w:t>g</w:t>
      </w:r>
      <w:r w:rsidR="00572171">
        <w:rPr>
          <w:lang w:eastAsia="x-none"/>
        </w:rPr>
        <w:t>overnment vs. possible alternatives</w:t>
      </w:r>
      <w:r w:rsidR="00953CD7">
        <w:rPr>
          <w:lang w:eastAsia="x-none"/>
        </w:rPr>
        <w:t>.</w:t>
      </w:r>
    </w:p>
    <w:p w14:paraId="75ABC42F" w14:textId="77777777" w:rsidR="00785249" w:rsidRDefault="00995E78" w:rsidP="009F4031">
      <w:pPr>
        <w:pStyle w:val="Heading2"/>
      </w:pPr>
      <w:bookmarkStart w:id="37" w:name="_Toc412881276"/>
      <w:bookmarkStart w:id="38" w:name="_Ref409071575"/>
      <w:bookmarkStart w:id="39" w:name="_Toc422298376"/>
      <w:bookmarkEnd w:id="37"/>
      <w:r>
        <w:t>The case for policy intervention</w:t>
      </w:r>
      <w:bookmarkEnd w:id="38"/>
      <w:bookmarkEnd w:id="39"/>
    </w:p>
    <w:p w14:paraId="59922D38" w14:textId="77777777" w:rsidR="000C460E" w:rsidRDefault="00207157" w:rsidP="009F4031">
      <w:pPr>
        <w:spacing w:after="0"/>
        <w:rPr>
          <w:lang w:eastAsia="x-none"/>
        </w:rPr>
      </w:pPr>
      <w:r>
        <w:rPr>
          <w:lang w:eastAsia="x-none"/>
        </w:rPr>
        <w:t>To review the case for policy intervention</w:t>
      </w:r>
      <w:r w:rsidR="004D6130">
        <w:rPr>
          <w:lang w:eastAsia="x-none"/>
        </w:rPr>
        <w:t xml:space="preserve">, </w:t>
      </w:r>
      <w:r w:rsidR="00953CD7">
        <w:rPr>
          <w:lang w:eastAsia="x-none"/>
        </w:rPr>
        <w:t>evidence was considered to inform:</w:t>
      </w:r>
    </w:p>
    <w:p w14:paraId="57DD97C8" w14:textId="77777777" w:rsidR="00207157" w:rsidRDefault="004D6130" w:rsidP="00320FDC">
      <w:pPr>
        <w:numPr>
          <w:ilvl w:val="0"/>
          <w:numId w:val="19"/>
        </w:numPr>
        <w:spacing w:after="0"/>
        <w:ind w:left="426"/>
        <w:rPr>
          <w:lang w:eastAsia="x-none"/>
        </w:rPr>
      </w:pPr>
      <w:r>
        <w:rPr>
          <w:lang w:eastAsia="x-none"/>
        </w:rPr>
        <w:t>M</w:t>
      </w:r>
      <w:r w:rsidR="000C460E">
        <w:rPr>
          <w:lang w:eastAsia="x-none"/>
        </w:rPr>
        <w:t xml:space="preserve">arket failures </w:t>
      </w:r>
      <w:r w:rsidR="0090408F">
        <w:rPr>
          <w:lang w:eastAsia="x-none"/>
        </w:rPr>
        <w:t xml:space="preserve">and barriers </w:t>
      </w:r>
      <w:r w:rsidR="000C460E">
        <w:rPr>
          <w:lang w:eastAsia="x-none"/>
        </w:rPr>
        <w:t>which lead to supply of energy inefficient products</w:t>
      </w:r>
      <w:r w:rsidR="00AE6DEF">
        <w:rPr>
          <w:lang w:eastAsia="x-none"/>
        </w:rPr>
        <w:t>; and</w:t>
      </w:r>
      <w:r w:rsidR="000C460E">
        <w:rPr>
          <w:lang w:eastAsia="x-none"/>
        </w:rPr>
        <w:t xml:space="preserve"> </w:t>
      </w:r>
    </w:p>
    <w:p w14:paraId="6B14B6B6" w14:textId="77777777" w:rsidR="000C460E" w:rsidRDefault="004D6130" w:rsidP="00320FDC">
      <w:pPr>
        <w:numPr>
          <w:ilvl w:val="0"/>
          <w:numId w:val="19"/>
        </w:numPr>
        <w:spacing w:after="0"/>
        <w:ind w:left="426"/>
        <w:rPr>
          <w:lang w:eastAsia="x-none"/>
        </w:rPr>
      </w:pPr>
      <w:r>
        <w:rPr>
          <w:lang w:eastAsia="x-none"/>
        </w:rPr>
        <w:t>P</w:t>
      </w:r>
      <w:r w:rsidR="000C460E">
        <w:rPr>
          <w:lang w:eastAsia="x-none"/>
        </w:rPr>
        <w:t>olicy interventions implemented to tackle market failures</w:t>
      </w:r>
      <w:r w:rsidR="00AE6DEF">
        <w:rPr>
          <w:lang w:eastAsia="x-none"/>
        </w:rPr>
        <w:t>,</w:t>
      </w:r>
      <w:r w:rsidR="000C460E">
        <w:rPr>
          <w:lang w:eastAsia="x-none"/>
        </w:rPr>
        <w:t xml:space="preserve"> and their </w:t>
      </w:r>
      <w:r w:rsidR="00572171">
        <w:rPr>
          <w:lang w:eastAsia="x-none"/>
        </w:rPr>
        <w:t>b</w:t>
      </w:r>
      <w:r w:rsidR="000C460E">
        <w:rPr>
          <w:lang w:eastAsia="x-none"/>
        </w:rPr>
        <w:t>enefits</w:t>
      </w:r>
      <w:r>
        <w:rPr>
          <w:lang w:eastAsia="x-none"/>
        </w:rPr>
        <w:t>.</w:t>
      </w:r>
    </w:p>
    <w:p w14:paraId="14B242E8" w14:textId="77777777" w:rsidR="00207157" w:rsidRPr="000C460E" w:rsidRDefault="00207157" w:rsidP="009F4031">
      <w:pPr>
        <w:pStyle w:val="Heading3"/>
      </w:pPr>
      <w:bookmarkStart w:id="40" w:name="_Toc422298377"/>
      <w:r w:rsidRPr="000C460E">
        <w:t>Product energy efficiency market failures</w:t>
      </w:r>
      <w:r w:rsidR="0090408F">
        <w:t xml:space="preserve"> and barriers</w:t>
      </w:r>
      <w:bookmarkEnd w:id="40"/>
    </w:p>
    <w:p w14:paraId="15BD6938" w14:textId="77777777" w:rsidR="000165D6" w:rsidRPr="008870BD" w:rsidRDefault="000165D6" w:rsidP="000165D6">
      <w:pPr>
        <w:spacing w:after="0"/>
        <w:rPr>
          <w:lang w:val="en-AU"/>
        </w:rPr>
      </w:pPr>
      <w:r w:rsidRPr="008870BD">
        <w:rPr>
          <w:lang w:val="en-AU"/>
        </w:rPr>
        <w:t xml:space="preserve">There is a </w:t>
      </w:r>
      <w:r w:rsidR="00953CD7">
        <w:rPr>
          <w:lang w:val="en-AU"/>
        </w:rPr>
        <w:t>significant</w:t>
      </w:r>
      <w:r w:rsidR="00953CD7" w:rsidRPr="008870BD">
        <w:rPr>
          <w:lang w:val="en-AU"/>
        </w:rPr>
        <w:t xml:space="preserve"> </w:t>
      </w:r>
      <w:r w:rsidRPr="008870BD">
        <w:rPr>
          <w:lang w:val="en-AU"/>
        </w:rPr>
        <w:t xml:space="preserve">body of evidence </w:t>
      </w:r>
      <w:r w:rsidR="00953CD7">
        <w:rPr>
          <w:lang w:val="en-AU"/>
        </w:rPr>
        <w:t xml:space="preserve">describing </w:t>
      </w:r>
      <w:r w:rsidRPr="008870BD">
        <w:rPr>
          <w:lang w:val="en-AU"/>
        </w:rPr>
        <w:t>market failures which result in energy inefficient products</w:t>
      </w:r>
      <w:r w:rsidR="00953CD7">
        <w:rPr>
          <w:lang w:val="en-AU"/>
        </w:rPr>
        <w:t xml:space="preserve">.  </w:t>
      </w:r>
      <w:r w:rsidRPr="008870BD">
        <w:rPr>
          <w:lang w:val="en-AU"/>
        </w:rPr>
        <w:t>For example, the International Energy Agency (IEA)</w:t>
      </w:r>
      <w:r w:rsidRPr="008870BD">
        <w:rPr>
          <w:rStyle w:val="FootnoteReference"/>
          <w:lang w:val="en-AU"/>
        </w:rPr>
        <w:footnoteReference w:id="44"/>
      </w:r>
      <w:r w:rsidRPr="008870BD">
        <w:rPr>
          <w:lang w:val="en-AU"/>
        </w:rPr>
        <w:t xml:space="preserve"> ‘Mind the Gap’ study </w:t>
      </w:r>
      <w:r w:rsidR="00953CD7">
        <w:rPr>
          <w:lang w:val="en-AU"/>
        </w:rPr>
        <w:t>describes</w:t>
      </w:r>
      <w:r w:rsidRPr="008870BD">
        <w:rPr>
          <w:lang w:val="en-AU"/>
        </w:rPr>
        <w:t xml:space="preserve"> the</w:t>
      </w:r>
      <w:r w:rsidR="00953CD7">
        <w:rPr>
          <w:lang w:val="en-AU"/>
        </w:rPr>
        <w:t xml:space="preserve"> main</w:t>
      </w:r>
      <w:r w:rsidRPr="008870BD">
        <w:rPr>
          <w:lang w:val="en-AU"/>
        </w:rPr>
        <w:t xml:space="preserve"> types of market barriers and failures globally and estimates the scale of the ‘principle agent’ barrier (split incentives) for case study countries (over 3800 PJ/annum of energy use).  </w:t>
      </w:r>
      <w:r>
        <w:rPr>
          <w:lang w:val="en-AU"/>
        </w:rPr>
        <w:t>Drawing on this and other evidence, t</w:t>
      </w:r>
      <w:r w:rsidRPr="008870BD">
        <w:rPr>
          <w:lang w:val="en-AU"/>
        </w:rPr>
        <w:t xml:space="preserve">he principle market failures and barriers relevant to </w:t>
      </w:r>
      <w:r>
        <w:rPr>
          <w:lang w:val="en-AU"/>
        </w:rPr>
        <w:t>product energy efficiency in Australia and New</w:t>
      </w:r>
      <w:r w:rsidR="00FD6A04">
        <w:rPr>
          <w:lang w:val="en-AU"/>
        </w:rPr>
        <w:t> </w:t>
      </w:r>
      <w:r>
        <w:rPr>
          <w:lang w:val="en-AU"/>
        </w:rPr>
        <w:t>Zealand</w:t>
      </w:r>
      <w:r w:rsidRPr="008870BD">
        <w:rPr>
          <w:lang w:val="en-AU"/>
        </w:rPr>
        <w:t xml:space="preserve"> are:</w:t>
      </w:r>
    </w:p>
    <w:p w14:paraId="1E7A3FE5" w14:textId="77777777" w:rsidR="000165D6" w:rsidRPr="008870BD" w:rsidRDefault="000165D6" w:rsidP="00AD5548">
      <w:pPr>
        <w:numPr>
          <w:ilvl w:val="1"/>
          <w:numId w:val="7"/>
        </w:numPr>
        <w:spacing w:after="0"/>
        <w:ind w:left="709"/>
      </w:pPr>
      <w:r w:rsidRPr="008870BD">
        <w:rPr>
          <w:u w:val="single"/>
        </w:rPr>
        <w:t>Imperfect information</w:t>
      </w:r>
      <w:r w:rsidRPr="008870BD">
        <w:t xml:space="preserve"> – consumers and businesses often do not have access to sufficient or accurate information about their energy efficiency options or the implications of model choice for on-going energy use and costs when purchasing products</w:t>
      </w:r>
      <w:r w:rsidR="00FD6A04">
        <w:t>.</w:t>
      </w:r>
    </w:p>
    <w:p w14:paraId="52F1F0A8" w14:textId="77777777" w:rsidR="000165D6" w:rsidRPr="008870BD" w:rsidRDefault="000165D6" w:rsidP="00AD5548">
      <w:pPr>
        <w:numPr>
          <w:ilvl w:val="1"/>
          <w:numId w:val="7"/>
        </w:numPr>
        <w:spacing w:after="0"/>
        <w:ind w:left="709"/>
      </w:pPr>
      <w:r w:rsidRPr="008870BD">
        <w:rPr>
          <w:u w:val="single"/>
        </w:rPr>
        <w:t>Split incentives</w:t>
      </w:r>
      <w:r w:rsidRPr="008870BD">
        <w:t xml:space="preserve"> – those purchasing energy using products can be different from those benefiting from their use, and the incentives facing the purchase</w:t>
      </w:r>
      <w:r>
        <w:t>r</w:t>
      </w:r>
      <w:r w:rsidRPr="008870BD">
        <w:t xml:space="preserve"> differ from the user (for example the tenant-landlord problem</w:t>
      </w:r>
      <w:r w:rsidRPr="008870BD">
        <w:rPr>
          <w:rStyle w:val="FootnoteReference"/>
        </w:rPr>
        <w:footnoteReference w:id="45"/>
      </w:r>
      <w:r>
        <w:t>.  This is also the case</w:t>
      </w:r>
      <w:r w:rsidRPr="008870BD">
        <w:t xml:space="preserve"> where third parties dominate the specification of new products – such as plumbers)</w:t>
      </w:r>
      <w:r w:rsidR="00FD6A04">
        <w:t>.</w:t>
      </w:r>
    </w:p>
    <w:p w14:paraId="26AA4D47" w14:textId="77777777" w:rsidR="000165D6" w:rsidRPr="00E65CC8" w:rsidRDefault="000165D6" w:rsidP="00AD5548">
      <w:pPr>
        <w:numPr>
          <w:ilvl w:val="1"/>
          <w:numId w:val="7"/>
        </w:numPr>
        <w:spacing w:after="0"/>
        <w:ind w:left="709"/>
      </w:pPr>
      <w:r w:rsidRPr="00D50FBA">
        <w:rPr>
          <w:u w:val="single"/>
        </w:rPr>
        <w:t>Access to capital</w:t>
      </w:r>
      <w:r w:rsidRPr="00E65CC8">
        <w:t xml:space="preserve"> – consumers and businesses are often reluctant or unable to invest in energy efficiency</w:t>
      </w:r>
      <w:r>
        <w:t xml:space="preserve"> due to up-front costs and/or real and/or perceived additional costs associated with energy efficiency</w:t>
      </w:r>
      <w:r w:rsidR="00FD6A04">
        <w:t>.</w:t>
      </w:r>
    </w:p>
    <w:p w14:paraId="6E635403" w14:textId="77777777" w:rsidR="000165D6" w:rsidRPr="00CC6065" w:rsidRDefault="000165D6" w:rsidP="00AD5548">
      <w:pPr>
        <w:numPr>
          <w:ilvl w:val="1"/>
          <w:numId w:val="7"/>
        </w:numPr>
        <w:spacing w:after="0"/>
        <w:ind w:left="709"/>
      </w:pPr>
      <w:r w:rsidRPr="00D50FBA">
        <w:rPr>
          <w:u w:val="single"/>
        </w:rPr>
        <w:t>Externalities</w:t>
      </w:r>
      <w:r w:rsidRPr="00E65CC8">
        <w:t xml:space="preserve"> – market participants are unable to fully capture the benefits from undertaking </w:t>
      </w:r>
      <w:r w:rsidRPr="00CC6065">
        <w:t xml:space="preserve">an energy efficiency investment or activity </w:t>
      </w:r>
      <w:r>
        <w:t xml:space="preserve">because of external factors </w:t>
      </w:r>
      <w:r w:rsidRPr="00CC6065">
        <w:t>(e.g. environmental benefits, reduced energy network investment).</w:t>
      </w:r>
    </w:p>
    <w:p w14:paraId="739AF245" w14:textId="77777777" w:rsidR="000165D6" w:rsidRPr="00CC6065" w:rsidRDefault="000165D6" w:rsidP="00AD5548">
      <w:pPr>
        <w:numPr>
          <w:ilvl w:val="1"/>
          <w:numId w:val="7"/>
        </w:numPr>
        <w:spacing w:after="0"/>
        <w:ind w:left="709"/>
      </w:pPr>
      <w:r w:rsidRPr="00CC6065">
        <w:rPr>
          <w:u w:val="single"/>
        </w:rPr>
        <w:lastRenderedPageBreak/>
        <w:t>Bounded rationality</w:t>
      </w:r>
      <w:r w:rsidRPr="00CC6065">
        <w:t xml:space="preserve"> – rationality of decision making by individuals is limited by the information they have, the cognitive limitations of their minds and the finite time they have to make a decision.  Energy efficiency is often a secondary feature of many appliances and equipment and so</w:t>
      </w:r>
      <w:r>
        <w:t>, given these limitations,</w:t>
      </w:r>
      <w:r w:rsidRPr="00CC6065">
        <w:t xml:space="preserve"> choice is often dominated by other factors.</w:t>
      </w:r>
    </w:p>
    <w:p w14:paraId="1A4D3296" w14:textId="77777777" w:rsidR="000165D6" w:rsidRDefault="000165D6" w:rsidP="009F4031">
      <w:pPr>
        <w:spacing w:after="0"/>
      </w:pPr>
    </w:p>
    <w:p w14:paraId="1E9A5F2A" w14:textId="77777777" w:rsidR="000165D6" w:rsidRPr="00CC6065" w:rsidRDefault="000165D6" w:rsidP="000165D6">
      <w:pPr>
        <w:spacing w:after="0"/>
      </w:pPr>
      <w:r w:rsidRPr="00CC6065">
        <w:t>In addition, there are</w:t>
      </w:r>
      <w:r>
        <w:t xml:space="preserve"> </w:t>
      </w:r>
      <w:r w:rsidRPr="00CC6065">
        <w:t>barriers that are found in particular markets for specific product categories, for example:</w:t>
      </w:r>
    </w:p>
    <w:p w14:paraId="23418A5A" w14:textId="77777777" w:rsidR="000165D6" w:rsidRPr="00CC6065" w:rsidRDefault="000165D6" w:rsidP="00320FDC">
      <w:pPr>
        <w:numPr>
          <w:ilvl w:val="0"/>
          <w:numId w:val="55"/>
        </w:numPr>
        <w:spacing w:after="0"/>
        <w:ind w:left="709"/>
      </w:pPr>
      <w:r w:rsidRPr="00CC6065">
        <w:t xml:space="preserve">Extended supply chains that distort market signals </w:t>
      </w:r>
      <w:r>
        <w:t xml:space="preserve">(e.g. builders, developers, plumbers and installers </w:t>
      </w:r>
      <w:r w:rsidR="00D471F4">
        <w:t>-</w:t>
      </w:r>
      <w:r>
        <w:t>specifying products on behalf of customers)</w:t>
      </w:r>
      <w:r w:rsidR="00AE6DEF">
        <w:t>; and</w:t>
      </w:r>
      <w:r>
        <w:t xml:space="preserve"> </w:t>
      </w:r>
    </w:p>
    <w:p w14:paraId="24656C19" w14:textId="77777777" w:rsidR="000165D6" w:rsidRPr="00CC6065" w:rsidRDefault="00AE6DEF" w:rsidP="00320FDC">
      <w:pPr>
        <w:numPr>
          <w:ilvl w:val="0"/>
          <w:numId w:val="55"/>
        </w:numPr>
        <w:spacing w:after="0"/>
        <w:ind w:left="709"/>
      </w:pPr>
      <w:r>
        <w:t>Where t</w:t>
      </w:r>
      <w:r w:rsidR="000165D6" w:rsidRPr="00CC6065">
        <w:t xml:space="preserve">he energy saving potential represents a small </w:t>
      </w:r>
      <w:r w:rsidR="005609F9">
        <w:t xml:space="preserve">amount for </w:t>
      </w:r>
      <w:r w:rsidR="000165D6" w:rsidRPr="00CC6065">
        <w:t xml:space="preserve">individual </w:t>
      </w:r>
      <w:r w:rsidR="005609F9">
        <w:t>items</w:t>
      </w:r>
      <w:r w:rsidR="005609F9" w:rsidRPr="00CC6065">
        <w:t xml:space="preserve"> </w:t>
      </w:r>
      <w:r w:rsidR="000165D6" w:rsidRPr="00CC6065">
        <w:t>but because of the volume</w:t>
      </w:r>
      <w:r w:rsidR="005609F9">
        <w:t xml:space="preserve"> of stock nationally</w:t>
      </w:r>
      <w:r w:rsidR="000165D6" w:rsidRPr="00CC6065">
        <w:t xml:space="preserve">, the </w:t>
      </w:r>
      <w:r w:rsidR="005609F9">
        <w:t>total potential savings are</w:t>
      </w:r>
      <w:r w:rsidR="005609F9" w:rsidRPr="00CC6065">
        <w:t xml:space="preserve"> </w:t>
      </w:r>
      <w:r w:rsidR="000165D6" w:rsidRPr="00CC6065">
        <w:t>significant</w:t>
      </w:r>
      <w:r w:rsidR="000165D6" w:rsidRPr="00CC6065">
        <w:rPr>
          <w:rStyle w:val="FootnoteReference"/>
        </w:rPr>
        <w:footnoteReference w:id="46"/>
      </w:r>
      <w:r w:rsidR="000165D6">
        <w:t xml:space="preserve"> (e.g. computers and monitors</w:t>
      </w:r>
      <w:r w:rsidR="00D0217B">
        <w:t>, standby power</w:t>
      </w:r>
      <w:r w:rsidR="000165D6">
        <w:t>)</w:t>
      </w:r>
      <w:r w:rsidR="000165D6" w:rsidRPr="00CC6065">
        <w:t>.</w:t>
      </w:r>
    </w:p>
    <w:p w14:paraId="61F0C6E8" w14:textId="77777777" w:rsidR="004D6130" w:rsidRDefault="004D6130" w:rsidP="009F4031">
      <w:pPr>
        <w:spacing w:after="0"/>
        <w:rPr>
          <w:lang w:val="en-AU"/>
        </w:rPr>
      </w:pPr>
    </w:p>
    <w:p w14:paraId="6D0BAB96" w14:textId="77777777" w:rsidR="000165D6" w:rsidRDefault="000165D6" w:rsidP="000165D6">
      <w:pPr>
        <w:spacing w:after="0"/>
        <w:rPr>
          <w:lang w:val="en-AU"/>
        </w:rPr>
      </w:pPr>
      <w:bookmarkStart w:id="41" w:name="_Ref409190488"/>
      <w:r w:rsidRPr="00F87E0B">
        <w:rPr>
          <w:lang w:val="en-AU"/>
        </w:rPr>
        <w:t>Evidence sources specifically related to GEMS which describe and assess market failures include product profiles and RISs</w:t>
      </w:r>
      <w:r>
        <w:rPr>
          <w:lang w:val="en-AU"/>
        </w:rPr>
        <w:t xml:space="preserve"> developed in the setting of GEMS determinations</w:t>
      </w:r>
      <w:r w:rsidRPr="00F87E0B">
        <w:rPr>
          <w:lang w:val="en-AU"/>
        </w:rPr>
        <w:t xml:space="preserve">.  These explore the nature of market failures for specific product groups that policy interventions are designed </w:t>
      </w:r>
      <w:r w:rsidR="00C36165">
        <w:rPr>
          <w:lang w:val="en-AU"/>
        </w:rPr>
        <w:t>to tackle</w:t>
      </w:r>
      <w:r w:rsidRPr="00F87E0B">
        <w:rPr>
          <w:lang w:val="en-AU"/>
        </w:rPr>
        <w:t>.</w:t>
      </w:r>
      <w:r>
        <w:rPr>
          <w:lang w:val="en-AU"/>
        </w:rPr>
        <w:t xml:space="preserve">  </w:t>
      </w:r>
    </w:p>
    <w:p w14:paraId="73C29C9D" w14:textId="77777777" w:rsidR="00207157" w:rsidRPr="00F87E0B" w:rsidRDefault="004D7C84" w:rsidP="009F4031">
      <w:pPr>
        <w:pStyle w:val="Heading3"/>
      </w:pPr>
      <w:bookmarkStart w:id="42" w:name="_Toc422298378"/>
      <w:r w:rsidRPr="00F87E0B">
        <w:t>Policy interventions and e</w:t>
      </w:r>
      <w:r w:rsidR="00207157" w:rsidRPr="00F87E0B">
        <w:t xml:space="preserve">vidence of </w:t>
      </w:r>
      <w:r w:rsidRPr="00F87E0B">
        <w:t xml:space="preserve">their </w:t>
      </w:r>
      <w:r w:rsidR="00207157" w:rsidRPr="00F87E0B">
        <w:t>benefits</w:t>
      </w:r>
      <w:bookmarkEnd w:id="41"/>
      <w:bookmarkEnd w:id="42"/>
    </w:p>
    <w:p w14:paraId="0BFF2E72" w14:textId="77777777" w:rsidR="004D7C84" w:rsidRPr="00F87E0B" w:rsidRDefault="004D7C84" w:rsidP="009F4031">
      <w:r w:rsidRPr="00F87E0B">
        <w:t xml:space="preserve">In response to these market failures, there has been widespread implementation of </w:t>
      </w:r>
      <w:r w:rsidR="00674244">
        <w:t xml:space="preserve">standards and labelling </w:t>
      </w:r>
      <w:r w:rsidRPr="00F87E0B">
        <w:t>policies to improve product inefficiency both nationally</w:t>
      </w:r>
      <w:r w:rsidR="00F87E0B">
        <w:t xml:space="preserve"> and </w:t>
      </w:r>
      <w:r w:rsidRPr="00F87E0B">
        <w:t xml:space="preserve">internationally.  As of 2013, there </w:t>
      </w:r>
      <w:r w:rsidR="00F87E0B">
        <w:t>were</w:t>
      </w:r>
      <w:r w:rsidRPr="00F87E0B">
        <w:t xml:space="preserve"> 81 countries worldwide with implemented standards and labelling programs</w:t>
      </w:r>
      <w:r w:rsidR="00C36165">
        <w:rPr>
          <w:rStyle w:val="FootnoteReference"/>
        </w:rPr>
        <w:footnoteReference w:id="47"/>
      </w:r>
      <w:r w:rsidR="00F87E0B">
        <w:t xml:space="preserve">.  Outside of GEMS and its predecessor programs, </w:t>
      </w:r>
      <w:r w:rsidR="00C36165">
        <w:t xml:space="preserve">some </w:t>
      </w:r>
      <w:r w:rsidR="00F87E0B">
        <w:t xml:space="preserve">major international schemes include US MEPS and ENERGY STAR program, </w:t>
      </w:r>
      <w:r w:rsidR="00F87E0B" w:rsidRPr="00F87E0B">
        <w:t>European Union Ecodesign requirements and Energy Label, and</w:t>
      </w:r>
      <w:r w:rsidR="00F87E0B">
        <w:t xml:space="preserve"> the</w:t>
      </w:r>
      <w:r w:rsidR="00F87E0B" w:rsidRPr="00F87E0B">
        <w:t xml:space="preserve"> Japanese Top Runner program.</w:t>
      </w:r>
    </w:p>
    <w:p w14:paraId="57A5852F" w14:textId="77777777" w:rsidR="004D7C84" w:rsidRPr="00A948D5" w:rsidRDefault="004D7C84" w:rsidP="00983742">
      <w:pPr>
        <w:spacing w:after="0"/>
      </w:pPr>
      <w:r w:rsidRPr="00A948D5">
        <w:t xml:space="preserve">The </w:t>
      </w:r>
      <w:r>
        <w:t xml:space="preserve">main reported </w:t>
      </w:r>
      <w:r w:rsidRPr="00A948D5">
        <w:t xml:space="preserve">reasons why policies </w:t>
      </w:r>
      <w:r>
        <w:t>have been</w:t>
      </w:r>
      <w:r w:rsidRPr="00A948D5">
        <w:t xml:space="preserve"> put in place vary according to the type of intervention and </w:t>
      </w:r>
      <w:r w:rsidR="005609F9">
        <w:t xml:space="preserve">policy priorities in each </w:t>
      </w:r>
      <w:r w:rsidRPr="00A948D5">
        <w:t>jurisdictions</w:t>
      </w:r>
      <w:r>
        <w:t xml:space="preserve">, </w:t>
      </w:r>
      <w:r w:rsidR="00C36165">
        <w:t>h</w:t>
      </w:r>
      <w:r w:rsidRPr="00A948D5">
        <w:t xml:space="preserve">owever </w:t>
      </w:r>
      <w:r w:rsidR="00C36165">
        <w:t xml:space="preserve">key </w:t>
      </w:r>
      <w:r w:rsidRPr="00A948D5">
        <w:t>themes include</w:t>
      </w:r>
      <w:r w:rsidRPr="00A948D5">
        <w:rPr>
          <w:rStyle w:val="FootnoteReference"/>
        </w:rPr>
        <w:footnoteReference w:id="48"/>
      </w:r>
      <w:r w:rsidRPr="00A948D5">
        <w:rPr>
          <w:vertAlign w:val="superscript"/>
        </w:rPr>
        <w:t>,</w:t>
      </w:r>
      <w:r w:rsidRPr="00A948D5">
        <w:rPr>
          <w:rStyle w:val="FootnoteReference"/>
        </w:rPr>
        <w:footnoteReference w:id="49"/>
      </w:r>
      <w:r w:rsidRPr="00A948D5">
        <w:rPr>
          <w:vertAlign w:val="superscript"/>
        </w:rPr>
        <w:t>,</w:t>
      </w:r>
      <w:r w:rsidRPr="00A948D5">
        <w:rPr>
          <w:rStyle w:val="FootnoteReference"/>
        </w:rPr>
        <w:footnoteReference w:id="50"/>
      </w:r>
      <w:r w:rsidRPr="00A948D5">
        <w:t>:</w:t>
      </w:r>
    </w:p>
    <w:p w14:paraId="03F337A4" w14:textId="77777777" w:rsidR="004D7C84" w:rsidRPr="00A948D5" w:rsidRDefault="00B837F0" w:rsidP="00320FDC">
      <w:pPr>
        <w:numPr>
          <w:ilvl w:val="0"/>
          <w:numId w:val="56"/>
        </w:numPr>
        <w:spacing w:after="0"/>
        <w:ind w:left="426"/>
      </w:pPr>
      <w:r>
        <w:t>e</w:t>
      </w:r>
      <w:r w:rsidR="004D7C84" w:rsidRPr="00A948D5">
        <w:t xml:space="preserve">nergy </w:t>
      </w:r>
      <w:r w:rsidR="00C36165">
        <w:t>using</w:t>
      </w:r>
      <w:r w:rsidR="00C36165">
        <w:rPr>
          <w:rStyle w:val="FootnoteReference"/>
        </w:rPr>
        <w:footnoteReference w:id="51"/>
      </w:r>
      <w:r w:rsidR="00C36165" w:rsidRPr="00A948D5">
        <w:t xml:space="preserve"> </w:t>
      </w:r>
      <w:r w:rsidR="004D7C84" w:rsidRPr="00A948D5">
        <w:t xml:space="preserve">products account for a </w:t>
      </w:r>
      <w:r w:rsidR="004D7C84">
        <w:t>significant and growing</w:t>
      </w:r>
      <w:r w:rsidR="004D7C84" w:rsidRPr="00A948D5">
        <w:t xml:space="preserve"> proportion of the consumption of</w:t>
      </w:r>
      <w:r w:rsidR="004D7C84">
        <w:t xml:space="preserve"> natural resources and energy and make a significant contribution to national greenhouse emissions</w:t>
      </w:r>
      <w:r>
        <w:t>;</w:t>
      </w:r>
    </w:p>
    <w:p w14:paraId="24AA40B5" w14:textId="77777777" w:rsidR="004D7C84" w:rsidRPr="00A948D5" w:rsidRDefault="00B837F0" w:rsidP="00320FDC">
      <w:pPr>
        <w:numPr>
          <w:ilvl w:val="0"/>
          <w:numId w:val="56"/>
        </w:numPr>
        <w:spacing w:after="0"/>
        <w:ind w:left="426"/>
      </w:pPr>
      <w:r>
        <w:t>m</w:t>
      </w:r>
      <w:r w:rsidR="004D7C84" w:rsidRPr="00A948D5">
        <w:t xml:space="preserve">any energy-related products have significant potential for being improved </w:t>
      </w:r>
      <w:r w:rsidR="004D7C84">
        <w:t xml:space="preserve">(i.e. providing the same service, while using less energy) </w:t>
      </w:r>
      <w:r w:rsidR="004D7C84" w:rsidRPr="00A948D5">
        <w:t>in order to achieve energy savings which leads to economic savings for businesses and end-users</w:t>
      </w:r>
      <w:r>
        <w:t>;</w:t>
      </w:r>
      <w:r w:rsidR="004D7C84" w:rsidRPr="00A948D5">
        <w:t xml:space="preserve">  </w:t>
      </w:r>
    </w:p>
    <w:p w14:paraId="32812716" w14:textId="77777777" w:rsidR="004D7C84" w:rsidRPr="00A948D5" w:rsidRDefault="00B837F0" w:rsidP="00320FDC">
      <w:pPr>
        <w:numPr>
          <w:ilvl w:val="0"/>
          <w:numId w:val="56"/>
        </w:numPr>
        <w:spacing w:after="0"/>
        <w:ind w:left="426"/>
      </w:pPr>
      <w:r>
        <w:t>t</w:t>
      </w:r>
      <w:r w:rsidR="004D7C84" w:rsidRPr="00A948D5">
        <w:t>he cost of avoiding electricity use through energy efficiency is significantly less than the cost of having to supply it</w:t>
      </w:r>
      <w:r w:rsidR="004D7C84">
        <w:t>, or providing new supply side resources</w:t>
      </w:r>
      <w:r>
        <w:t>; and</w:t>
      </w:r>
    </w:p>
    <w:p w14:paraId="1FC54DD6" w14:textId="77777777" w:rsidR="004D7C84" w:rsidRDefault="00B837F0" w:rsidP="00320FDC">
      <w:pPr>
        <w:numPr>
          <w:ilvl w:val="0"/>
          <w:numId w:val="56"/>
        </w:numPr>
        <w:spacing w:after="0"/>
        <w:ind w:left="426"/>
      </w:pPr>
      <w:r>
        <w:t>t</w:t>
      </w:r>
      <w:r w:rsidR="004D7C84" w:rsidRPr="00A948D5">
        <w:t>he implementation of energy efficiency product policies</w:t>
      </w:r>
      <w:r w:rsidR="004D7C84">
        <w:t xml:space="preserve"> based on</w:t>
      </w:r>
      <w:r w:rsidR="004D7C84" w:rsidRPr="00A948D5">
        <w:t xml:space="preserve"> international</w:t>
      </w:r>
      <w:r w:rsidR="004D7C84">
        <w:t xml:space="preserve"> standards and norms can remove </w:t>
      </w:r>
      <w:r w:rsidR="004D7C84" w:rsidRPr="00A948D5">
        <w:t>barriers to trade</w:t>
      </w:r>
      <w:r w:rsidR="004D7C84">
        <w:t>.</w:t>
      </w:r>
    </w:p>
    <w:p w14:paraId="6F47D239" w14:textId="77777777" w:rsidR="00A4317C" w:rsidRDefault="00591D3C" w:rsidP="00591D3C">
      <w:pPr>
        <w:rPr>
          <w:iCs/>
        </w:rPr>
      </w:pPr>
      <w:r>
        <w:rPr>
          <w:iCs/>
        </w:rPr>
        <w:br/>
      </w:r>
    </w:p>
    <w:p w14:paraId="3158B97D" w14:textId="77777777" w:rsidR="00591D3C" w:rsidRPr="00F75C33" w:rsidRDefault="00591D3C" w:rsidP="00591D3C">
      <w:pPr>
        <w:rPr>
          <w:iCs/>
        </w:rPr>
      </w:pPr>
      <w:r w:rsidRPr="00F75C33">
        <w:rPr>
          <w:iCs/>
        </w:rPr>
        <w:lastRenderedPageBreak/>
        <w:t xml:space="preserve">Many countries, including Australia, are also embracing energy productivity as a means of addressing these market failures.  </w:t>
      </w:r>
      <w:r>
        <w:t>The Australian Government’s recently released Energy White Paper (EWP)</w:t>
      </w:r>
      <w:r>
        <w:rPr>
          <w:rStyle w:val="FootnoteReference"/>
        </w:rPr>
        <w:footnoteReference w:id="52"/>
      </w:r>
      <w:r>
        <w:t xml:space="preserve"> recognises energy productivity improvements can help reduce business and household costs and encourage economic growth. </w:t>
      </w:r>
      <w:r w:rsidR="008877F3">
        <w:t xml:space="preserve"> </w:t>
      </w:r>
      <w:r>
        <w:t xml:space="preserve">As part of the EWP, the Australian Government announced it will develop a National Energy Productivity Plan that includes a national energy productivity improvement target of up to 40 per cent by 2030. </w:t>
      </w:r>
    </w:p>
    <w:p w14:paraId="33D0AFBA" w14:textId="77777777" w:rsidR="00591D3C" w:rsidRDefault="00591D3C" w:rsidP="008877F3">
      <w:pPr>
        <w:spacing w:after="0"/>
      </w:pPr>
      <w:r>
        <w:t>The Plan will seek to achieve the target through:</w:t>
      </w:r>
    </w:p>
    <w:p w14:paraId="67F238B3" w14:textId="77777777" w:rsidR="00591D3C" w:rsidRDefault="00591D3C" w:rsidP="00243E2E">
      <w:pPr>
        <w:pStyle w:val="ListParagraph"/>
        <w:numPr>
          <w:ilvl w:val="0"/>
          <w:numId w:val="79"/>
        </w:numPr>
        <w:spacing w:after="0"/>
        <w:ind w:left="714" w:hanging="357"/>
        <w:contextualSpacing w:val="0"/>
      </w:pPr>
      <w:r>
        <w:t>energy markets providing consumers with new products and choice about how and when they use energy; and</w:t>
      </w:r>
    </w:p>
    <w:p w14:paraId="52762BD4" w14:textId="77777777" w:rsidR="00591D3C" w:rsidRDefault="00591D3C" w:rsidP="00243E2E">
      <w:pPr>
        <w:pStyle w:val="ListParagraph"/>
        <w:numPr>
          <w:ilvl w:val="0"/>
          <w:numId w:val="79"/>
        </w:numPr>
        <w:spacing w:after="0"/>
        <w:ind w:left="714" w:hanging="357"/>
        <w:contextualSpacing w:val="0"/>
      </w:pPr>
      <w:r>
        <w:t>more efficient buildings, transport and equipment and appliances, including information and decision-making tools (e.g. labels and smart apps) for consumers on these choices.</w:t>
      </w:r>
      <w:r>
        <w:br/>
      </w:r>
    </w:p>
    <w:p w14:paraId="1A7C4713" w14:textId="77777777" w:rsidR="00591D3C" w:rsidRDefault="00591D3C" w:rsidP="00591D3C">
      <w:r>
        <w:t xml:space="preserve">The Australian Government will work through the COAG Energy Council to develop a national energy productivity policy framework to deliver the collaborative actions in the National Energy Productivity Plan. </w:t>
      </w:r>
    </w:p>
    <w:p w14:paraId="2CBF5C53" w14:textId="77777777" w:rsidR="00F87E0B" w:rsidRDefault="00F87E0B" w:rsidP="009F4031">
      <w:r w:rsidRPr="00F87E0B">
        <w:rPr>
          <w:b/>
        </w:rPr>
        <w:t>Evidence of benefits</w:t>
      </w:r>
    </w:p>
    <w:p w14:paraId="4445AD60" w14:textId="77777777" w:rsidR="00B837F0" w:rsidRDefault="00F72AF4" w:rsidP="009F4031">
      <w:pPr>
        <w:rPr>
          <w:lang w:eastAsia="x-none"/>
        </w:rPr>
      </w:pPr>
      <w:r w:rsidRPr="00F72AF4">
        <w:rPr>
          <w:u w:val="single"/>
          <w:lang w:eastAsia="x-none"/>
        </w:rPr>
        <w:t>International evidence</w:t>
      </w:r>
      <w:r>
        <w:rPr>
          <w:lang w:eastAsia="x-none"/>
        </w:rPr>
        <w:t xml:space="preserve">:  International </w:t>
      </w:r>
      <w:r w:rsidR="00B837F0">
        <w:rPr>
          <w:lang w:eastAsia="x-none"/>
        </w:rPr>
        <w:t xml:space="preserve">impact assessment evidence </w:t>
      </w:r>
      <w:r>
        <w:rPr>
          <w:lang w:eastAsia="x-none"/>
        </w:rPr>
        <w:t>examples include</w:t>
      </w:r>
      <w:r w:rsidR="00B837F0">
        <w:rPr>
          <w:lang w:eastAsia="x-none"/>
        </w:rPr>
        <w:t>:</w:t>
      </w:r>
    </w:p>
    <w:p w14:paraId="401911D1" w14:textId="77777777" w:rsidR="00B837F0" w:rsidRPr="00166D06" w:rsidRDefault="00B837F0" w:rsidP="00591D3C">
      <w:pPr>
        <w:numPr>
          <w:ilvl w:val="3"/>
          <w:numId w:val="19"/>
        </w:numPr>
        <w:ind w:left="709" w:hanging="357"/>
      </w:pPr>
      <w:r>
        <w:rPr>
          <w:lang w:eastAsia="x-none"/>
        </w:rPr>
        <w:t>T</w:t>
      </w:r>
      <w:r w:rsidR="00F72AF4">
        <w:rPr>
          <w:lang w:eastAsia="x-none"/>
        </w:rPr>
        <w:t xml:space="preserve">he </w:t>
      </w:r>
      <w:r w:rsidR="00962DF8">
        <w:rPr>
          <w:lang w:eastAsia="x-none"/>
        </w:rPr>
        <w:t>2014</w:t>
      </w:r>
      <w:r w:rsidR="00F72AF4">
        <w:rPr>
          <w:lang w:eastAsia="x-none"/>
        </w:rPr>
        <w:t xml:space="preserve"> e</w:t>
      </w:r>
      <w:r w:rsidR="004D7C84" w:rsidRPr="006616E4">
        <w:t xml:space="preserve">valuation of the EU Ecodesign and Energy Labelling </w:t>
      </w:r>
      <w:r w:rsidR="00E545A4">
        <w:t>Directives</w:t>
      </w:r>
      <w:r w:rsidR="004D7C84" w:rsidRPr="006616E4">
        <w:t xml:space="preserve">, </w:t>
      </w:r>
      <w:r>
        <w:t xml:space="preserve">which </w:t>
      </w:r>
      <w:r w:rsidR="004D7C84" w:rsidRPr="006616E4">
        <w:t>estimates energy savings of 6700</w:t>
      </w:r>
      <w:r w:rsidR="005A7680">
        <w:t xml:space="preserve"> </w:t>
      </w:r>
      <w:r w:rsidR="005A7680" w:rsidRPr="006616E4">
        <w:t>PJ</w:t>
      </w:r>
      <w:r w:rsidR="005A7680">
        <w:t>/annum</w:t>
      </w:r>
      <w:r w:rsidR="005A7680" w:rsidRPr="006616E4">
        <w:t xml:space="preserve"> </w:t>
      </w:r>
      <w:r w:rsidR="004D7C84" w:rsidRPr="006616E4">
        <w:t xml:space="preserve">will be achieved by 2020 (19% of the total consumption </w:t>
      </w:r>
      <w:r w:rsidR="004D7C84" w:rsidRPr="00166D06">
        <w:t>from the product groups covered</w:t>
      </w:r>
      <w:r w:rsidR="00975E9E" w:rsidRPr="00166D06">
        <w:rPr>
          <w:rStyle w:val="FootnoteReference"/>
        </w:rPr>
        <w:footnoteReference w:id="53"/>
      </w:r>
      <w:r>
        <w:t>)</w:t>
      </w:r>
      <w:r w:rsidR="00962DF8" w:rsidRPr="00166D06">
        <w:t>.</w:t>
      </w:r>
      <w:r w:rsidR="00166D06" w:rsidRPr="00166D06">
        <w:t xml:space="preserve">  The study also reports net savings for European consumers and businesses amount to €90 billion per year (1% of EU’s current GDP) in the year 2020</w:t>
      </w:r>
      <w:r w:rsidR="00AE6DEF">
        <w:t>; and</w:t>
      </w:r>
      <w:r w:rsidR="00166D06" w:rsidRPr="00166D06">
        <w:t xml:space="preserve"> </w:t>
      </w:r>
      <w:r>
        <w:t xml:space="preserve"> </w:t>
      </w:r>
    </w:p>
    <w:p w14:paraId="1CCD65E1" w14:textId="77777777" w:rsidR="00F72AF4" w:rsidRDefault="00B837F0" w:rsidP="00320FDC">
      <w:pPr>
        <w:numPr>
          <w:ilvl w:val="3"/>
          <w:numId w:val="19"/>
        </w:numPr>
        <w:ind w:left="709"/>
      </w:pPr>
      <w:r>
        <w:t>T</w:t>
      </w:r>
      <w:r w:rsidR="006616E4" w:rsidRPr="00166D06">
        <w:t>he US MEPS scheme reports cumulative energy bill savings for consumers of $900 billion through 2020, growing to over $1.7 trillion through 2030</w:t>
      </w:r>
      <w:r w:rsidR="00975E9E" w:rsidRPr="00166D06">
        <w:rPr>
          <w:rStyle w:val="FootnoteReference"/>
        </w:rPr>
        <w:footnoteReference w:id="54"/>
      </w:r>
      <w:r w:rsidR="00962DF8" w:rsidRPr="00166D06">
        <w:t>.</w:t>
      </w:r>
      <w:r w:rsidR="006616E4" w:rsidRPr="006616E4">
        <w:t xml:space="preserve">  </w:t>
      </w:r>
    </w:p>
    <w:p w14:paraId="0ECA323F" w14:textId="77777777" w:rsidR="00B4099D" w:rsidRDefault="00B4099D" w:rsidP="00B4099D">
      <w:pPr>
        <w:numPr>
          <w:ilvl w:val="3"/>
          <w:numId w:val="19"/>
        </w:numPr>
      </w:pPr>
      <w:r w:rsidRPr="00B4099D">
        <w:t>The 2015 Energy Productivity and Economic Prosperity Index indicates that between 2001 and 2011, OECD countries gained 15% of their GDP growth from energy productivity improvements</w:t>
      </w:r>
      <w:r>
        <w:rPr>
          <w:rStyle w:val="FootnoteReference"/>
        </w:rPr>
        <w:footnoteReference w:id="55"/>
      </w:r>
      <w:r w:rsidRPr="00B4099D">
        <w:t>.</w:t>
      </w:r>
    </w:p>
    <w:p w14:paraId="7DF655A1" w14:textId="77777777" w:rsidR="0056497E" w:rsidRPr="006616E4" w:rsidRDefault="00F72AF4" w:rsidP="009F4031">
      <w:pPr>
        <w:rPr>
          <w:lang w:eastAsia="x-none"/>
        </w:rPr>
      </w:pPr>
      <w:r w:rsidRPr="00F72AF4">
        <w:rPr>
          <w:u w:val="single"/>
        </w:rPr>
        <w:t>National evidence</w:t>
      </w:r>
      <w:r>
        <w:t xml:space="preserve">:  </w:t>
      </w:r>
      <w:r w:rsidR="006616E4" w:rsidRPr="006616E4">
        <w:rPr>
          <w:lang w:eastAsia="x-none"/>
        </w:rPr>
        <w:t xml:space="preserve">Nationally, there are </w:t>
      </w:r>
      <w:r w:rsidR="000B4DBC">
        <w:rPr>
          <w:lang w:eastAsia="x-none"/>
        </w:rPr>
        <w:t>four</w:t>
      </w:r>
      <w:r w:rsidR="006616E4" w:rsidRPr="006616E4">
        <w:rPr>
          <w:lang w:eastAsia="x-none"/>
        </w:rPr>
        <w:t xml:space="preserve"> main sources of evidence which report impacts of GEMS and its predecessor program</w:t>
      </w:r>
      <w:r w:rsidR="00B837F0">
        <w:rPr>
          <w:lang w:eastAsia="x-none"/>
        </w:rPr>
        <w:t>:</w:t>
      </w:r>
      <w:r w:rsidR="006616E4" w:rsidRPr="006616E4">
        <w:rPr>
          <w:lang w:eastAsia="x-none"/>
        </w:rPr>
        <w:t xml:space="preserve"> </w:t>
      </w:r>
    </w:p>
    <w:p w14:paraId="6E3FEAE9" w14:textId="77777777" w:rsidR="00B13EC5" w:rsidRPr="006616E4" w:rsidRDefault="00B13EC5" w:rsidP="00320FDC">
      <w:pPr>
        <w:numPr>
          <w:ilvl w:val="0"/>
          <w:numId w:val="30"/>
        </w:numPr>
        <w:spacing w:after="0"/>
      </w:pPr>
      <w:r w:rsidRPr="006616E4">
        <w:t xml:space="preserve">GEMS impact </w:t>
      </w:r>
      <w:r w:rsidR="00B837F0">
        <w:t>analysis</w:t>
      </w:r>
      <w:r w:rsidRPr="006616E4">
        <w:t xml:space="preserve">:  The latest </w:t>
      </w:r>
      <w:r w:rsidR="00C70DE9" w:rsidRPr="00A71C14">
        <w:t>DoI</w:t>
      </w:r>
      <w:r w:rsidR="00C70DE9">
        <w:t>S</w:t>
      </w:r>
      <w:r w:rsidRPr="006616E4">
        <w:t xml:space="preserve"> impact analysis estimates that GEMS will deliver between 69,000 and 80,000 GWh in </w:t>
      </w:r>
      <w:r w:rsidR="001F7A04">
        <w:t xml:space="preserve">cumulative </w:t>
      </w:r>
      <w:r w:rsidRPr="006616E4">
        <w:t>energy savings between 2014 and 2020</w:t>
      </w:r>
      <w:r w:rsidR="00C0770D">
        <w:t xml:space="preserve">; </w:t>
      </w:r>
      <w:r w:rsidR="00C0770D" w:rsidRPr="0089482E">
        <w:t xml:space="preserve">and between </w:t>
      </w:r>
      <w:r w:rsidR="00335566" w:rsidRPr="0089482E">
        <w:t>60</w:t>
      </w:r>
      <w:r w:rsidR="00C0770D" w:rsidRPr="0089482E">
        <w:t xml:space="preserve"> and </w:t>
      </w:r>
      <w:r w:rsidR="00335566" w:rsidRPr="0089482E">
        <w:t>70</w:t>
      </w:r>
      <w:r w:rsidR="00C0770D" w:rsidRPr="0089482E">
        <w:t xml:space="preserve"> </w:t>
      </w:r>
      <w:r w:rsidR="00335566" w:rsidRPr="00335566">
        <w:t>million tonnes of CO</w:t>
      </w:r>
      <w:r w:rsidR="00335566" w:rsidRPr="0089482E">
        <w:rPr>
          <w:vertAlign w:val="subscript"/>
        </w:rPr>
        <w:t>2</w:t>
      </w:r>
      <w:r w:rsidR="00335566" w:rsidRPr="0089482E">
        <w:t>-e of greenhouse gas emissions (GHG)</w:t>
      </w:r>
      <w:r w:rsidR="00C0770D" w:rsidRPr="0089482E">
        <w:t xml:space="preserve"> savings </w:t>
      </w:r>
      <w:r w:rsidR="00C0770D" w:rsidRPr="0089482E">
        <w:lastRenderedPageBreak/>
        <w:t>between 20</w:t>
      </w:r>
      <w:r w:rsidR="00335566" w:rsidRPr="0089482E">
        <w:t>14</w:t>
      </w:r>
      <w:r w:rsidR="00C0770D" w:rsidRPr="0089482E">
        <w:t xml:space="preserve"> and 20</w:t>
      </w:r>
      <w:r w:rsidR="00335566" w:rsidRPr="0089482E">
        <w:t>20</w:t>
      </w:r>
      <w:r w:rsidRPr="0089482E">
        <w:rPr>
          <w:rStyle w:val="FootnoteReference"/>
        </w:rPr>
        <w:footnoteReference w:id="56"/>
      </w:r>
      <w:r w:rsidR="00EF3B20" w:rsidRPr="0089482E">
        <w:t>.</w:t>
      </w:r>
      <w:r w:rsidR="00EF3B20" w:rsidRPr="00A07FE8">
        <w:rPr>
          <w:i/>
        </w:rPr>
        <w:t xml:space="preserve">  </w:t>
      </w:r>
      <w:r w:rsidR="00EF3B20">
        <w:t xml:space="preserve">The benefits have </w:t>
      </w:r>
      <w:r w:rsidR="000D2C7B">
        <w:t>a Net Present Value (NPV) of between</w:t>
      </w:r>
      <w:r w:rsidR="00335566">
        <w:br/>
      </w:r>
      <w:r w:rsidR="000D2C7B">
        <w:t>$3</w:t>
      </w:r>
      <w:r w:rsidR="00BE13BF">
        <w:t>.3</w:t>
      </w:r>
      <w:r w:rsidR="00C0770D">
        <w:t xml:space="preserve"> </w:t>
      </w:r>
      <w:r w:rsidR="00BE13BF">
        <w:t>–</w:t>
      </w:r>
      <w:r w:rsidR="00C0770D">
        <w:t xml:space="preserve"> </w:t>
      </w:r>
      <w:r w:rsidR="000D2C7B">
        <w:t>7</w:t>
      </w:r>
      <w:r w:rsidR="00BE13BF">
        <w:t>.3</w:t>
      </w:r>
      <w:r w:rsidR="00D31B79">
        <w:t xml:space="preserve"> </w:t>
      </w:r>
      <w:r w:rsidR="00BE13BF">
        <w:t>b</w:t>
      </w:r>
      <w:r w:rsidR="00D31B79">
        <w:t>illion</w:t>
      </w:r>
      <w:r w:rsidR="000D2C7B">
        <w:t xml:space="preserve"> and </w:t>
      </w:r>
      <w:r w:rsidR="00D31B79">
        <w:t xml:space="preserve">a </w:t>
      </w:r>
      <w:r w:rsidR="000D2C7B">
        <w:t xml:space="preserve">cost benefit ratio </w:t>
      </w:r>
      <w:r w:rsidR="00D31B79">
        <w:t xml:space="preserve">in the range </w:t>
      </w:r>
      <w:r w:rsidR="000D2C7B">
        <w:t>of 1.7</w:t>
      </w:r>
      <w:r w:rsidR="00C0770D">
        <w:t xml:space="preserve"> - </w:t>
      </w:r>
      <w:r w:rsidR="000D2C7B">
        <w:t>5.2.</w:t>
      </w:r>
      <w:r w:rsidR="0040356B">
        <w:rPr>
          <w:rStyle w:val="FootnoteReference"/>
        </w:rPr>
        <w:footnoteReference w:id="57"/>
      </w:r>
      <w:r w:rsidR="000D2C7B">
        <w:t xml:space="preserve"> </w:t>
      </w:r>
    </w:p>
    <w:p w14:paraId="2523DC5D" w14:textId="77777777" w:rsidR="00B13EC5" w:rsidRPr="006616E4" w:rsidRDefault="00B13EC5" w:rsidP="00320FDC">
      <w:pPr>
        <w:numPr>
          <w:ilvl w:val="0"/>
          <w:numId w:val="30"/>
        </w:numPr>
        <w:spacing w:after="0"/>
      </w:pPr>
      <w:r w:rsidRPr="006616E4">
        <w:t xml:space="preserve">GEMS product specific energy efficiency </w:t>
      </w:r>
      <w:r w:rsidR="006616E4" w:rsidRPr="006616E4">
        <w:t xml:space="preserve">impact </w:t>
      </w:r>
      <w:r w:rsidRPr="006616E4">
        <w:t xml:space="preserve">studies: </w:t>
      </w:r>
    </w:p>
    <w:p w14:paraId="6BC9AF07" w14:textId="77777777" w:rsidR="00B13EC5" w:rsidRDefault="00B13EC5" w:rsidP="00872116">
      <w:pPr>
        <w:numPr>
          <w:ilvl w:val="2"/>
          <w:numId w:val="30"/>
        </w:numPr>
        <w:spacing w:after="120"/>
        <w:ind w:left="1418" w:hanging="425"/>
      </w:pPr>
      <w:r w:rsidRPr="006616E4">
        <w:t>The E3 2010 evaluation of energy efficiency policy for household air conditioners in Australia</w:t>
      </w:r>
      <w:r w:rsidRPr="006616E4">
        <w:rPr>
          <w:rStyle w:val="FootnoteReference"/>
        </w:rPr>
        <w:footnoteReference w:id="58"/>
      </w:r>
      <w:r w:rsidRPr="006616E4">
        <w:t xml:space="preserve"> reported that the annual rate of improvement before MEPS was around 0.5%, but grew to around 3% after the 2004 MEPS and to around 4% after the 2006/07 MEPS. </w:t>
      </w:r>
    </w:p>
    <w:p w14:paraId="334C982E" w14:textId="77777777" w:rsidR="00872116" w:rsidRPr="00535728" w:rsidRDefault="00872116" w:rsidP="00872116">
      <w:pPr>
        <w:numPr>
          <w:ilvl w:val="2"/>
          <w:numId w:val="30"/>
        </w:numPr>
        <w:spacing w:after="120"/>
        <w:ind w:left="1417" w:hanging="425"/>
      </w:pPr>
      <w:r w:rsidRPr="00535728">
        <w:t>The E3 2010 report on household refrigeration</w:t>
      </w:r>
      <w:r>
        <w:rPr>
          <w:rStyle w:val="FootnoteReference"/>
        </w:rPr>
        <w:footnoteReference w:id="59"/>
      </w:r>
      <w:r w:rsidRPr="00535728">
        <w:t>, assessing energy savings since 1986</w:t>
      </w:r>
      <w:r>
        <w:t xml:space="preserve">, </w:t>
      </w:r>
      <w:r w:rsidRPr="00535728">
        <w:t>which found</w:t>
      </w:r>
      <w:r>
        <w:t xml:space="preserve"> that, </w:t>
      </w:r>
      <w:r w:rsidRPr="00535728">
        <w:rPr>
          <w:iCs/>
        </w:rPr>
        <w:t>by the end of 2009, the annual energy savings due to all policy measures on refrigerators was around 5.9 TWh/year. Most (around 4.1 TWh/year) is attributed to energy labels introduced from 1986, thus policies from the late 1990s onwards (i</w:t>
      </w:r>
      <w:r w:rsidR="00495ACC">
        <w:rPr>
          <w:iCs/>
        </w:rPr>
        <w:t>.</w:t>
      </w:r>
      <w:r w:rsidRPr="00535728">
        <w:rPr>
          <w:iCs/>
        </w:rPr>
        <w:t>e. MEPS)</w:t>
      </w:r>
      <w:r w:rsidR="00B279BE">
        <w:rPr>
          <w:rStyle w:val="CommentReference"/>
          <w:sz w:val="20"/>
        </w:rPr>
        <w:t xml:space="preserve"> </w:t>
      </w:r>
      <w:r w:rsidRPr="00535728">
        <w:rPr>
          <w:iCs/>
        </w:rPr>
        <w:t>will have realised an estimated energy savings of around 1.8 TWh/year per annum by 2009</w:t>
      </w:r>
      <w:r w:rsidRPr="00535728">
        <w:t>.</w:t>
      </w:r>
    </w:p>
    <w:p w14:paraId="1C76E146" w14:textId="77777777" w:rsidR="00B13EC5" w:rsidRDefault="00B13EC5" w:rsidP="00872116">
      <w:pPr>
        <w:numPr>
          <w:ilvl w:val="2"/>
          <w:numId w:val="30"/>
        </w:numPr>
        <w:spacing w:after="120"/>
        <w:ind w:left="1418" w:hanging="425"/>
      </w:pPr>
      <w:r w:rsidRPr="006616E4">
        <w:t xml:space="preserve">The E3 2009 greening whitegoods report also shows a similar trend </w:t>
      </w:r>
      <w:r w:rsidR="00C50C88">
        <w:t>of improved energy efficiency.</w:t>
      </w:r>
      <w:r w:rsidR="00D36DF6">
        <w:t xml:space="preserve"> </w:t>
      </w:r>
      <w:r w:rsidRPr="006616E4">
        <w:t xml:space="preserve"> </w:t>
      </w:r>
      <w:r w:rsidRPr="006616E4">
        <w:fldChar w:fldCharType="begin"/>
      </w:r>
      <w:r w:rsidRPr="006616E4">
        <w:instrText xml:space="preserve"> REF _Ref404624179 \h  \* MERGEFORMAT </w:instrText>
      </w:r>
      <w:r w:rsidRPr="006616E4">
        <w:fldChar w:fldCharType="separate"/>
      </w:r>
      <w:r w:rsidR="00BE13BF">
        <w:t xml:space="preserve">Figure </w:t>
      </w:r>
      <w:r w:rsidR="00BE13BF">
        <w:rPr>
          <w:noProof/>
        </w:rPr>
        <w:t>1</w:t>
      </w:r>
      <w:r w:rsidRPr="006616E4">
        <w:fldChar w:fldCharType="end"/>
      </w:r>
      <w:r w:rsidRPr="006616E4">
        <w:rPr>
          <w:rStyle w:val="FootnoteReference"/>
        </w:rPr>
        <w:footnoteReference w:id="60"/>
      </w:r>
      <w:r w:rsidR="00C50C88">
        <w:t xml:space="preserve"> shows how the energy efficiency of refrigerators was influenced by domestic and international policy and standards action. </w:t>
      </w:r>
      <w:r w:rsidR="00D36DF6">
        <w:t xml:space="preserve"> </w:t>
      </w:r>
      <w:r w:rsidR="00C50C88">
        <w:t xml:space="preserve">For </w:t>
      </w:r>
      <w:r w:rsidR="008D060C">
        <w:t>example</w:t>
      </w:r>
      <w:r w:rsidR="00C50C88">
        <w:t xml:space="preserve"> </w:t>
      </w:r>
      <w:r w:rsidR="008D060C">
        <w:t xml:space="preserve">in 1996, </w:t>
      </w:r>
      <w:r w:rsidR="00C50C88">
        <w:t>new MEPS for refrigerators was first discussed publically</w:t>
      </w:r>
      <w:r w:rsidR="008D060C">
        <w:t xml:space="preserve"> and</w:t>
      </w:r>
      <w:r w:rsidR="00C50C88">
        <w:t>, at the same time</w:t>
      </w:r>
      <w:r w:rsidR="008D060C">
        <w:t>,</w:t>
      </w:r>
      <w:r w:rsidR="00C50C88">
        <w:t xml:space="preserve"> efficiency levels improved.  This continued at other stages of standards development and implementation.</w:t>
      </w:r>
      <w:r w:rsidRPr="006616E4">
        <w:t xml:space="preserve"> </w:t>
      </w:r>
    </w:p>
    <w:p w14:paraId="17ACF5A0" w14:textId="77777777" w:rsidR="00F72AF4" w:rsidRPr="006616E4" w:rsidRDefault="00F72AF4" w:rsidP="009F4031">
      <w:pPr>
        <w:spacing w:after="0"/>
      </w:pPr>
    </w:p>
    <w:p w14:paraId="6157C1A1" w14:textId="77777777" w:rsidR="00B13EC5" w:rsidRDefault="00B13EC5" w:rsidP="009F4031">
      <w:pPr>
        <w:pStyle w:val="Caption"/>
        <w:keepNext/>
        <w:spacing w:after="0" w:line="276" w:lineRule="auto"/>
      </w:pPr>
      <w:bookmarkStart w:id="43" w:name="_Ref404624179"/>
      <w:r>
        <w:lastRenderedPageBreak/>
        <w:t xml:space="preserve">Figure </w:t>
      </w:r>
      <w:r>
        <w:fldChar w:fldCharType="begin"/>
      </w:r>
      <w:r>
        <w:instrText xml:space="preserve"> SEQ Figure \* ARABIC </w:instrText>
      </w:r>
      <w:r>
        <w:fldChar w:fldCharType="separate"/>
      </w:r>
      <w:r w:rsidR="00BE13BF">
        <w:rPr>
          <w:noProof/>
        </w:rPr>
        <w:t>1</w:t>
      </w:r>
      <w:r>
        <w:fldChar w:fldCharType="end"/>
      </w:r>
      <w:bookmarkEnd w:id="43"/>
      <w:r>
        <w:t xml:space="preserve">:  Energy Consumption of </w:t>
      </w:r>
      <w:r w:rsidR="00336AFB">
        <w:t>r</w:t>
      </w:r>
      <w:r>
        <w:t>efrigerators 1993 - 2009</w:t>
      </w:r>
    </w:p>
    <w:p w14:paraId="7EAC3AC4" w14:textId="77777777" w:rsidR="00B13EC5" w:rsidRDefault="008E332E" w:rsidP="009F4031">
      <w:pPr>
        <w:spacing w:after="0"/>
        <w:rPr>
          <w:highlight w:val="yellow"/>
        </w:rPr>
      </w:pPr>
      <w:r>
        <w:rPr>
          <w:noProof/>
          <w:lang w:val="en-AU" w:eastAsia="en-AU"/>
        </w:rPr>
        <w:drawing>
          <wp:inline distT="0" distB="0" distL="0" distR="0" wp14:anchorId="3F9A8AD1" wp14:editId="26CC503D">
            <wp:extent cx="5732145" cy="3220720"/>
            <wp:effectExtent l="0" t="0" r="1905" b="0"/>
            <wp:docPr id="2" name="Picture 2" descr="Line and dot grpah displaying energy consumption relative to 1993. As meps iniatives are reduced energy consumption goes down in stagged st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t="10222"/>
                    <a:stretch>
                      <a:fillRect/>
                    </a:stretch>
                  </pic:blipFill>
                  <pic:spPr bwMode="auto">
                    <a:xfrm>
                      <a:off x="0" y="0"/>
                      <a:ext cx="5732145" cy="3220720"/>
                    </a:xfrm>
                    <a:prstGeom prst="rect">
                      <a:avLst/>
                    </a:prstGeom>
                    <a:noFill/>
                    <a:ln>
                      <a:noFill/>
                    </a:ln>
                  </pic:spPr>
                </pic:pic>
              </a:graphicData>
            </a:graphic>
          </wp:inline>
        </w:drawing>
      </w:r>
    </w:p>
    <w:p w14:paraId="30576605" w14:textId="77777777" w:rsidR="006616E4" w:rsidRPr="00AC76A9" w:rsidRDefault="006616E4" w:rsidP="009F4031">
      <w:r>
        <w:t>There are methodological challenges associated with the impa</w:t>
      </w:r>
      <w:r w:rsidR="00962DF8">
        <w:t>ct assessment evidence,</w:t>
      </w:r>
      <w:r>
        <w:t xml:space="preserve"> discussed further in </w:t>
      </w:r>
      <w:r w:rsidR="00300314">
        <w:t>S</w:t>
      </w:r>
      <w:r>
        <w:t xml:space="preserve">ection </w:t>
      </w:r>
      <w:r>
        <w:fldChar w:fldCharType="begin"/>
      </w:r>
      <w:r>
        <w:instrText xml:space="preserve"> REF _Ref405454887 \r \h </w:instrText>
      </w:r>
      <w:r w:rsidR="009F4031">
        <w:instrText xml:space="preserve"> \* MERGEFORMAT </w:instrText>
      </w:r>
      <w:r>
        <w:fldChar w:fldCharType="separate"/>
      </w:r>
      <w:r w:rsidR="00BE13BF">
        <w:t>6</w:t>
      </w:r>
      <w:r>
        <w:fldChar w:fldCharType="end"/>
      </w:r>
      <w:r>
        <w:t>, however together these studies all help demonstrate product energy efficiency polic</w:t>
      </w:r>
      <w:r w:rsidR="00962DF8">
        <w:t>ies achieve significant benefits, cost effectively.</w:t>
      </w:r>
      <w:r>
        <w:t xml:space="preserve">  </w:t>
      </w:r>
    </w:p>
    <w:p w14:paraId="23F18830" w14:textId="77777777" w:rsidR="00843EA4" w:rsidRDefault="00064095" w:rsidP="009F4031">
      <w:pPr>
        <w:pStyle w:val="Heading2"/>
        <w:rPr>
          <w:lang w:val="en-AU"/>
        </w:rPr>
      </w:pPr>
      <w:bookmarkStart w:id="44" w:name="_Ref409080029"/>
      <w:bookmarkStart w:id="45" w:name="_Toc422298379"/>
      <w:bookmarkStart w:id="46" w:name="_Ref401670379"/>
      <w:r>
        <w:rPr>
          <w:lang w:val="en-AU"/>
        </w:rPr>
        <w:t>Type</w:t>
      </w:r>
      <w:r w:rsidR="00A43563">
        <w:rPr>
          <w:lang w:val="en-AU"/>
        </w:rPr>
        <w:t>s</w:t>
      </w:r>
      <w:r>
        <w:rPr>
          <w:lang w:val="en-AU"/>
        </w:rPr>
        <w:t xml:space="preserve"> of policy intervention</w:t>
      </w:r>
      <w:bookmarkEnd w:id="44"/>
      <w:bookmarkEnd w:id="45"/>
    </w:p>
    <w:p w14:paraId="04026006" w14:textId="77777777" w:rsidR="001A3C0B" w:rsidRDefault="001A3C0B" w:rsidP="009F4031">
      <w:pPr>
        <w:spacing w:after="0"/>
      </w:pPr>
      <w:r>
        <w:t>T</w:t>
      </w:r>
      <w:r w:rsidR="00975E9E">
        <w:t>he</w:t>
      </w:r>
      <w:r w:rsidR="00B13EC5" w:rsidRPr="00CE1156">
        <w:t xml:space="preserve"> review considered wh</w:t>
      </w:r>
      <w:r w:rsidR="00B13EC5">
        <w:t xml:space="preserve">at form of policy intervention </w:t>
      </w:r>
      <w:r w:rsidR="0027137A">
        <w:t>is</w:t>
      </w:r>
      <w:r w:rsidR="00B13EC5">
        <w:t xml:space="preserve"> most effective in a product energy efficiency scheme in what circumstances and why</w:t>
      </w:r>
      <w:r>
        <w:t>.  The review focussed on standards and labelling interventions</w:t>
      </w:r>
      <w:r>
        <w:rPr>
          <w:rStyle w:val="FootnoteReference"/>
        </w:rPr>
        <w:footnoteReference w:id="61"/>
      </w:r>
      <w:r>
        <w:t xml:space="preserve"> and explored </w:t>
      </w:r>
      <w:r w:rsidR="00B13EC5">
        <w:t xml:space="preserve">whether </w:t>
      </w:r>
      <w:r>
        <w:t xml:space="preserve">they </w:t>
      </w:r>
      <w:r w:rsidR="00B13EC5">
        <w:t>should be mandatory or voluntary</w:t>
      </w:r>
      <w:r>
        <w:t>.</w:t>
      </w:r>
    </w:p>
    <w:p w14:paraId="6A2A7DB3" w14:textId="77777777" w:rsidR="00B13EC5" w:rsidRDefault="00B13EC5" w:rsidP="009F4031">
      <w:pPr>
        <w:pStyle w:val="Heading3"/>
      </w:pPr>
      <w:bookmarkStart w:id="47" w:name="_Toc422298380"/>
      <w:r>
        <w:t>MEPS</w:t>
      </w:r>
      <w:r w:rsidR="00EF3B20">
        <w:t xml:space="preserve"> and voluntary alternatives</w:t>
      </w:r>
      <w:bookmarkEnd w:id="47"/>
    </w:p>
    <w:p w14:paraId="7B252CB7" w14:textId="77777777" w:rsidR="00C60901" w:rsidRDefault="00B13EC5" w:rsidP="00D06DE3">
      <w:r>
        <w:t xml:space="preserve">MEPS in essence are applied to all regulated products. </w:t>
      </w:r>
      <w:r w:rsidR="00D36DF6">
        <w:t xml:space="preserve"> </w:t>
      </w:r>
      <w:r>
        <w:t xml:space="preserve">By definition those which do not meet the standard </w:t>
      </w:r>
      <w:r w:rsidR="00EF3B20">
        <w:t>are</w:t>
      </w:r>
      <w:r>
        <w:t xml:space="preserve"> excluded from the market, meaning that a mandatory approach is strictly the only viable option.  However, national and international product policy experts discuss that</w:t>
      </w:r>
      <w:r w:rsidR="00D06DE3">
        <w:t xml:space="preserve"> voluntary </w:t>
      </w:r>
      <w:r>
        <w:t xml:space="preserve">energy </w:t>
      </w:r>
      <w:r w:rsidR="00D06DE3">
        <w:t xml:space="preserve">efficiency </w:t>
      </w:r>
      <w:r>
        <w:t xml:space="preserve">‘standards’ can </w:t>
      </w:r>
      <w:r w:rsidR="00D06DE3">
        <w:t xml:space="preserve">be set through agreements with industry as an alternative to MEPS (e.g. a ‘code of practice’).  </w:t>
      </w:r>
    </w:p>
    <w:p w14:paraId="5C316FE0" w14:textId="77777777" w:rsidR="00B13EC5" w:rsidRDefault="00B13EC5" w:rsidP="009F4031">
      <w:r>
        <w:t xml:space="preserve">According to the </w:t>
      </w:r>
      <w:r w:rsidR="00AE6DEF">
        <w:t>report ‘</w:t>
      </w:r>
      <w:r w:rsidRPr="00F16BCD">
        <w:t>Energy Standards and Labelling Programs throughout the World</w:t>
      </w:r>
      <w:r w:rsidR="00B32BDA">
        <w:rPr>
          <w:rStyle w:val="FootnoteReference"/>
        </w:rPr>
        <w:footnoteReference w:id="62"/>
      </w:r>
      <w:r w:rsidR="00AE6DEF">
        <w:t>’</w:t>
      </w:r>
      <w:r>
        <w:t>, as of 2013 there are nearly 1200 energy performance standards schemes globally, of which 90% are mandatory MEPS</w:t>
      </w:r>
      <w:r>
        <w:rPr>
          <w:rStyle w:val="FootnoteReference"/>
        </w:rPr>
        <w:footnoteReference w:id="63"/>
      </w:r>
      <w:r>
        <w:t xml:space="preserve"> (58% were mandatory in 2004).  As the review has a focus on opportunities to reduce regulatory burden, national and international experiences and learnings of voluntary schemes are discussed below.</w:t>
      </w:r>
    </w:p>
    <w:p w14:paraId="6F9DC6E7" w14:textId="77777777" w:rsidR="00D36DF6" w:rsidRDefault="00D36DF6" w:rsidP="009F4031"/>
    <w:p w14:paraId="12E486A7" w14:textId="77777777" w:rsidR="00B13EC5" w:rsidRPr="00B135BA" w:rsidRDefault="00B13EC5" w:rsidP="009F4031">
      <w:pPr>
        <w:rPr>
          <w:u w:val="single"/>
        </w:rPr>
      </w:pPr>
      <w:r w:rsidRPr="00B135BA">
        <w:rPr>
          <w:u w:val="single"/>
        </w:rPr>
        <w:lastRenderedPageBreak/>
        <w:t>International experience</w:t>
      </w:r>
      <w:r>
        <w:rPr>
          <w:u w:val="single"/>
        </w:rPr>
        <w:t xml:space="preserve"> and learnings of non-mandatory MEPS schemes</w:t>
      </w:r>
    </w:p>
    <w:p w14:paraId="640E7C86" w14:textId="77777777" w:rsidR="00811352" w:rsidRPr="00527841" w:rsidRDefault="00B13EC5" w:rsidP="00527841">
      <w:pPr>
        <w:numPr>
          <w:ilvl w:val="0"/>
          <w:numId w:val="83"/>
        </w:numPr>
        <w:rPr>
          <w:rFonts w:eastAsia="Calibri"/>
          <w:szCs w:val="22"/>
          <w:lang w:val="en-AU" w:eastAsia="en-US"/>
        </w:rPr>
      </w:pPr>
      <w:r w:rsidRPr="00C60901">
        <w:rPr>
          <w:u w:val="single"/>
          <w:lang w:val="en-AU"/>
        </w:rPr>
        <w:t>Japan</w:t>
      </w:r>
      <w:r w:rsidRPr="00C60901">
        <w:rPr>
          <w:lang w:val="en-AU"/>
        </w:rPr>
        <w:t xml:space="preserve">:  </w:t>
      </w:r>
      <w:r>
        <w:t>The Top Runner scheme</w:t>
      </w:r>
      <w:r w:rsidRPr="00ED2DC5">
        <w:rPr>
          <w:rStyle w:val="FootnoteReference"/>
          <w:lang w:val="en-AU"/>
        </w:rPr>
        <w:footnoteReference w:id="64"/>
      </w:r>
      <w:r>
        <w:t xml:space="preserve"> operates by setting </w:t>
      </w:r>
      <w:r w:rsidR="0058631F">
        <w:t xml:space="preserve">a national </w:t>
      </w:r>
      <w:r>
        <w:t xml:space="preserve">sales weighted efficiency targets </w:t>
      </w:r>
      <w:r w:rsidR="0058631F">
        <w:t>which applies to the average efficiency of all products supplied by an individual manufacturer</w:t>
      </w:r>
      <w:r>
        <w:t xml:space="preserve">.  There is no minimum standard and </w:t>
      </w:r>
      <w:r w:rsidR="009127B3">
        <w:t xml:space="preserve">it </w:t>
      </w:r>
      <w:r w:rsidR="00C60901">
        <w:t xml:space="preserve">is </w:t>
      </w:r>
      <w:r>
        <w:t>technically voluntary, but there are penalties if suppliers</w:t>
      </w:r>
      <w:r w:rsidRPr="009F2A3A">
        <w:t xml:space="preserve"> don’t meet</w:t>
      </w:r>
      <w:r>
        <w:t xml:space="preserve"> these (usually publication, but fines are also </w:t>
      </w:r>
      <w:r w:rsidR="00C60901">
        <w:t>possible</w:t>
      </w:r>
      <w:r>
        <w:t xml:space="preserve">).  The </w:t>
      </w:r>
      <w:r w:rsidR="00C60901">
        <w:t>main i</w:t>
      </w:r>
      <w:r>
        <w:t xml:space="preserve">ndustry </w:t>
      </w:r>
      <w:r w:rsidR="00C60901">
        <w:t>a</w:t>
      </w:r>
      <w:r>
        <w:t>ssociation undertakes energy efficiency performance testing and products can be randomly selected for testing</w:t>
      </w:r>
      <w:r w:rsidR="00C60901">
        <w:rPr>
          <w:rStyle w:val="FootnoteReference"/>
        </w:rPr>
        <w:footnoteReference w:id="65"/>
      </w:r>
      <w:r>
        <w:t xml:space="preserve">.  </w:t>
      </w:r>
    </w:p>
    <w:p w14:paraId="1ACC01F0" w14:textId="77777777" w:rsidR="00B4099D" w:rsidRPr="0065504B" w:rsidRDefault="00B4099D" w:rsidP="003D194B">
      <w:pPr>
        <w:ind w:left="720"/>
        <w:rPr>
          <w:lang w:val="en-AU"/>
        </w:rPr>
      </w:pPr>
      <w:r w:rsidRPr="0065504B">
        <w:rPr>
          <w:lang w:val="en-AU"/>
        </w:rPr>
        <w:t>The Top Runner program is prescribed under the “Law Concerning the Rational Use of Energy (Energy Conservation Law) – Section 6: Measures Related to Machinery and Equipment.” The program is managed by the Advisory Committee for Natural Resources and Energy (ACNRE), an advisory body to the Minister of Economy, Trade and Industry.  ACNRE, through various subcommittees, determines the relevant product categories, performance targets, measurement standards and overseas the evaluation and enforcement of the program.  The Ministry has enforcement powers associated with the Energy Conservation Law that include public identification of firms that do not comply and fines.</w:t>
      </w:r>
    </w:p>
    <w:p w14:paraId="1F732530" w14:textId="77777777" w:rsidR="00B4099D" w:rsidRPr="0065504B" w:rsidRDefault="00B4099D" w:rsidP="003D194B">
      <w:pPr>
        <w:ind w:left="720"/>
        <w:rPr>
          <w:lang w:val="en-AU"/>
        </w:rPr>
      </w:pPr>
      <w:r w:rsidRPr="0065504B">
        <w:rPr>
          <w:lang w:val="en-AU"/>
        </w:rPr>
        <w:t>All responsible organisations (manufacturers or importers) are required to provide stipulated information to ACNRE soon after the target data in order to evaluate compliance.  This includes the numbers of units shipped for the target fiscal year and their unit energy efficiency, etc. This data is provided privately to ACNRE often through established trade associations, due to its commercial sensitivity.  ACNRE also tests the performance of individual products often with the assistance of the relevant industry associations.</w:t>
      </w:r>
    </w:p>
    <w:p w14:paraId="1F66637A" w14:textId="77777777" w:rsidR="00B4099D" w:rsidRPr="0065504B" w:rsidRDefault="00B4099D" w:rsidP="003D194B">
      <w:pPr>
        <w:ind w:left="720"/>
        <w:rPr>
          <w:lang w:val="en-AU"/>
        </w:rPr>
      </w:pPr>
      <w:r w:rsidRPr="0065504B">
        <w:rPr>
          <w:lang w:val="en-AU"/>
        </w:rPr>
        <w:t xml:space="preserve">This evaluation process is more reliant upon the integrity of those concerned than in the type of compliance programs typically seen in western economies. However Japanese industry tends to place great weight on voluntary compliance with government policy. The main area of doubt about compliance appears to be for those product categories which have a growing share of imported products.  </w:t>
      </w:r>
    </w:p>
    <w:p w14:paraId="36030C46" w14:textId="77777777" w:rsidR="00B4099D" w:rsidRPr="0065504B" w:rsidRDefault="00B4099D" w:rsidP="003D194B">
      <w:pPr>
        <w:ind w:left="720"/>
        <w:rPr>
          <w:lang w:val="en-AU"/>
        </w:rPr>
      </w:pPr>
      <w:r w:rsidRPr="0065504B">
        <w:rPr>
          <w:lang w:val="en-AU"/>
        </w:rPr>
        <w:t xml:space="preserve">Tests </w:t>
      </w:r>
      <w:r w:rsidR="00811352" w:rsidRPr="0065504B">
        <w:rPr>
          <w:lang w:val="en-AU"/>
        </w:rPr>
        <w:t xml:space="preserve">carried out </w:t>
      </w:r>
      <w:r w:rsidRPr="0065504B">
        <w:rPr>
          <w:lang w:val="en-AU"/>
        </w:rPr>
        <w:t xml:space="preserve">in </w:t>
      </w:r>
      <w:r w:rsidR="00811352" w:rsidRPr="0065504B">
        <w:rPr>
          <w:lang w:val="en-AU"/>
        </w:rPr>
        <w:t xml:space="preserve">the early 2000’s in Japan </w:t>
      </w:r>
      <w:r w:rsidRPr="0065504B">
        <w:rPr>
          <w:lang w:val="en-AU"/>
        </w:rPr>
        <w:t>reveal</w:t>
      </w:r>
      <w:r w:rsidR="00811352" w:rsidRPr="0065504B">
        <w:rPr>
          <w:lang w:val="en-AU"/>
        </w:rPr>
        <w:t>ed</w:t>
      </w:r>
      <w:r w:rsidRPr="0065504B">
        <w:rPr>
          <w:lang w:val="en-AU"/>
        </w:rPr>
        <w:t xml:space="preserve"> a growing disparity between the tested performance of domestic refrigerators and their actual performance.  To address this Japan adopted a revised test method, which has led to a change in the international IEC test method for refrigerators.</w:t>
      </w:r>
    </w:p>
    <w:p w14:paraId="2DFAA1D0" w14:textId="77777777" w:rsidR="00B13EC5" w:rsidRDefault="00B13EC5" w:rsidP="00527841">
      <w:pPr>
        <w:spacing w:after="0"/>
        <w:ind w:left="720"/>
      </w:pPr>
      <w:r>
        <w:t xml:space="preserve">A review </w:t>
      </w:r>
      <w:r w:rsidR="00811352">
        <w:t xml:space="preserve">of the Top Runner scheme </w:t>
      </w:r>
      <w:r>
        <w:t>undertaken in 2010 reported that the scheme has contributed significantly to driving product energy efficiency in Japan overall, although more so within some product groups than others.  The report showed that some preconditions were necessary for the successful operation of the approach.  These included</w:t>
      </w:r>
      <w:r w:rsidR="00C60901">
        <w:t>:</w:t>
      </w:r>
    </w:p>
    <w:p w14:paraId="031E6DE0" w14:textId="77777777" w:rsidR="00B13EC5" w:rsidRDefault="00C60901" w:rsidP="00527841">
      <w:pPr>
        <w:pStyle w:val="ColorfulList-Accent12"/>
        <w:numPr>
          <w:ilvl w:val="2"/>
          <w:numId w:val="20"/>
        </w:numPr>
        <w:ind w:left="2205"/>
      </w:pPr>
      <w:r>
        <w:t>t</w:t>
      </w:r>
      <w:r w:rsidR="00B13EC5">
        <w:t>he Japanese market structure – which is dominated by a limited number of domestic manufacturers</w:t>
      </w:r>
      <w:r>
        <w:t>;</w:t>
      </w:r>
    </w:p>
    <w:p w14:paraId="4169DE86" w14:textId="77777777" w:rsidR="00B13EC5" w:rsidRDefault="00C60901" w:rsidP="00527841">
      <w:pPr>
        <w:pStyle w:val="ColorfulList-Accent12"/>
        <w:numPr>
          <w:ilvl w:val="2"/>
          <w:numId w:val="20"/>
        </w:numPr>
        <w:ind w:left="2205"/>
      </w:pPr>
      <w:r>
        <w:t>a</w:t>
      </w:r>
      <w:r w:rsidR="00B13EC5">
        <w:t>ll domestic manufacturers are similar</w:t>
      </w:r>
      <w:r>
        <w:t>;</w:t>
      </w:r>
      <w:r w:rsidR="00B13EC5">
        <w:t xml:space="preserve"> and </w:t>
      </w:r>
    </w:p>
    <w:p w14:paraId="158AA4B5" w14:textId="77777777" w:rsidR="00B13EC5" w:rsidRDefault="00C60901" w:rsidP="00527841">
      <w:pPr>
        <w:pStyle w:val="ColorfulList-Accent12"/>
        <w:numPr>
          <w:ilvl w:val="3"/>
          <w:numId w:val="20"/>
        </w:numPr>
        <w:ind w:left="2925"/>
      </w:pPr>
      <w:r>
        <w:t>h</w:t>
      </w:r>
      <w:r w:rsidR="00B13EC5">
        <w:t>ave high technological competency</w:t>
      </w:r>
      <w:r>
        <w:t>;</w:t>
      </w:r>
    </w:p>
    <w:p w14:paraId="02DD7F10" w14:textId="77777777" w:rsidR="00B13EC5" w:rsidRDefault="00C60901" w:rsidP="00527841">
      <w:pPr>
        <w:pStyle w:val="ColorfulList-Accent12"/>
        <w:numPr>
          <w:ilvl w:val="3"/>
          <w:numId w:val="20"/>
        </w:numPr>
        <w:ind w:left="2925"/>
      </w:pPr>
      <w:r>
        <w:lastRenderedPageBreak/>
        <w:t>c</w:t>
      </w:r>
      <w:r w:rsidR="00B13EC5">
        <w:t>an accept strict standards (i.e. none are excluded if set standards are high)</w:t>
      </w:r>
      <w:r>
        <w:t>;</w:t>
      </w:r>
    </w:p>
    <w:p w14:paraId="06602AFC" w14:textId="77777777" w:rsidR="00B13EC5" w:rsidRDefault="00C60901" w:rsidP="00527841">
      <w:pPr>
        <w:pStyle w:val="ColorfulList-Accent12"/>
        <w:numPr>
          <w:ilvl w:val="3"/>
          <w:numId w:val="20"/>
        </w:numPr>
        <w:ind w:left="2925"/>
      </w:pPr>
      <w:r>
        <w:t>h</w:t>
      </w:r>
      <w:r w:rsidR="00B13EC5">
        <w:t>ave incentives to develop energy efficient products – e.g. to compete with foreign manufacturers</w:t>
      </w:r>
      <w:r>
        <w:t>;</w:t>
      </w:r>
      <w:r w:rsidR="00E54083">
        <w:t xml:space="preserve"> and</w:t>
      </w:r>
    </w:p>
    <w:p w14:paraId="325DB26F" w14:textId="77777777" w:rsidR="00B13EC5" w:rsidRDefault="00C60901" w:rsidP="00527841">
      <w:pPr>
        <w:pStyle w:val="ColorfulList-Accent12"/>
        <w:numPr>
          <w:ilvl w:val="3"/>
          <w:numId w:val="20"/>
        </w:numPr>
        <w:ind w:left="2925"/>
      </w:pPr>
      <w:r>
        <w:t>a</w:t>
      </w:r>
      <w:r w:rsidR="00B13EC5">
        <w:t xml:space="preserve">ll will comply with standards even without strict sanctions.  </w:t>
      </w:r>
    </w:p>
    <w:p w14:paraId="4F930F3A" w14:textId="77777777" w:rsidR="00B13EC5" w:rsidRDefault="00B13EC5" w:rsidP="00527841">
      <w:pPr>
        <w:pStyle w:val="ColorfulList-Accent12"/>
      </w:pPr>
      <w:r>
        <w:t xml:space="preserve">Where these preconditions were not met, significantly less was achieved.  </w:t>
      </w:r>
    </w:p>
    <w:p w14:paraId="57BBF687" w14:textId="77777777" w:rsidR="00B13EC5" w:rsidRPr="0054164B" w:rsidRDefault="00B13EC5" w:rsidP="00527841">
      <w:pPr>
        <w:numPr>
          <w:ilvl w:val="0"/>
          <w:numId w:val="84"/>
        </w:numPr>
        <w:spacing w:after="0"/>
        <w:rPr>
          <w:lang w:val="en-AU"/>
        </w:rPr>
      </w:pPr>
      <w:r w:rsidRPr="0054164B">
        <w:rPr>
          <w:u w:val="single"/>
          <w:lang w:val="en-AU"/>
        </w:rPr>
        <w:t>EU</w:t>
      </w:r>
      <w:r w:rsidRPr="0054164B">
        <w:rPr>
          <w:lang w:val="en-AU"/>
        </w:rPr>
        <w:t>:  The EU scheme has also utilised voluntary MEPS initiatives</w:t>
      </w:r>
      <w:r w:rsidR="00D06DE3">
        <w:rPr>
          <w:lang w:val="en-AU"/>
        </w:rPr>
        <w:t xml:space="preserve"> in a few limited instances.  These have been </w:t>
      </w:r>
      <w:r w:rsidRPr="0054164B">
        <w:rPr>
          <w:lang w:val="en-AU"/>
        </w:rPr>
        <w:t>implemented in si</w:t>
      </w:r>
      <w:r>
        <w:rPr>
          <w:lang w:val="en-AU"/>
        </w:rPr>
        <w:t>tuations where</w:t>
      </w:r>
      <w:r w:rsidR="00D06DE3" w:rsidRPr="00A948D5">
        <w:rPr>
          <w:rStyle w:val="FootnoteReference"/>
          <w:lang w:val="en-AU"/>
        </w:rPr>
        <w:footnoteReference w:id="66"/>
      </w:r>
      <w:r>
        <w:rPr>
          <w:lang w:val="en-AU"/>
        </w:rPr>
        <w:t xml:space="preserve">: </w:t>
      </w:r>
    </w:p>
    <w:p w14:paraId="60ED8217" w14:textId="77777777" w:rsidR="00B13EC5" w:rsidRPr="0054164B" w:rsidRDefault="00C60901" w:rsidP="00320FDC">
      <w:pPr>
        <w:pStyle w:val="ColorfulList-Accent12"/>
        <w:numPr>
          <w:ilvl w:val="0"/>
          <w:numId w:val="57"/>
        </w:numPr>
        <w:spacing w:after="0"/>
        <w:rPr>
          <w:lang w:val="en-AU"/>
        </w:rPr>
      </w:pPr>
      <w:r>
        <w:rPr>
          <w:lang w:val="en-AU"/>
        </w:rPr>
        <w:t>r</w:t>
      </w:r>
      <w:r w:rsidR="00B13EC5" w:rsidRPr="0054164B">
        <w:rPr>
          <w:lang w:val="en-AU"/>
        </w:rPr>
        <w:t>egulation may have been difficult to pass</w:t>
      </w:r>
      <w:r w:rsidR="00B13EC5">
        <w:rPr>
          <w:rStyle w:val="FootnoteReference"/>
          <w:lang w:val="en-AU"/>
        </w:rPr>
        <w:footnoteReference w:id="67"/>
      </w:r>
      <w:r w:rsidR="00B13EC5">
        <w:rPr>
          <w:lang w:val="en-AU"/>
        </w:rPr>
        <w:t>;</w:t>
      </w:r>
    </w:p>
    <w:p w14:paraId="12A49F86" w14:textId="77777777" w:rsidR="00B13EC5" w:rsidRPr="0054164B" w:rsidRDefault="00C60901" w:rsidP="00320FDC">
      <w:pPr>
        <w:pStyle w:val="ColorfulList-Accent12"/>
        <w:numPr>
          <w:ilvl w:val="0"/>
          <w:numId w:val="57"/>
        </w:numPr>
        <w:spacing w:after="0"/>
        <w:rPr>
          <w:lang w:val="en-AU"/>
        </w:rPr>
      </w:pPr>
      <w:r>
        <w:rPr>
          <w:lang w:val="en-AU"/>
        </w:rPr>
        <w:t>t</w:t>
      </w:r>
      <w:r w:rsidR="00B13EC5">
        <w:rPr>
          <w:lang w:val="en-AU"/>
        </w:rPr>
        <w:t>hey can act as a</w:t>
      </w:r>
      <w:r w:rsidR="00B13EC5" w:rsidRPr="0054164B">
        <w:rPr>
          <w:lang w:val="en-AU"/>
        </w:rPr>
        <w:t xml:space="preserve"> pre-cursor to mandatory measures, in order to collect further information on technologies and ‘test’ appropriate meas</w:t>
      </w:r>
      <w:r w:rsidR="00B13EC5">
        <w:rPr>
          <w:lang w:val="en-AU"/>
        </w:rPr>
        <w:t>ures; and</w:t>
      </w:r>
      <w:r w:rsidR="00B13EC5" w:rsidRPr="0054164B">
        <w:rPr>
          <w:lang w:val="en-AU"/>
        </w:rPr>
        <w:t xml:space="preserve"> </w:t>
      </w:r>
    </w:p>
    <w:p w14:paraId="50889220" w14:textId="77777777" w:rsidR="00F87003" w:rsidRDefault="00C60901" w:rsidP="00320FDC">
      <w:pPr>
        <w:pStyle w:val="ColorfulList-Accent12"/>
        <w:numPr>
          <w:ilvl w:val="0"/>
          <w:numId w:val="57"/>
        </w:numPr>
        <w:spacing w:after="0"/>
        <w:rPr>
          <w:lang w:val="en-AU"/>
        </w:rPr>
      </w:pPr>
      <w:r>
        <w:rPr>
          <w:lang w:val="en-AU"/>
        </w:rPr>
        <w:t>a</w:t>
      </w:r>
      <w:r w:rsidR="00B13EC5" w:rsidRPr="0054164B">
        <w:rPr>
          <w:lang w:val="en-AU"/>
        </w:rPr>
        <w:t xml:space="preserve">ction is </w:t>
      </w:r>
      <w:r w:rsidR="00B13EC5">
        <w:rPr>
          <w:lang w:val="en-AU"/>
        </w:rPr>
        <w:t xml:space="preserve">considered </w:t>
      </w:r>
      <w:r w:rsidR="00B13EC5" w:rsidRPr="0054164B">
        <w:rPr>
          <w:lang w:val="en-AU"/>
        </w:rPr>
        <w:t>likely to deliver policy objectives faster or in a less costly manner</w:t>
      </w:r>
      <w:r w:rsidR="00F87003">
        <w:rPr>
          <w:lang w:val="en-AU"/>
        </w:rPr>
        <w:t xml:space="preserve"> – usually when similar market conditions exist for those described for Top Runner. </w:t>
      </w:r>
    </w:p>
    <w:p w14:paraId="225AA32E" w14:textId="77777777" w:rsidR="00F87003" w:rsidRDefault="00F87003" w:rsidP="009F4031">
      <w:pPr>
        <w:spacing w:after="0"/>
        <w:ind w:left="720"/>
        <w:rPr>
          <w:lang w:val="en-AU"/>
        </w:rPr>
      </w:pPr>
    </w:p>
    <w:p w14:paraId="0A32CF1E" w14:textId="77777777" w:rsidR="00B13EC5" w:rsidRDefault="00B13EC5" w:rsidP="009F4031">
      <w:pPr>
        <w:spacing w:after="0"/>
        <w:ind w:left="720"/>
      </w:pPr>
      <w:r>
        <w:rPr>
          <w:lang w:val="en-AU"/>
        </w:rPr>
        <w:t xml:space="preserve">The recent evaluation of the </w:t>
      </w:r>
      <w:r>
        <w:t>Ecodesign Directive</w:t>
      </w:r>
      <w:r w:rsidR="00F87003">
        <w:rPr>
          <w:rStyle w:val="FootnoteReference"/>
        </w:rPr>
        <w:footnoteReference w:id="68"/>
      </w:r>
      <w:r>
        <w:t xml:space="preserve"> reported that voluntary agreement negotiations had been protracted, suggesting the process was not ‘easier’ than regulation, but that it is too early to fully assess their effectiveness.  Product energy efficiency experts also discussed fundamental flaws in delivery of voluntary agreements, for example difficulties in establishing transparent and effective compliance processes, which contribute to a lack of confidence.  Since the introduction of the </w:t>
      </w:r>
      <w:r>
        <w:rPr>
          <w:lang w:val="en-AU"/>
        </w:rPr>
        <w:t>Ecodesign</w:t>
      </w:r>
      <w:r w:rsidRPr="0054164B">
        <w:rPr>
          <w:lang w:val="en-AU"/>
        </w:rPr>
        <w:t xml:space="preserve"> Directive </w:t>
      </w:r>
      <w:r>
        <w:rPr>
          <w:lang w:val="en-AU"/>
        </w:rPr>
        <w:t>in 2005 there has been a significant trend towards mandatory measures</w:t>
      </w:r>
      <w:r>
        <w:rPr>
          <w:rStyle w:val="FootnoteReference"/>
          <w:lang w:val="en-AU"/>
        </w:rPr>
        <w:footnoteReference w:id="69"/>
      </w:r>
      <w:r>
        <w:rPr>
          <w:lang w:val="en-AU"/>
        </w:rPr>
        <w:t>.</w:t>
      </w:r>
    </w:p>
    <w:p w14:paraId="5A40563D" w14:textId="77777777" w:rsidR="00B13EC5" w:rsidRDefault="00B13EC5" w:rsidP="009F4031">
      <w:pPr>
        <w:spacing w:after="0"/>
        <w:ind w:left="720"/>
      </w:pPr>
      <w:r>
        <w:t xml:space="preserve"> </w:t>
      </w:r>
    </w:p>
    <w:p w14:paraId="71393FAB" w14:textId="77777777" w:rsidR="00B13EC5" w:rsidRPr="00E70EF0" w:rsidRDefault="00B13EC5" w:rsidP="009F4031">
      <w:pPr>
        <w:spacing w:after="0"/>
        <w:rPr>
          <w:lang w:val="en-AU"/>
        </w:rPr>
      </w:pPr>
      <w:r>
        <w:t xml:space="preserve">The ECOS </w:t>
      </w:r>
      <w:r w:rsidR="00E54083">
        <w:t>report ‘I</w:t>
      </w:r>
      <w:r>
        <w:t xml:space="preserve">nternational </w:t>
      </w:r>
      <w:r w:rsidR="00E54083">
        <w:t>C</w:t>
      </w:r>
      <w:r>
        <w:t xml:space="preserve">omparison of </w:t>
      </w:r>
      <w:r w:rsidR="00E54083">
        <w:t>P</w:t>
      </w:r>
      <w:r>
        <w:t xml:space="preserve">roduct </w:t>
      </w:r>
      <w:r w:rsidR="00E54083">
        <w:t>P</w:t>
      </w:r>
      <w:r>
        <w:t>olicy</w:t>
      </w:r>
      <w:r w:rsidR="00E54083">
        <w:t>’</w:t>
      </w:r>
      <w:r w:rsidR="00F87003">
        <w:rPr>
          <w:rStyle w:val="FootnoteReference"/>
        </w:rPr>
        <w:footnoteReference w:id="70"/>
      </w:r>
      <w:r>
        <w:t xml:space="preserve"> and interviews </w:t>
      </w:r>
      <w:r w:rsidRPr="00A25523">
        <w:t>with product energy efficiency policy experts</w:t>
      </w:r>
      <w:r>
        <w:t xml:space="preserve"> suggest that most </w:t>
      </w:r>
      <w:r w:rsidR="00E54083">
        <w:t>economies</w:t>
      </w:r>
      <w:r>
        <w:t xml:space="preserve"> have moved away from </w:t>
      </w:r>
      <w:r w:rsidRPr="00E70EF0">
        <w:rPr>
          <w:lang w:val="en-AU"/>
        </w:rPr>
        <w:t>voluntary schemes for the following reasons:</w:t>
      </w:r>
    </w:p>
    <w:p w14:paraId="3C4C7756" w14:textId="77777777" w:rsidR="00B13EC5" w:rsidRPr="00E70EF0" w:rsidRDefault="00BD61C0" w:rsidP="0014642D">
      <w:pPr>
        <w:numPr>
          <w:ilvl w:val="1"/>
          <w:numId w:val="15"/>
        </w:numPr>
        <w:spacing w:after="0"/>
        <w:ind w:left="709"/>
        <w:rPr>
          <w:lang w:val="en-AU"/>
        </w:rPr>
      </w:pPr>
      <w:r>
        <w:rPr>
          <w:lang w:val="en-AU"/>
        </w:rPr>
        <w:t>d</w:t>
      </w:r>
      <w:r w:rsidR="00B13EC5" w:rsidRPr="00E70EF0">
        <w:rPr>
          <w:lang w:val="en-AU"/>
        </w:rPr>
        <w:t>ifficulties in finding a group of industrial partners to negotiate with</w:t>
      </w:r>
      <w:r w:rsidR="00E54083">
        <w:rPr>
          <w:lang w:val="en-AU"/>
        </w:rPr>
        <w:t>,</w:t>
      </w:r>
      <w:r w:rsidR="00B13EC5" w:rsidRPr="00E70EF0">
        <w:rPr>
          <w:lang w:val="en-AU"/>
        </w:rPr>
        <w:t xml:space="preserve"> that account for a large enough proportion of the products sold on the market</w:t>
      </w:r>
      <w:r>
        <w:rPr>
          <w:lang w:val="en-AU"/>
        </w:rPr>
        <w:t>;</w:t>
      </w:r>
    </w:p>
    <w:p w14:paraId="5C8AED97" w14:textId="77777777" w:rsidR="00BD61C0" w:rsidRDefault="00BD61C0" w:rsidP="00BD61C0">
      <w:pPr>
        <w:numPr>
          <w:ilvl w:val="1"/>
          <w:numId w:val="15"/>
        </w:numPr>
        <w:spacing w:after="0"/>
        <w:ind w:left="709"/>
        <w:rPr>
          <w:lang w:val="en-AU"/>
        </w:rPr>
      </w:pPr>
      <w:r>
        <w:rPr>
          <w:lang w:val="en-AU"/>
        </w:rPr>
        <w:t>p</w:t>
      </w:r>
      <w:r w:rsidR="00B13EC5" w:rsidRPr="00BD61C0">
        <w:rPr>
          <w:lang w:val="en-AU"/>
        </w:rPr>
        <w:t>roblems of monitoring compliance</w:t>
      </w:r>
      <w:r>
        <w:rPr>
          <w:lang w:val="en-AU"/>
        </w:rPr>
        <w:t>;</w:t>
      </w:r>
    </w:p>
    <w:p w14:paraId="58C9A168" w14:textId="77777777" w:rsidR="00BD61C0" w:rsidRDefault="00BD61C0" w:rsidP="00BD61C0">
      <w:pPr>
        <w:numPr>
          <w:ilvl w:val="1"/>
          <w:numId w:val="15"/>
        </w:numPr>
        <w:spacing w:after="0"/>
        <w:ind w:left="709"/>
        <w:rPr>
          <w:lang w:val="en-AU"/>
        </w:rPr>
      </w:pPr>
      <w:r>
        <w:rPr>
          <w:lang w:val="en-AU"/>
        </w:rPr>
        <w:t>n</w:t>
      </w:r>
      <w:r w:rsidR="00B13EC5" w:rsidRPr="00BD61C0">
        <w:rPr>
          <w:lang w:val="en-AU"/>
        </w:rPr>
        <w:t>egotiations</w:t>
      </w:r>
      <w:r>
        <w:rPr>
          <w:lang w:val="en-AU"/>
        </w:rPr>
        <w:t>, which are often protracted and time consuming</w:t>
      </w:r>
      <w:r w:rsidR="00E54083">
        <w:rPr>
          <w:lang w:val="en-AU"/>
        </w:rPr>
        <w:t>;</w:t>
      </w:r>
    </w:p>
    <w:p w14:paraId="4A41EDAB" w14:textId="77777777" w:rsidR="00B13EC5" w:rsidRPr="00BD61C0" w:rsidRDefault="00B13EC5" w:rsidP="00BD61C0">
      <w:pPr>
        <w:numPr>
          <w:ilvl w:val="1"/>
          <w:numId w:val="15"/>
        </w:numPr>
        <w:spacing w:after="0"/>
        <w:ind w:left="709"/>
        <w:rPr>
          <w:lang w:val="en-AU"/>
        </w:rPr>
      </w:pPr>
      <w:r w:rsidRPr="00BD61C0">
        <w:rPr>
          <w:lang w:val="en-AU"/>
        </w:rPr>
        <w:t>lack of legal recourse in the event of breaches</w:t>
      </w:r>
      <w:r w:rsidR="00336AFB" w:rsidRPr="00BD61C0">
        <w:rPr>
          <w:lang w:val="en-AU"/>
        </w:rPr>
        <w:t>; and</w:t>
      </w:r>
    </w:p>
    <w:p w14:paraId="5E479F9F" w14:textId="77777777" w:rsidR="00B13EC5" w:rsidRPr="00E70EF0" w:rsidRDefault="00BD61C0" w:rsidP="0014642D">
      <w:pPr>
        <w:numPr>
          <w:ilvl w:val="1"/>
          <w:numId w:val="15"/>
        </w:numPr>
        <w:spacing w:after="0"/>
        <w:ind w:left="709"/>
        <w:rPr>
          <w:lang w:val="en-AU"/>
        </w:rPr>
      </w:pPr>
      <w:r>
        <w:rPr>
          <w:lang w:val="en-AU"/>
        </w:rPr>
        <w:t>c</w:t>
      </w:r>
      <w:r w:rsidR="00B13EC5">
        <w:rPr>
          <w:lang w:val="en-AU"/>
        </w:rPr>
        <w:t>onsequent lack of confidence in the achievement of policy objectives.</w:t>
      </w:r>
    </w:p>
    <w:p w14:paraId="7CC3832E" w14:textId="77777777" w:rsidR="00B13EC5" w:rsidRPr="00E70EF0" w:rsidRDefault="00B13EC5" w:rsidP="009F4031">
      <w:pPr>
        <w:spacing w:after="0"/>
        <w:rPr>
          <w:lang w:val="en-AU"/>
        </w:rPr>
      </w:pPr>
      <w:r>
        <w:rPr>
          <w:lang w:val="en-AU"/>
        </w:rPr>
        <w:t>The ECOS</w:t>
      </w:r>
      <w:r w:rsidRPr="00E70EF0">
        <w:rPr>
          <w:lang w:val="en-AU"/>
        </w:rPr>
        <w:t xml:space="preserve"> review also reported that many industry associations acknowledge these difficulties and </w:t>
      </w:r>
      <w:r w:rsidR="00BD61C0">
        <w:rPr>
          <w:lang w:val="en-AU"/>
        </w:rPr>
        <w:t xml:space="preserve">tend to </w:t>
      </w:r>
      <w:r w:rsidRPr="00E70EF0">
        <w:rPr>
          <w:lang w:val="en-AU"/>
        </w:rPr>
        <w:t xml:space="preserve">prefer the clarity of a legally binding standard that is sure to apply a level playing field. </w:t>
      </w:r>
    </w:p>
    <w:p w14:paraId="738C758B" w14:textId="77777777" w:rsidR="00B13EC5" w:rsidRDefault="00B13EC5" w:rsidP="009F4031">
      <w:pPr>
        <w:spacing w:after="0"/>
      </w:pPr>
    </w:p>
    <w:p w14:paraId="6E863CD2" w14:textId="77777777" w:rsidR="00B13EC5" w:rsidRPr="00B135BA" w:rsidRDefault="00B13EC5" w:rsidP="009F4031">
      <w:pPr>
        <w:rPr>
          <w:u w:val="single"/>
        </w:rPr>
      </w:pPr>
      <w:r w:rsidRPr="00B135BA">
        <w:rPr>
          <w:u w:val="single"/>
        </w:rPr>
        <w:t>National experience</w:t>
      </w:r>
      <w:r>
        <w:rPr>
          <w:u w:val="single"/>
        </w:rPr>
        <w:t xml:space="preserve"> and learnings</w:t>
      </w:r>
    </w:p>
    <w:p w14:paraId="2ED830B6" w14:textId="77777777" w:rsidR="007070B3" w:rsidRDefault="0009189E" w:rsidP="00983742">
      <w:pPr>
        <w:pStyle w:val="ColorfulList-Accent12"/>
        <w:ind w:left="0"/>
      </w:pPr>
      <w:r>
        <w:t>V</w:t>
      </w:r>
      <w:r w:rsidR="007070B3">
        <w:t>oluntary standards are explored at several stages within the GEMS policy development process (e.g. product profiles, consultation and decision RISs</w:t>
      </w:r>
      <w:r w:rsidR="007070B3">
        <w:rPr>
          <w:rStyle w:val="FootnoteReference"/>
        </w:rPr>
        <w:footnoteReference w:id="71"/>
      </w:r>
      <w:r w:rsidR="007070B3">
        <w:t>) but in almost all cases, the conclusion has been to opt for regulation for similar reasons to those reported above.</w:t>
      </w:r>
    </w:p>
    <w:p w14:paraId="36D189AA" w14:textId="77777777" w:rsidR="007070B3" w:rsidRDefault="007070B3" w:rsidP="00983742">
      <w:pPr>
        <w:pStyle w:val="ColorfulList-Accent12"/>
        <w:ind w:left="0"/>
      </w:pPr>
    </w:p>
    <w:p w14:paraId="1F9B068B" w14:textId="77777777" w:rsidR="00B72632" w:rsidRDefault="007070B3" w:rsidP="00983742">
      <w:pPr>
        <w:pStyle w:val="ColorfulList-Accent12"/>
        <w:ind w:left="0"/>
      </w:pPr>
      <w:r>
        <w:t xml:space="preserve">There are some examples where voluntary approaches have been tested in Australia. </w:t>
      </w:r>
    </w:p>
    <w:p w14:paraId="1956B66D" w14:textId="77777777" w:rsidR="00B13EC5" w:rsidRDefault="00B72632" w:rsidP="00320FDC">
      <w:pPr>
        <w:pStyle w:val="ColorfulList-Accent12"/>
        <w:numPr>
          <w:ilvl w:val="3"/>
          <w:numId w:val="26"/>
        </w:numPr>
        <w:ind w:left="567"/>
      </w:pPr>
      <w:r>
        <w:rPr>
          <w:u w:val="single"/>
        </w:rPr>
        <w:t>Gas water heaters</w:t>
      </w:r>
      <w:r w:rsidRPr="00997283">
        <w:t>:  W</w:t>
      </w:r>
      <w:r w:rsidR="007070B3" w:rsidRPr="00997283">
        <w:t xml:space="preserve">hen E3 initiated development of standards for gas water heaters in 2006, </w:t>
      </w:r>
      <w:r w:rsidR="007070B3" w:rsidRPr="00D06DE3">
        <w:t>t</w:t>
      </w:r>
      <w:r w:rsidR="00BD61C0" w:rsidRPr="00D06DE3">
        <w:t xml:space="preserve">he </w:t>
      </w:r>
      <w:r w:rsidR="00B13EC5" w:rsidRPr="00D06DE3">
        <w:t>E3</w:t>
      </w:r>
      <w:r w:rsidR="00B13EC5" w:rsidRPr="006D4021">
        <w:t xml:space="preserve"> </w:t>
      </w:r>
      <w:r w:rsidR="00BD61C0">
        <w:t xml:space="preserve">Committee initially </w:t>
      </w:r>
      <w:r w:rsidR="00B13EC5" w:rsidRPr="006D4021">
        <w:t>proposed that suppliers devise a voluntary program of retiring the least efficient water heaters</w:t>
      </w:r>
      <w:r w:rsidR="00BD61C0">
        <w:t xml:space="preserve"> and offered assistance to support it</w:t>
      </w:r>
      <w:r w:rsidR="00BD61C0">
        <w:rPr>
          <w:rStyle w:val="FootnoteReference"/>
        </w:rPr>
        <w:footnoteReference w:id="72"/>
      </w:r>
      <w:r w:rsidR="00BD61C0">
        <w:t xml:space="preserve">. </w:t>
      </w:r>
      <w:r w:rsidR="00D36DF6">
        <w:t xml:space="preserve"> </w:t>
      </w:r>
      <w:r w:rsidR="00B13EC5" w:rsidRPr="006D4021">
        <w:t>However,</w:t>
      </w:r>
      <w:r w:rsidR="007070B3">
        <w:t xml:space="preserve"> E3 representatives reported that suppliers </w:t>
      </w:r>
      <w:r w:rsidR="00B13EC5" w:rsidRPr="006D4021">
        <w:t xml:space="preserve">did not </w:t>
      </w:r>
      <w:r w:rsidR="00B13EC5" w:rsidRPr="007B0EFA">
        <w:t xml:space="preserve">respond </w:t>
      </w:r>
      <w:r w:rsidR="007070B3">
        <w:t xml:space="preserve">satisfactorily </w:t>
      </w:r>
      <w:r w:rsidR="00B13EC5" w:rsidRPr="007B0EFA">
        <w:t>and concluded that there was no prospect of significant voluntary change at that time.  Subsequently</w:t>
      </w:r>
      <w:r w:rsidR="00B13EC5">
        <w:t xml:space="preserve"> mandatory MEPS were brought in for gas water heaters.  </w:t>
      </w:r>
    </w:p>
    <w:p w14:paraId="2EA1225B" w14:textId="77777777" w:rsidR="00C816FB" w:rsidRPr="00D06DE3" w:rsidRDefault="00B72632" w:rsidP="00320FDC">
      <w:pPr>
        <w:pStyle w:val="ColorfulList-Accent12"/>
        <w:numPr>
          <w:ilvl w:val="3"/>
          <w:numId w:val="26"/>
        </w:numPr>
        <w:ind w:left="567"/>
      </w:pPr>
      <w:r w:rsidRPr="00B72632">
        <w:rPr>
          <w:u w:val="single"/>
        </w:rPr>
        <w:t>Set Top Boxes</w:t>
      </w:r>
      <w:r w:rsidRPr="00997283">
        <w:t xml:space="preserve">:  In 2009, FOXTEL and AUSTAR worked with </w:t>
      </w:r>
      <w:r w:rsidR="00E54083">
        <w:t xml:space="preserve">the </w:t>
      </w:r>
      <w:r w:rsidRPr="00997283">
        <w:t>D</w:t>
      </w:r>
      <w:r w:rsidR="00E54083">
        <w:t>epartment of Climate Change and Energy Efficiency</w:t>
      </w:r>
      <w:r w:rsidRPr="00997283">
        <w:rPr>
          <w:rStyle w:val="FootnoteReference"/>
        </w:rPr>
        <w:footnoteReference w:id="73"/>
      </w:r>
      <w:r w:rsidR="00C816FB" w:rsidRPr="00997283">
        <w:t xml:space="preserve"> </w:t>
      </w:r>
      <w:r w:rsidR="00E54083">
        <w:t xml:space="preserve">to </w:t>
      </w:r>
      <w:r w:rsidR="00C816FB" w:rsidRPr="00997283">
        <w:t>develop a voluntary code of conduct, which required signatories to meet minimum total energy consumption targets and design set top boxes to minimise energy consumption</w:t>
      </w:r>
      <w:r w:rsidR="00C816FB" w:rsidRPr="00997283">
        <w:rPr>
          <w:rStyle w:val="FootnoteReference"/>
        </w:rPr>
        <w:footnoteReference w:id="74"/>
      </w:r>
      <w:r w:rsidR="00C816FB" w:rsidRPr="00997283">
        <w:t xml:space="preserve">.  The scheme is perceived by stakeholders to be successful, mainly because the few major product suppliers recognised the benefits of developing and shaping a voluntary approach and have signed up to it. </w:t>
      </w:r>
    </w:p>
    <w:p w14:paraId="76AFBDB8" w14:textId="77777777" w:rsidR="00B72632" w:rsidRDefault="00B72632" w:rsidP="00983742">
      <w:pPr>
        <w:pStyle w:val="ColorfulList-Accent12"/>
        <w:spacing w:after="0"/>
        <w:ind w:left="0"/>
      </w:pPr>
    </w:p>
    <w:p w14:paraId="4F0E32AE" w14:textId="77777777" w:rsidR="00B13EC5" w:rsidRPr="007B0EFA" w:rsidRDefault="00B13EC5" w:rsidP="009F4031">
      <w:pPr>
        <w:rPr>
          <w:u w:val="single"/>
        </w:rPr>
      </w:pPr>
      <w:r w:rsidRPr="007B0EFA">
        <w:rPr>
          <w:u w:val="single"/>
        </w:rPr>
        <w:t>Stakeholder views</w:t>
      </w:r>
    </w:p>
    <w:p w14:paraId="6EBB1A58" w14:textId="77777777" w:rsidR="00B13EC5" w:rsidRDefault="00B13EC5" w:rsidP="009F4031">
      <w:r>
        <w:t>Insights from the interviews with stakeholders showed broad and strong support for MEPS to be mandatory across all groups.  In particular:</w:t>
      </w:r>
    </w:p>
    <w:p w14:paraId="1AEE99B5" w14:textId="77777777" w:rsidR="00B13EC5" w:rsidRPr="00BF0ABC" w:rsidRDefault="00B13EC5" w:rsidP="0014642D">
      <w:pPr>
        <w:pStyle w:val="ColorfulList-Accent12"/>
        <w:numPr>
          <w:ilvl w:val="0"/>
          <w:numId w:val="15"/>
        </w:numPr>
        <w:rPr>
          <w:i/>
          <w:lang w:val="en-AU"/>
        </w:rPr>
      </w:pPr>
      <w:r w:rsidRPr="00050010">
        <w:rPr>
          <w:u w:val="single"/>
        </w:rPr>
        <w:t>Consumer representatives</w:t>
      </w:r>
      <w:r>
        <w:t xml:space="preserve"> showed concern that a move away from this would be a retrograde step, removing necessary consumer protection and trust.</w:t>
      </w:r>
    </w:p>
    <w:p w14:paraId="4E8B726B" w14:textId="77777777" w:rsidR="00B13EC5" w:rsidRPr="0072167E" w:rsidRDefault="00B13EC5" w:rsidP="009F4031">
      <w:pPr>
        <w:pStyle w:val="ColorfulList-Accent12"/>
        <w:ind w:left="405"/>
        <w:rPr>
          <w:i/>
          <w:lang w:val="en-AU"/>
        </w:rPr>
      </w:pPr>
      <w:r w:rsidRPr="0072167E">
        <w:rPr>
          <w:i/>
          <w:lang w:val="en-AU"/>
        </w:rPr>
        <w:t xml:space="preserve">“It’s a highly successful program and it’s well respected and been in place for some time. </w:t>
      </w:r>
      <w:r w:rsidR="00D36DF6">
        <w:rPr>
          <w:i/>
          <w:lang w:val="en-AU"/>
        </w:rPr>
        <w:t xml:space="preserve"> </w:t>
      </w:r>
      <w:r w:rsidRPr="0072167E">
        <w:rPr>
          <w:i/>
          <w:lang w:val="en-AU"/>
        </w:rPr>
        <w:t xml:space="preserve">I think consumers would be devastated to see any weakening of the scheme or any attempts to hand over any apparent control to industry.” </w:t>
      </w:r>
      <w:r w:rsidRPr="00BB2F6D">
        <w:rPr>
          <w:lang w:val="en-AU"/>
        </w:rPr>
        <w:t>(Consumer representative)</w:t>
      </w:r>
    </w:p>
    <w:p w14:paraId="56B15F84" w14:textId="77777777" w:rsidR="00B13EC5" w:rsidRDefault="00B13EC5" w:rsidP="009F4031">
      <w:pPr>
        <w:pStyle w:val="ColorfulList-Accent12"/>
        <w:ind w:left="405"/>
      </w:pPr>
    </w:p>
    <w:p w14:paraId="6DAA3353" w14:textId="77777777" w:rsidR="00B13EC5" w:rsidRDefault="00B13EC5" w:rsidP="0014642D">
      <w:pPr>
        <w:pStyle w:val="ColorfulList-Accent12"/>
        <w:numPr>
          <w:ilvl w:val="0"/>
          <w:numId w:val="15"/>
        </w:numPr>
      </w:pPr>
      <w:r w:rsidRPr="00050010">
        <w:rPr>
          <w:u w:val="single"/>
        </w:rPr>
        <w:t>Industry</w:t>
      </w:r>
      <w:r>
        <w:t xml:space="preserve"> cited desires for a level playing field, transparency and robustness.  </w:t>
      </w:r>
    </w:p>
    <w:p w14:paraId="357FF854" w14:textId="77777777" w:rsidR="00B13EC5" w:rsidRPr="00050010" w:rsidRDefault="00B13EC5" w:rsidP="009F4031">
      <w:pPr>
        <w:pStyle w:val="ColorfulList-Accent12"/>
        <w:spacing w:after="0"/>
        <w:ind w:left="405"/>
        <w:rPr>
          <w:i/>
          <w:lang w:val="en-AU"/>
        </w:rPr>
      </w:pPr>
      <w:r>
        <w:rPr>
          <w:i/>
          <w:lang w:val="en-AU"/>
        </w:rPr>
        <w:t>“</w:t>
      </w:r>
      <w:r w:rsidRPr="00050010">
        <w:rPr>
          <w:i/>
          <w:lang w:val="en-AU"/>
        </w:rPr>
        <w:t xml:space="preserve">If </w:t>
      </w:r>
      <w:r>
        <w:rPr>
          <w:i/>
          <w:lang w:val="en-AU"/>
        </w:rPr>
        <w:t xml:space="preserve">it was </w:t>
      </w:r>
      <w:r w:rsidRPr="00050010">
        <w:rPr>
          <w:i/>
          <w:lang w:val="en-AU"/>
        </w:rPr>
        <w:t>a voluntary scheme there would be a lot of parallel imports and unknown brands. It doesn't support those doing the right thing and being fair competition.</w:t>
      </w:r>
      <w:r>
        <w:rPr>
          <w:i/>
          <w:lang w:val="en-AU"/>
        </w:rPr>
        <w:t xml:space="preserve">” </w:t>
      </w:r>
      <w:r w:rsidR="00336AFB">
        <w:rPr>
          <w:lang w:val="en-AU"/>
        </w:rPr>
        <w:t>(Product supplier)</w:t>
      </w:r>
    </w:p>
    <w:p w14:paraId="09668E0E" w14:textId="77777777" w:rsidR="00B13EC5" w:rsidRPr="00CF6813" w:rsidRDefault="00B13EC5" w:rsidP="009F4031">
      <w:pPr>
        <w:pStyle w:val="ColorfulList-Accent12"/>
        <w:spacing w:after="0"/>
        <w:ind w:left="405"/>
      </w:pPr>
    </w:p>
    <w:p w14:paraId="3E6452E7" w14:textId="77777777" w:rsidR="00B34017" w:rsidRDefault="00B13EC5" w:rsidP="0014642D">
      <w:pPr>
        <w:pStyle w:val="ColorfulList-Accent12"/>
        <w:numPr>
          <w:ilvl w:val="0"/>
          <w:numId w:val="15"/>
        </w:numPr>
        <w:spacing w:after="0"/>
      </w:pPr>
      <w:r w:rsidRPr="00050010">
        <w:rPr>
          <w:u w:val="single"/>
        </w:rPr>
        <w:t>Government</w:t>
      </w:r>
      <w:r>
        <w:t xml:space="preserve"> respondents also voiced broad support for mandatory approaches, although a few stated that there was a potential role for voluntary measures, </w:t>
      </w:r>
      <w:r w:rsidR="00B34017">
        <w:t xml:space="preserve">for example having a voluntary compliance period in the lead up to mandatory implementation to allow the market to prepare. </w:t>
      </w:r>
    </w:p>
    <w:p w14:paraId="29CD3B04" w14:textId="77777777" w:rsidR="00B13EC5" w:rsidRPr="00360CF8" w:rsidRDefault="00B34017" w:rsidP="009F4031">
      <w:pPr>
        <w:spacing w:after="0"/>
        <w:ind w:left="426"/>
        <w:rPr>
          <w:i/>
          <w:lang w:val="en-AU"/>
        </w:rPr>
      </w:pPr>
      <w:r w:rsidDel="00B34017">
        <w:t xml:space="preserve"> </w:t>
      </w:r>
      <w:r w:rsidR="00B13EC5">
        <w:rPr>
          <w:i/>
          <w:lang w:val="en-AU"/>
        </w:rPr>
        <w:t>“</w:t>
      </w:r>
      <w:r w:rsidR="00B13EC5" w:rsidRPr="00360CF8">
        <w:rPr>
          <w:i/>
          <w:lang w:val="en-AU"/>
        </w:rPr>
        <w:t>Occasionally a voluntary period could feed into a mandatory period to allow market take-up.</w:t>
      </w:r>
      <w:r w:rsidR="00B13EC5">
        <w:rPr>
          <w:i/>
          <w:lang w:val="en-AU"/>
        </w:rPr>
        <w:t>”</w:t>
      </w:r>
      <w:r w:rsidR="00B13EC5" w:rsidRPr="00360CF8">
        <w:rPr>
          <w:i/>
          <w:lang w:val="en-AU"/>
        </w:rPr>
        <w:t xml:space="preserve"> </w:t>
      </w:r>
      <w:r w:rsidR="00336AFB">
        <w:rPr>
          <w:lang w:val="en-AU"/>
        </w:rPr>
        <w:t>(Government representative)</w:t>
      </w:r>
    </w:p>
    <w:p w14:paraId="415DCCCA" w14:textId="77777777" w:rsidR="00B13EC5" w:rsidRDefault="00B13EC5" w:rsidP="009F4031">
      <w:pPr>
        <w:spacing w:after="0"/>
      </w:pPr>
    </w:p>
    <w:p w14:paraId="46862E09" w14:textId="77777777" w:rsidR="00B13EC5" w:rsidRDefault="00B13EC5" w:rsidP="0014642D">
      <w:pPr>
        <w:pStyle w:val="ColorfulList-Accent12"/>
        <w:numPr>
          <w:ilvl w:val="0"/>
          <w:numId w:val="15"/>
        </w:numPr>
        <w:spacing w:after="0"/>
      </w:pPr>
      <w:r w:rsidRPr="0072167E">
        <w:rPr>
          <w:u w:val="single"/>
        </w:rPr>
        <w:t>Technical experts</w:t>
      </w:r>
      <w:r>
        <w:t xml:space="preserve"> also voiced concerns about voluntary approaches.</w:t>
      </w:r>
    </w:p>
    <w:p w14:paraId="24A0E224" w14:textId="77777777" w:rsidR="00B13EC5" w:rsidRDefault="00B13EC5" w:rsidP="009F4031">
      <w:pPr>
        <w:pStyle w:val="ColorfulList-Accent12"/>
        <w:spacing w:after="0"/>
        <w:ind w:left="405"/>
      </w:pPr>
      <w:r>
        <w:rPr>
          <w:i/>
        </w:rPr>
        <w:t>“</w:t>
      </w:r>
      <w:r w:rsidRPr="00CF6813">
        <w:rPr>
          <w:i/>
        </w:rPr>
        <w:t xml:space="preserve">Voluntary </w:t>
      </w:r>
      <w:r>
        <w:rPr>
          <w:i/>
        </w:rPr>
        <w:t>measures</w:t>
      </w:r>
      <w:r w:rsidRPr="00CF6813">
        <w:rPr>
          <w:i/>
        </w:rPr>
        <w:t xml:space="preserve"> are not very useful - as often only a handful of products</w:t>
      </w:r>
      <w:r w:rsidR="00B34017">
        <w:rPr>
          <w:i/>
        </w:rPr>
        <w:t xml:space="preserve"> [suppliers]</w:t>
      </w:r>
      <w:r w:rsidRPr="00CF6813">
        <w:rPr>
          <w:i/>
        </w:rPr>
        <w:t xml:space="preserve"> engage. If you're going to have energy declarations, it really doesn't make any sense for them not to be mandator</w:t>
      </w:r>
      <w:r>
        <w:rPr>
          <w:i/>
        </w:rPr>
        <w:t>y”</w:t>
      </w:r>
      <w:r w:rsidRPr="00CF6813">
        <w:rPr>
          <w:i/>
        </w:rPr>
        <w:t>.</w:t>
      </w:r>
      <w:r>
        <w:rPr>
          <w:i/>
        </w:rPr>
        <w:t xml:space="preserve"> </w:t>
      </w:r>
      <w:r w:rsidR="00336AFB">
        <w:t>(Technical expert)</w:t>
      </w:r>
    </w:p>
    <w:p w14:paraId="4B1054DF" w14:textId="77777777" w:rsidR="00580B13" w:rsidRDefault="00580B13" w:rsidP="009F4031">
      <w:pPr>
        <w:pStyle w:val="ColorfulList-Accent12"/>
        <w:spacing w:after="0"/>
        <w:ind w:left="405"/>
      </w:pPr>
    </w:p>
    <w:p w14:paraId="4C94C807" w14:textId="77777777" w:rsidR="00B13EC5" w:rsidRDefault="00580B13" w:rsidP="00983742">
      <w:pPr>
        <w:pStyle w:val="ColorfulList-Accent12"/>
        <w:spacing w:after="0"/>
        <w:ind w:left="405"/>
        <w:rPr>
          <w:lang w:val="en-AU"/>
        </w:rPr>
      </w:pPr>
      <w:r>
        <w:t xml:space="preserve">International voluntary approaches, such as </w:t>
      </w:r>
      <w:r w:rsidR="001933D0">
        <w:t xml:space="preserve">Japan’s </w:t>
      </w:r>
      <w:r>
        <w:t>Top Runner were discussed with technical experts to explore whether, and if so how</w:t>
      </w:r>
      <w:r w:rsidR="001933D0">
        <w:t>,</w:t>
      </w:r>
      <w:r>
        <w:t xml:space="preserve"> they could be applied to the Australian and New Zealand markets.  Respondents</w:t>
      </w:r>
      <w:r w:rsidR="00B13EC5" w:rsidRPr="00ED2DC5">
        <w:rPr>
          <w:lang w:val="en-AU"/>
        </w:rPr>
        <w:t xml:space="preserve"> stated that </w:t>
      </w:r>
      <w:r w:rsidR="001933D0">
        <w:rPr>
          <w:lang w:val="en-AU"/>
        </w:rPr>
        <w:t xml:space="preserve">the </w:t>
      </w:r>
      <w:r>
        <w:rPr>
          <w:lang w:val="en-AU"/>
        </w:rPr>
        <w:t xml:space="preserve">Top Runner approach would not work well domestically as the market has </w:t>
      </w:r>
      <w:r w:rsidR="00B13EC5">
        <w:rPr>
          <w:lang w:val="en-AU"/>
        </w:rPr>
        <w:t xml:space="preserve">little domestic manufacturing industry, and/or willingness/ability to accept strict standards which would be adhered to by all without regulation.  </w:t>
      </w:r>
    </w:p>
    <w:p w14:paraId="02CA864B" w14:textId="77777777" w:rsidR="00B13EC5" w:rsidRDefault="00B13EC5" w:rsidP="009F4031">
      <w:pPr>
        <w:pStyle w:val="Heading3"/>
      </w:pPr>
      <w:bookmarkStart w:id="48" w:name="_Toc422298381"/>
      <w:r>
        <w:t>Labelling</w:t>
      </w:r>
      <w:bookmarkEnd w:id="48"/>
    </w:p>
    <w:p w14:paraId="2E8EA53E" w14:textId="77777777" w:rsidR="0063051A" w:rsidRDefault="00B13EC5" w:rsidP="009F4031">
      <w:r w:rsidRPr="007451A4">
        <w:rPr>
          <w:b/>
        </w:rPr>
        <w:t>Comparison labelling</w:t>
      </w:r>
    </w:p>
    <w:p w14:paraId="316605A2" w14:textId="77777777" w:rsidR="00B13EC5" w:rsidRDefault="00B13EC5" w:rsidP="009F4031">
      <w:r>
        <w:t>Comparison labelling can be either mandatory or voluntary</w:t>
      </w:r>
      <w:r w:rsidR="008E448B">
        <w:t xml:space="preserve">.  However, in order for it to be useful (e.g. in retail outlets) all or most products need to be labelled, which means it is usually mandatory.  </w:t>
      </w:r>
      <w:r>
        <w:t xml:space="preserve"> According to the</w:t>
      </w:r>
      <w:r w:rsidR="0009189E">
        <w:t xml:space="preserve"> ‘</w:t>
      </w:r>
      <w:r w:rsidRPr="00F16BCD">
        <w:t xml:space="preserve">Energy Standards and Labelling Programs throughout the World </w:t>
      </w:r>
      <w:r>
        <w:t>report</w:t>
      </w:r>
      <w:r w:rsidR="001933D0">
        <w:t>’</w:t>
      </w:r>
      <w:r w:rsidR="00580B13">
        <w:rPr>
          <w:rStyle w:val="FootnoteReference"/>
        </w:rPr>
        <w:footnoteReference w:id="75"/>
      </w:r>
      <w:r>
        <w:t>, as of 2013</w:t>
      </w:r>
      <w:r w:rsidR="001933D0">
        <w:t>,</w:t>
      </w:r>
      <w:r>
        <w:t xml:space="preserve"> there are </w:t>
      </w:r>
      <w:r w:rsidR="00576AF0">
        <w:t xml:space="preserve">1149 </w:t>
      </w:r>
      <w:r>
        <w:t>comparative labell</w:t>
      </w:r>
      <w:r w:rsidR="00576AF0">
        <w:t>ed measures</w:t>
      </w:r>
      <w:r>
        <w:t xml:space="preserve"> globally, </w:t>
      </w:r>
      <w:r w:rsidR="00576AF0">
        <w:t xml:space="preserve">used in 78 countries </w:t>
      </w:r>
      <w:r>
        <w:t>of which 90% are mandatory</w:t>
      </w:r>
      <w:r>
        <w:rPr>
          <w:rStyle w:val="FootnoteReference"/>
        </w:rPr>
        <w:footnoteReference w:id="76"/>
      </w:r>
      <w:r>
        <w:t xml:space="preserve"> (83% were mandatory in 2004).  </w:t>
      </w:r>
      <w:r w:rsidR="008E448B">
        <w:t xml:space="preserve">Instances of voluntary labelling are only currently found in developing economies. </w:t>
      </w:r>
    </w:p>
    <w:p w14:paraId="31F2D49F" w14:textId="77777777" w:rsidR="00D36DF6" w:rsidRDefault="00B13EC5" w:rsidP="009F4031">
      <w:r w:rsidRPr="007451A4">
        <w:rPr>
          <w:u w:val="single"/>
        </w:rPr>
        <w:t xml:space="preserve">Voluntary and mandatory </w:t>
      </w:r>
      <w:r w:rsidRPr="004F77F3">
        <w:rPr>
          <w:u w:val="single"/>
        </w:rPr>
        <w:t>labelling</w:t>
      </w:r>
      <w:r w:rsidR="004F77F3">
        <w:t xml:space="preserve">:  </w:t>
      </w:r>
      <w:r w:rsidRPr="004F77F3">
        <w:t>As</w:t>
      </w:r>
      <w:r w:rsidR="004F77F3">
        <w:t xml:space="preserve"> discussed further in </w:t>
      </w:r>
      <w:r w:rsidR="00300314">
        <w:t>S</w:t>
      </w:r>
      <w:r w:rsidR="004F77F3">
        <w:t xml:space="preserve">ection </w:t>
      </w:r>
      <w:r w:rsidR="004F77F3">
        <w:fldChar w:fldCharType="begin"/>
      </w:r>
      <w:r w:rsidR="004F77F3">
        <w:instrText xml:space="preserve"> REF _Ref405454887 \r \h </w:instrText>
      </w:r>
      <w:r w:rsidR="009F4031">
        <w:instrText xml:space="preserve"> \* MERGEFORMAT </w:instrText>
      </w:r>
      <w:r w:rsidR="004F77F3">
        <w:fldChar w:fldCharType="separate"/>
      </w:r>
      <w:r w:rsidR="00BE13BF">
        <w:t>6</w:t>
      </w:r>
      <w:r w:rsidR="004F77F3">
        <w:fldChar w:fldCharType="end"/>
      </w:r>
      <w:r>
        <w:t>, there is little evidence available on which to assess the outcomes of labelling schemes in isolation from other interventions</w:t>
      </w:r>
      <w:r w:rsidR="009253CB">
        <w:rPr>
          <w:i/>
          <w:iCs/>
        </w:rPr>
        <w:t xml:space="preserve">.  </w:t>
      </w:r>
      <w:r w:rsidR="009253CB" w:rsidRPr="009253CB">
        <w:rPr>
          <w:iCs/>
        </w:rPr>
        <w:t>(One exception is the</w:t>
      </w:r>
      <w:r w:rsidR="009253CB">
        <w:rPr>
          <w:i/>
          <w:iCs/>
        </w:rPr>
        <w:t xml:space="preserve"> </w:t>
      </w:r>
      <w:r w:rsidR="009253CB" w:rsidRPr="009253CB">
        <w:rPr>
          <w:iCs/>
        </w:rPr>
        <w:t>2010</w:t>
      </w:r>
      <w:r w:rsidR="009253CB">
        <w:rPr>
          <w:i/>
          <w:iCs/>
        </w:rPr>
        <w:t xml:space="preserve"> </w:t>
      </w:r>
      <w:r w:rsidR="009253CB" w:rsidRPr="009253CB">
        <w:rPr>
          <w:iCs/>
        </w:rPr>
        <w:t>evaluation of the actual energy savings attributable to energy labelling and MEPS programs implemented in Australia for household refrigeration products</w:t>
      </w:r>
      <w:r w:rsidR="009253CB">
        <w:rPr>
          <w:iCs/>
        </w:rPr>
        <w:t xml:space="preserve"> - see Section 5.1.2 for further discussion). </w:t>
      </w:r>
      <w:r>
        <w:t xml:space="preserve"> </w:t>
      </w:r>
      <w:r w:rsidR="009253CB">
        <w:t xml:space="preserve">There is also </w:t>
      </w:r>
      <w:r>
        <w:t>no evidence which allows for useful comparisons to be made between mandatory and voluntary schemes.  We therefore drew on stakeholder views and other evidence such as international product energy efficiency reviews which discuss the advantages and disadvantages of voluntary and mandatory comparison labelling schemes</w:t>
      </w:r>
      <w:r w:rsidR="00662BA7">
        <w:t>.</w:t>
      </w:r>
      <w:r>
        <w:t xml:space="preserve"> </w:t>
      </w:r>
    </w:p>
    <w:p w14:paraId="4BD39727" w14:textId="77777777" w:rsidR="00B13EC5" w:rsidRPr="007451A4" w:rsidRDefault="00B13EC5" w:rsidP="009F4031">
      <w:r w:rsidRPr="007451A4">
        <w:t>Voluntary</w:t>
      </w:r>
    </w:p>
    <w:p w14:paraId="0F5A8046" w14:textId="77777777" w:rsidR="00B13EC5" w:rsidRDefault="00B13EC5" w:rsidP="00320FDC">
      <w:pPr>
        <w:pStyle w:val="ColorfulList-Accent12"/>
        <w:numPr>
          <w:ilvl w:val="0"/>
          <w:numId w:val="22"/>
        </w:numPr>
      </w:pPr>
      <w:r>
        <w:t xml:space="preserve"> Advantages:  </w:t>
      </w:r>
    </w:p>
    <w:p w14:paraId="1DF7AD63" w14:textId="77777777" w:rsidR="00B13EC5" w:rsidRDefault="00B13EC5" w:rsidP="00320FDC">
      <w:pPr>
        <w:pStyle w:val="ColorfulList-Accent12"/>
        <w:numPr>
          <w:ilvl w:val="1"/>
          <w:numId w:val="22"/>
        </w:numPr>
      </w:pPr>
      <w:r>
        <w:t>Po</w:t>
      </w:r>
      <w:r w:rsidR="00121472">
        <w:t>tential</w:t>
      </w:r>
      <w:r>
        <w:t xml:space="preserve"> savings for the tax payer</w:t>
      </w:r>
      <w:r w:rsidR="00121472">
        <w:t xml:space="preserve"> </w:t>
      </w:r>
      <w:r w:rsidR="005D0425">
        <w:t xml:space="preserve">as </w:t>
      </w:r>
      <w:r>
        <w:t>industry may be able to run schemes more efficiently</w:t>
      </w:r>
      <w:r w:rsidR="009918A7">
        <w:t xml:space="preserve"> (although some stakeholders stated that in the Australian experience, this has not necessarily been the case)</w:t>
      </w:r>
      <w:r w:rsidR="005D0425">
        <w:t>; and</w:t>
      </w:r>
    </w:p>
    <w:p w14:paraId="41C36C08" w14:textId="77777777" w:rsidR="00B13EC5" w:rsidRDefault="00121472" w:rsidP="00320FDC">
      <w:pPr>
        <w:pStyle w:val="ColorfulList-Accent12"/>
        <w:numPr>
          <w:ilvl w:val="1"/>
          <w:numId w:val="22"/>
        </w:numPr>
      </w:pPr>
      <w:r>
        <w:t xml:space="preserve">Benefits </w:t>
      </w:r>
      <w:r w:rsidR="00B13EC5">
        <w:t>for industry as they would have full control over design and implementation.</w:t>
      </w:r>
    </w:p>
    <w:p w14:paraId="01144A2C" w14:textId="77777777" w:rsidR="00B13EC5" w:rsidRDefault="00B13EC5" w:rsidP="009F4031">
      <w:pPr>
        <w:pStyle w:val="ColorfulList-Accent12"/>
        <w:ind w:left="1125"/>
      </w:pPr>
    </w:p>
    <w:p w14:paraId="026E369B" w14:textId="77777777" w:rsidR="00B13EC5" w:rsidRDefault="00B13EC5" w:rsidP="00320FDC">
      <w:pPr>
        <w:pStyle w:val="ColorfulList-Accent12"/>
        <w:numPr>
          <w:ilvl w:val="0"/>
          <w:numId w:val="22"/>
        </w:numPr>
      </w:pPr>
      <w:r>
        <w:t xml:space="preserve">Disadvantages </w:t>
      </w:r>
      <w:r w:rsidR="00454DFA">
        <w:t xml:space="preserve">for </w:t>
      </w:r>
      <w:r w:rsidR="009918A7">
        <w:rPr>
          <w:lang w:val="en-AU"/>
        </w:rPr>
        <w:t>Australia (in partnership with New Zealand)</w:t>
      </w:r>
      <w:r w:rsidR="000C7571">
        <w:rPr>
          <w:lang w:val="en-AU"/>
        </w:rPr>
        <w:t>:</w:t>
      </w:r>
    </w:p>
    <w:p w14:paraId="593189C3" w14:textId="77777777" w:rsidR="00705988" w:rsidRDefault="00705988" w:rsidP="00320FDC">
      <w:pPr>
        <w:pStyle w:val="ColorfulList-Accent12"/>
        <w:numPr>
          <w:ilvl w:val="1"/>
          <w:numId w:val="22"/>
        </w:numPr>
      </w:pPr>
      <w:r>
        <w:t>Risk of reduced outcomes arising from a market led approach to tackling market failures</w:t>
      </w:r>
      <w:r w:rsidR="008E448B">
        <w:t xml:space="preserve"> (i.e. consumer may have less trust in information provided by industry)</w:t>
      </w:r>
      <w:r w:rsidR="005D0425">
        <w:t>;</w:t>
      </w:r>
    </w:p>
    <w:p w14:paraId="5C7EDEAE" w14:textId="77777777" w:rsidR="00B13EC5" w:rsidRDefault="00121472" w:rsidP="00320FDC">
      <w:pPr>
        <w:pStyle w:val="ColorfulList-Accent12"/>
        <w:numPr>
          <w:ilvl w:val="1"/>
          <w:numId w:val="22"/>
        </w:numPr>
      </w:pPr>
      <w:r>
        <w:t>Take up and c</w:t>
      </w:r>
      <w:r w:rsidR="00B13EC5">
        <w:t xml:space="preserve">onsistency </w:t>
      </w:r>
      <w:r>
        <w:t>risks</w:t>
      </w:r>
      <w:r w:rsidR="00B13EC5">
        <w:t xml:space="preserve"> if </w:t>
      </w:r>
      <w:r w:rsidR="00184106">
        <w:t xml:space="preserve">some </w:t>
      </w:r>
      <w:r w:rsidR="00B13EC5">
        <w:t>market players do not participate</w:t>
      </w:r>
      <w:r w:rsidR="005D0425">
        <w:t>.</w:t>
      </w:r>
    </w:p>
    <w:p w14:paraId="0A31ACD4" w14:textId="77777777" w:rsidR="00B13EC5" w:rsidRPr="007451A4" w:rsidRDefault="00B13EC5" w:rsidP="009F4031">
      <w:r w:rsidRPr="007451A4">
        <w:t xml:space="preserve">Mandatory </w:t>
      </w:r>
    </w:p>
    <w:p w14:paraId="2EBFFEE8" w14:textId="77777777" w:rsidR="00B13EC5" w:rsidRDefault="00B13EC5" w:rsidP="00320FDC">
      <w:pPr>
        <w:pStyle w:val="ColorfulList-Accent12"/>
        <w:numPr>
          <w:ilvl w:val="0"/>
          <w:numId w:val="22"/>
        </w:numPr>
      </w:pPr>
      <w:r>
        <w:t>Advantages:</w:t>
      </w:r>
    </w:p>
    <w:p w14:paraId="16A2E579" w14:textId="77777777" w:rsidR="008E448B" w:rsidRDefault="008E448B" w:rsidP="00320FDC">
      <w:pPr>
        <w:pStyle w:val="ColorfulList-Accent12"/>
        <w:numPr>
          <w:ilvl w:val="1"/>
          <w:numId w:val="22"/>
        </w:numPr>
      </w:pPr>
      <w:r>
        <w:t>All products are labelled, providing consumers with the ability to make informed choices</w:t>
      </w:r>
      <w:r w:rsidR="005D0425">
        <w:t>;</w:t>
      </w:r>
    </w:p>
    <w:p w14:paraId="024A089C" w14:textId="77777777" w:rsidR="00B13EC5" w:rsidRDefault="00B13EC5" w:rsidP="00320FDC">
      <w:pPr>
        <w:pStyle w:val="ColorfulList-Accent12"/>
        <w:numPr>
          <w:ilvl w:val="1"/>
          <w:numId w:val="22"/>
        </w:numPr>
      </w:pPr>
      <w:r>
        <w:lastRenderedPageBreak/>
        <w:t>Government is seen as fulfilling its role – there is evidence from consumer surveys that consumers expect Government to help them save energy</w:t>
      </w:r>
      <w:r w:rsidR="005D0425">
        <w:t>; and</w:t>
      </w:r>
      <w:r>
        <w:t xml:space="preserve">  </w:t>
      </w:r>
    </w:p>
    <w:p w14:paraId="6D38FE3E" w14:textId="77777777" w:rsidR="00B13EC5" w:rsidRDefault="00B13EC5" w:rsidP="00320FDC">
      <w:pPr>
        <w:pStyle w:val="ColorfulList-Accent12"/>
        <w:numPr>
          <w:ilvl w:val="1"/>
          <w:numId w:val="22"/>
        </w:numPr>
      </w:pPr>
      <w:r>
        <w:t>Improved consistency, transparency, compliance and consumer trust.</w:t>
      </w:r>
    </w:p>
    <w:p w14:paraId="3E7E8BDC" w14:textId="77777777" w:rsidR="00B13EC5" w:rsidRDefault="00B13EC5" w:rsidP="009F4031">
      <w:pPr>
        <w:pStyle w:val="ColorfulList-Accent12"/>
        <w:ind w:left="1125"/>
      </w:pPr>
    </w:p>
    <w:p w14:paraId="17C840BB" w14:textId="77777777" w:rsidR="00B13EC5" w:rsidRDefault="00B13EC5" w:rsidP="00320FDC">
      <w:pPr>
        <w:pStyle w:val="ColorfulList-Accent12"/>
        <w:numPr>
          <w:ilvl w:val="0"/>
          <w:numId w:val="22"/>
        </w:numPr>
      </w:pPr>
      <w:r>
        <w:t>Disadvantages:</w:t>
      </w:r>
    </w:p>
    <w:p w14:paraId="7867F62F" w14:textId="77777777" w:rsidR="00B13EC5" w:rsidRDefault="00634A9B" w:rsidP="00320FDC">
      <w:pPr>
        <w:pStyle w:val="ColorfulList-Accent12"/>
        <w:numPr>
          <w:ilvl w:val="1"/>
          <w:numId w:val="22"/>
        </w:numPr>
      </w:pPr>
      <w:r>
        <w:t>C</w:t>
      </w:r>
      <w:r w:rsidR="00336AFB">
        <w:t>osts to the tax</w:t>
      </w:r>
      <w:r w:rsidR="00B13EC5">
        <w:t>payer</w:t>
      </w:r>
      <w:r w:rsidR="00731D6D">
        <w:t xml:space="preserve"> (although the RIS process ensures that benefits outweigh costs)</w:t>
      </w:r>
      <w:r w:rsidR="005D0425">
        <w:t>; and</w:t>
      </w:r>
    </w:p>
    <w:p w14:paraId="475C6861" w14:textId="77777777" w:rsidR="00B13EC5" w:rsidRDefault="00B13EC5" w:rsidP="00320FDC">
      <w:pPr>
        <w:pStyle w:val="ColorfulList-Accent12"/>
        <w:numPr>
          <w:ilvl w:val="1"/>
          <w:numId w:val="22"/>
        </w:numPr>
      </w:pPr>
      <w:r>
        <w:t>Care needs to be taken to involve industry in design and implementation to ensure support for the scheme and minimise burden.</w:t>
      </w:r>
    </w:p>
    <w:p w14:paraId="3F1D1C18" w14:textId="77777777" w:rsidR="00327209" w:rsidRPr="005924FF" w:rsidRDefault="00327209" w:rsidP="009F4031">
      <w:pPr>
        <w:rPr>
          <w:u w:val="single"/>
        </w:rPr>
      </w:pPr>
      <w:r>
        <w:rPr>
          <w:u w:val="single"/>
        </w:rPr>
        <w:t>National experience and learning</w:t>
      </w:r>
      <w:r w:rsidR="008B6A23">
        <w:rPr>
          <w:u w:val="single"/>
        </w:rPr>
        <w:t xml:space="preserve"> with voluntary comparison labelling</w:t>
      </w:r>
    </w:p>
    <w:p w14:paraId="5ACB89CD" w14:textId="77777777" w:rsidR="006C6DFC" w:rsidRDefault="00327209" w:rsidP="00C0330B">
      <w:r w:rsidRPr="00994C52">
        <w:rPr>
          <w:szCs w:val="22"/>
        </w:rPr>
        <w:t>Whilst most labelling in Australia is mandatory, there are some product groups which have voluntary comparative labelling</w:t>
      </w:r>
      <w:r w:rsidR="00634A9B" w:rsidRPr="00994C52">
        <w:rPr>
          <w:rStyle w:val="FootnoteReference"/>
          <w:szCs w:val="22"/>
        </w:rPr>
        <w:footnoteReference w:id="77"/>
      </w:r>
      <w:r w:rsidRPr="00994C52">
        <w:rPr>
          <w:szCs w:val="22"/>
        </w:rPr>
        <w:t xml:space="preserve">.  </w:t>
      </w:r>
      <w:r w:rsidR="00A25997" w:rsidRPr="00994C52">
        <w:rPr>
          <w:szCs w:val="22"/>
        </w:rPr>
        <w:t xml:space="preserve">These are administered outside the GEMS legislation and E3 </w:t>
      </w:r>
      <w:r w:rsidR="00A25997" w:rsidRPr="00C33790">
        <w:rPr>
          <w:szCs w:val="22"/>
        </w:rPr>
        <w:t xml:space="preserve">program. </w:t>
      </w:r>
      <w:r w:rsidR="00C33790" w:rsidRPr="00C33790">
        <w:rPr>
          <w:szCs w:val="22"/>
        </w:rPr>
        <w:t xml:space="preserve"> </w:t>
      </w:r>
      <w:r w:rsidR="00C33790" w:rsidRPr="00C33790">
        <w:rPr>
          <w:szCs w:val="22"/>
          <w:lang w:val="en-US"/>
        </w:rPr>
        <w:t>For example, from April 2010, the E3 Program has offered a voluntary labelling program for swimming pool pumps.  Participation in the program allows suppliers to attach an Energy Rating Label to their product, showing its relative energy efficiency.  While suppliers are not required to participate in this program, if they choose to participate they must abide by the program’s Rules of Participation.</w:t>
      </w:r>
      <w:r w:rsidR="00C33790" w:rsidRPr="00C33790">
        <w:rPr>
          <w:lang w:val="en-US"/>
        </w:rPr>
        <w:t xml:space="preserve"> </w:t>
      </w:r>
      <w:r w:rsidR="00C33790" w:rsidRPr="00C33790">
        <w:rPr>
          <w:szCs w:val="22"/>
          <w:lang w:val="en-US"/>
        </w:rPr>
        <w:t>These rules include a requirement for suppliers to provide independent test results certifying that the product meets the required MEPS level.</w:t>
      </w:r>
      <w:r w:rsidR="006C6DFC" w:rsidRPr="006C6DFC">
        <w:t xml:space="preserve"> </w:t>
      </w:r>
      <w:r w:rsidR="006C6DFC">
        <w:t>The department has not undertaken a detailed review of the voluntary energy rating label when applied to pool pumps. Preliminary figures on the number of pool pumps which carry the label and total sales in the industry indicate that products with the label do sell larger volumes on average compared with products without the label. In 2012, 8% of products carried the label, however 25% of total sales were attributed to the 8% of products with the label. It is however unclear if consumers have a purchasing preference for product with a label or if manufactures with high selling products are interested in receiving a label to have an additional point of difference in the market.</w:t>
      </w:r>
    </w:p>
    <w:p w14:paraId="4D726972" w14:textId="77777777" w:rsidR="006C6DFC" w:rsidRDefault="006C6DFC" w:rsidP="0080683E">
      <w:r>
        <w:t xml:space="preserve">DoIS is currently engaged in additional product testing and market research to inform a decision on possible regulatory action </w:t>
      </w:r>
      <w:r w:rsidR="00DB4FB8">
        <w:t>through</w:t>
      </w:r>
      <w:r>
        <w:t xml:space="preserve"> a regulation impact statement (RIS). The effectiveness of the voluntary energy rating label will be evaluated in the RIS. </w:t>
      </w:r>
    </w:p>
    <w:p w14:paraId="39440A70" w14:textId="77777777" w:rsidR="00B13EC5" w:rsidRPr="007451A4" w:rsidRDefault="00B13EC5" w:rsidP="009F4031">
      <w:pPr>
        <w:rPr>
          <w:u w:val="single"/>
        </w:rPr>
      </w:pPr>
      <w:r w:rsidRPr="007451A4">
        <w:rPr>
          <w:u w:val="single"/>
        </w:rPr>
        <w:t>Stakeholder views</w:t>
      </w:r>
    </w:p>
    <w:p w14:paraId="0251443B" w14:textId="77777777" w:rsidR="00B13EC5" w:rsidRPr="00BB2F6D" w:rsidRDefault="00B13EC5" w:rsidP="00983742">
      <w:pPr>
        <w:rPr>
          <w:i/>
        </w:rPr>
      </w:pPr>
      <w:r>
        <w:t xml:space="preserve">Whilst some stakeholders recognised and had experience of voluntary comparative labelling, there is strong overall support for mandatory schemes.  </w:t>
      </w:r>
      <w:r w:rsidRPr="007451A4">
        <w:t>Consumer representatives</w:t>
      </w:r>
      <w:r>
        <w:t xml:space="preserve"> in particular were supportive of mandatory labelling, for the reasons stated above.</w:t>
      </w:r>
    </w:p>
    <w:p w14:paraId="02B3413C" w14:textId="77777777" w:rsidR="00B13EC5" w:rsidRPr="00BB2F6D" w:rsidRDefault="00B13EC5" w:rsidP="00007AE6">
      <w:pPr>
        <w:rPr>
          <w:i/>
        </w:rPr>
      </w:pPr>
      <w:r w:rsidRPr="00BB2F6D">
        <w:rPr>
          <w:i/>
        </w:rPr>
        <w:t xml:space="preserve">“Mandatory definitely, I think there is broad public benefit for information to be available and the public to know that what they are buying. It ensures that the most efficient producers aren't penalised for offering the most efficient product.” </w:t>
      </w:r>
      <w:r w:rsidRPr="00BB2F6D">
        <w:t>(Consumer representative)</w:t>
      </w:r>
    </w:p>
    <w:p w14:paraId="31DA5E50" w14:textId="77777777" w:rsidR="00B13EC5" w:rsidRDefault="00B13EC5" w:rsidP="00007AE6">
      <w:pPr>
        <w:spacing w:after="0"/>
      </w:pPr>
      <w:r w:rsidRPr="007451A4">
        <w:t>Industry</w:t>
      </w:r>
      <w:r>
        <w:t xml:space="preserve"> was also broadly supportive of mandatory schemes, although the reasons for this were more due to the fact that there is an existing scheme which is well recognised.  There were a few respondents who were opposed to mandatory labelling, preferring to have more control about how energy use information is communicated to their customers.</w:t>
      </w:r>
    </w:p>
    <w:p w14:paraId="2160E06D" w14:textId="77777777" w:rsidR="00007AE6" w:rsidRDefault="00007AE6" w:rsidP="00007AE6">
      <w:pPr>
        <w:spacing w:after="0"/>
        <w:rPr>
          <w:i/>
        </w:rPr>
      </w:pPr>
    </w:p>
    <w:p w14:paraId="1C8E7EBB" w14:textId="77777777" w:rsidR="00B13EC5" w:rsidRDefault="00B13EC5" w:rsidP="00007AE6">
      <w:r w:rsidRPr="00BB2F6D">
        <w:rPr>
          <w:i/>
        </w:rPr>
        <w:t>“There are many ways to communicate with consumers to get this across...The label doesn't provide all of the information to help consumers compare one product with another.”</w:t>
      </w:r>
      <w:r>
        <w:t xml:space="preserve"> (Product manufacturer) </w:t>
      </w:r>
    </w:p>
    <w:p w14:paraId="21A08A34" w14:textId="77777777" w:rsidR="00B13EC5" w:rsidRDefault="00B13EC5" w:rsidP="00007AE6">
      <w:pPr>
        <w:spacing w:after="0"/>
      </w:pPr>
      <w:r w:rsidRPr="007451A4">
        <w:t>Government and technical experts</w:t>
      </w:r>
      <w:r>
        <w:t xml:space="preserve"> also favoured mandatory comparison labelling. </w:t>
      </w:r>
    </w:p>
    <w:p w14:paraId="26E29E32" w14:textId="77777777" w:rsidR="00336AFB" w:rsidRDefault="00336AFB" w:rsidP="00336AFB">
      <w:pPr>
        <w:spacing w:after="0"/>
        <w:ind w:left="405"/>
        <w:rPr>
          <w:i/>
        </w:rPr>
      </w:pPr>
    </w:p>
    <w:p w14:paraId="5EDBAB92" w14:textId="77777777" w:rsidR="00B13EC5" w:rsidRDefault="00B13EC5" w:rsidP="00007AE6">
      <w:pPr>
        <w:rPr>
          <w:i/>
        </w:rPr>
      </w:pPr>
      <w:r>
        <w:rPr>
          <w:i/>
        </w:rPr>
        <w:t>“</w:t>
      </w:r>
      <w:r w:rsidRPr="005924FF">
        <w:rPr>
          <w:i/>
        </w:rPr>
        <w:t>If the purpose of the scheme is to give information to customers, then the customers must know that the information is consistently arrived at and displayed so that they can make their choice. Anything that doesn't produc</w:t>
      </w:r>
      <w:r>
        <w:rPr>
          <w:i/>
        </w:rPr>
        <w:t>e that outcome is questionable.”</w:t>
      </w:r>
      <w:r w:rsidRPr="0072167E">
        <w:t>(Technical expert)</w:t>
      </w:r>
    </w:p>
    <w:p w14:paraId="2C51DDDA" w14:textId="77777777" w:rsidR="00B13EC5" w:rsidRPr="007451A4" w:rsidRDefault="00B13EC5" w:rsidP="009F4031">
      <w:pPr>
        <w:rPr>
          <w:b/>
        </w:rPr>
      </w:pPr>
      <w:r w:rsidRPr="007451A4">
        <w:rPr>
          <w:b/>
        </w:rPr>
        <w:t>Endorsement labelling</w:t>
      </w:r>
    </w:p>
    <w:p w14:paraId="5BB8B78E" w14:textId="77777777" w:rsidR="00F868F4" w:rsidRDefault="00B13EC5" w:rsidP="009F4031">
      <w:r>
        <w:t>Endorsement labelling is almost always run as a voluntary scheme</w:t>
      </w:r>
      <w:r w:rsidR="00A516C1">
        <w:t xml:space="preserve"> because it is only applied to the best performing products within the market and as such it is in the interest</w:t>
      </w:r>
      <w:r w:rsidR="005D0425">
        <w:t>s</w:t>
      </w:r>
      <w:r w:rsidR="00A516C1">
        <w:t xml:space="preserve"> of those that qualify to use the label.  </w:t>
      </w:r>
      <w:r>
        <w:t xml:space="preserve">According to the </w:t>
      </w:r>
      <w:r w:rsidR="005D0425">
        <w:t>‘</w:t>
      </w:r>
      <w:r w:rsidRPr="00F16BCD">
        <w:t>Energy Standards and Labelling Programs throughout the World</w:t>
      </w:r>
      <w:r w:rsidR="005D0425">
        <w:t>’</w:t>
      </w:r>
      <w:r w:rsidRPr="00F16BCD">
        <w:t xml:space="preserve"> </w:t>
      </w:r>
      <w:r>
        <w:t xml:space="preserve">report, as of 2013 there were over </w:t>
      </w:r>
      <w:r w:rsidR="00D5105B">
        <w:t xml:space="preserve">1002 </w:t>
      </w:r>
      <w:r>
        <w:t xml:space="preserve">endorsement </w:t>
      </w:r>
      <w:r w:rsidR="00D5105B">
        <w:t xml:space="preserve">individual </w:t>
      </w:r>
      <w:r>
        <w:t>labelling measures globally</w:t>
      </w:r>
      <w:r w:rsidR="00D5105B">
        <w:t>, used in 50 countries</w:t>
      </w:r>
      <w:r>
        <w:t xml:space="preserve">, of which 95% were voluntary (99% were </w:t>
      </w:r>
      <w:r w:rsidR="00007AE6">
        <w:t>voluntary</w:t>
      </w:r>
      <w:r>
        <w:t xml:space="preserve"> in 2004). </w:t>
      </w:r>
      <w:r w:rsidR="004F77F3">
        <w:t xml:space="preserve"> </w:t>
      </w:r>
      <w:r w:rsidR="00F868F4">
        <w:t xml:space="preserve">They are usually implemented as a complementary measure to both MEPS and comparison labelling </w:t>
      </w:r>
      <w:r w:rsidR="00BC4BD5">
        <w:t>(either integrated into those interventions, or as an entirely separate scheme) t</w:t>
      </w:r>
      <w:r w:rsidR="00F868F4">
        <w:t>o help increase demand for the most energy efficient products</w:t>
      </w:r>
      <w:r w:rsidR="00F868F4">
        <w:rPr>
          <w:rStyle w:val="FootnoteReference"/>
        </w:rPr>
        <w:footnoteReference w:id="78"/>
      </w:r>
      <w:r w:rsidR="00F868F4">
        <w:t xml:space="preserve">.  </w:t>
      </w:r>
    </w:p>
    <w:p w14:paraId="5866A7BD" w14:textId="77777777" w:rsidR="0013714B" w:rsidRDefault="00BC4BD5" w:rsidP="00983742">
      <w:pPr>
        <w:spacing w:after="0"/>
      </w:pPr>
      <w:r w:rsidRPr="00ED2537">
        <w:rPr>
          <w:u w:val="single"/>
        </w:rPr>
        <w:t>International experience and best practice</w:t>
      </w:r>
      <w:r w:rsidR="00ED2537">
        <w:t xml:space="preserve">:  There </w:t>
      </w:r>
      <w:r w:rsidR="00A414E5">
        <w:t xml:space="preserve">is little </w:t>
      </w:r>
      <w:r w:rsidR="00E6353E">
        <w:t xml:space="preserve">robust </w:t>
      </w:r>
      <w:r w:rsidR="00B13EC5">
        <w:t xml:space="preserve">evidence on which to assess the effectiveness of endorsement </w:t>
      </w:r>
      <w:r w:rsidR="00CA458A">
        <w:t>labelling</w:t>
      </w:r>
      <w:r w:rsidR="0013714B">
        <w:rPr>
          <w:rStyle w:val="FootnoteReference"/>
        </w:rPr>
        <w:footnoteReference w:id="79"/>
      </w:r>
      <w:r w:rsidR="00CA458A">
        <w:t xml:space="preserve">.  </w:t>
      </w:r>
      <w:r w:rsidR="00ED2537">
        <w:t>Discussion</w:t>
      </w:r>
      <w:r w:rsidR="00C30371">
        <w:t>s</w:t>
      </w:r>
      <w:r w:rsidR="00ED2537">
        <w:t xml:space="preserve"> with energy efficiency experts indicate</w:t>
      </w:r>
      <w:r w:rsidR="00C30371">
        <w:t>d</w:t>
      </w:r>
      <w:r w:rsidR="00ED2537">
        <w:t xml:space="preserve"> </w:t>
      </w:r>
      <w:r w:rsidR="0013714B">
        <w:t>this was likely due to</w:t>
      </w:r>
      <w:r w:rsidR="005D0425">
        <w:t>:</w:t>
      </w:r>
    </w:p>
    <w:p w14:paraId="753DDFBD" w14:textId="77777777" w:rsidR="0013714B" w:rsidRDefault="0013714B" w:rsidP="00320FDC">
      <w:pPr>
        <w:numPr>
          <w:ilvl w:val="3"/>
          <w:numId w:val="59"/>
        </w:numPr>
        <w:spacing w:after="0"/>
        <w:ind w:left="567"/>
      </w:pPr>
      <w:r>
        <w:t>Limited strategic drivers</w:t>
      </w:r>
      <w:r w:rsidR="0063051A">
        <w:t xml:space="preserve"> and data availability for</w:t>
      </w:r>
      <w:r>
        <w:t xml:space="preserve"> evaluation for endorsement evaluation</w:t>
      </w:r>
      <w:r w:rsidR="005D0425">
        <w:t>; and</w:t>
      </w:r>
    </w:p>
    <w:p w14:paraId="61BD4CF2" w14:textId="77777777" w:rsidR="0013714B" w:rsidRDefault="0013714B" w:rsidP="00320FDC">
      <w:pPr>
        <w:numPr>
          <w:ilvl w:val="3"/>
          <w:numId w:val="59"/>
        </w:numPr>
        <w:spacing w:after="0"/>
        <w:ind w:left="567"/>
      </w:pPr>
      <w:r>
        <w:t>D</w:t>
      </w:r>
      <w:r w:rsidR="00C30371">
        <w:t>ifficult</w:t>
      </w:r>
      <w:r w:rsidR="005D0425">
        <w:t>y in</w:t>
      </w:r>
      <w:r w:rsidR="00C30371">
        <w:t xml:space="preserve"> disaggregat</w:t>
      </w:r>
      <w:r w:rsidR="005D0425">
        <w:t>ing</w:t>
      </w:r>
      <w:r w:rsidR="00C30371">
        <w:t xml:space="preserve"> the effects of endorsement labelling </w:t>
      </w:r>
      <w:r>
        <w:t xml:space="preserve">from other influences (e.g. MEPS). </w:t>
      </w:r>
    </w:p>
    <w:p w14:paraId="363DC059" w14:textId="77777777" w:rsidR="0013714B" w:rsidRDefault="0013714B" w:rsidP="00983742">
      <w:pPr>
        <w:spacing w:after="0"/>
      </w:pPr>
    </w:p>
    <w:p w14:paraId="7A08E767" w14:textId="77777777" w:rsidR="008E4E8A" w:rsidRDefault="008E4E8A" w:rsidP="009F4031">
      <w:r>
        <w:t>Review of best practice guides and further discussions with experts shows that</w:t>
      </w:r>
      <w:r w:rsidR="005D3560">
        <w:t xml:space="preserve"> voluntary,</w:t>
      </w:r>
      <w:r>
        <w:t xml:space="preserve"> endorsement programs rely </w:t>
      </w:r>
      <w:r w:rsidR="00CA33F9">
        <w:t>heavily</w:t>
      </w:r>
      <w:r>
        <w:t xml:space="preserve"> on promotional activities to create consumer demand.</w:t>
      </w:r>
      <w:r w:rsidR="00D36DF6">
        <w:t xml:space="preserve"> </w:t>
      </w:r>
      <w:r>
        <w:t xml:space="preserve"> Without this, suppliers begin to lose interest and do not try to meet the requirements, which usually results in scheme failure.  ENERGY STAR</w:t>
      </w:r>
      <w:r w:rsidR="005D0425" w:rsidRPr="00711CF4">
        <w:rPr>
          <w:rFonts w:cs="Calibri"/>
        </w:rPr>
        <w:t>®</w:t>
      </w:r>
      <w:r>
        <w:t xml:space="preserve"> </w:t>
      </w:r>
      <w:r w:rsidR="00007AE6">
        <w:t>has been</w:t>
      </w:r>
      <w:r>
        <w:t xml:space="preserve"> known to invest substantial resources in the US for many years in order to create and maintain demand for the scheme to succeed.  </w:t>
      </w:r>
      <w:r w:rsidR="005D3560">
        <w:t xml:space="preserve">This is also a likely reason why many other </w:t>
      </w:r>
      <w:r w:rsidR="00CA33F9">
        <w:t>countries</w:t>
      </w:r>
      <w:r w:rsidR="005D3560">
        <w:t xml:space="preserve"> have joined the scheme, as opposed to creating their own.  </w:t>
      </w:r>
    </w:p>
    <w:p w14:paraId="42A248CA" w14:textId="77777777" w:rsidR="005D3560" w:rsidRDefault="0013714B" w:rsidP="009F4031">
      <w:pPr>
        <w:spacing w:after="0"/>
      </w:pPr>
      <w:r>
        <w:t>O</w:t>
      </w:r>
      <w:r w:rsidR="005D3560">
        <w:t xml:space="preserve">ther </w:t>
      </w:r>
      <w:r>
        <w:t xml:space="preserve">issues deemed to be important </w:t>
      </w:r>
      <w:r w:rsidR="005D3560">
        <w:t>in delivering successful endorsement labelling scheme</w:t>
      </w:r>
      <w:r>
        <w:t>s</w:t>
      </w:r>
      <w:r w:rsidR="005D3560">
        <w:t xml:space="preserve"> include</w:t>
      </w:r>
      <w:r w:rsidR="00CA33F9">
        <w:t>:</w:t>
      </w:r>
    </w:p>
    <w:p w14:paraId="66CF3649" w14:textId="77777777" w:rsidR="005D3560" w:rsidRDefault="005D3560" w:rsidP="00320FDC">
      <w:pPr>
        <w:numPr>
          <w:ilvl w:val="0"/>
          <w:numId w:val="22"/>
        </w:numPr>
        <w:spacing w:after="0"/>
      </w:pPr>
      <w:r>
        <w:t>Undertaking research and development to inform design and implementation</w:t>
      </w:r>
      <w:r w:rsidR="005D0425">
        <w:t>;</w:t>
      </w:r>
    </w:p>
    <w:p w14:paraId="3662849C" w14:textId="77777777" w:rsidR="005D3560" w:rsidRDefault="005D3560" w:rsidP="00320FDC">
      <w:pPr>
        <w:numPr>
          <w:ilvl w:val="0"/>
          <w:numId w:val="22"/>
        </w:numPr>
        <w:spacing w:after="0"/>
      </w:pPr>
      <w:r>
        <w:t>Use and setting of appropriate standards</w:t>
      </w:r>
      <w:r w:rsidR="005D0425">
        <w:t>;</w:t>
      </w:r>
    </w:p>
    <w:p w14:paraId="7C861256" w14:textId="77777777" w:rsidR="00D5105B" w:rsidRDefault="00CA33F9" w:rsidP="00320FDC">
      <w:pPr>
        <w:numPr>
          <w:ilvl w:val="0"/>
          <w:numId w:val="22"/>
        </w:numPr>
        <w:spacing w:after="0"/>
      </w:pPr>
      <w:r>
        <w:t>Links</w:t>
      </w:r>
      <w:r w:rsidR="005D3560">
        <w:t xml:space="preserve"> to comparison labelling schemes</w:t>
      </w:r>
      <w:r w:rsidR="005D0425">
        <w:t>; and</w:t>
      </w:r>
    </w:p>
    <w:p w14:paraId="3E7A59E3" w14:textId="77777777" w:rsidR="00422870" w:rsidRDefault="00D5105B" w:rsidP="00EF1B91">
      <w:pPr>
        <w:numPr>
          <w:ilvl w:val="0"/>
          <w:numId w:val="22"/>
        </w:numPr>
        <w:spacing w:after="120"/>
        <w:ind w:left="402" w:hanging="357"/>
      </w:pPr>
      <w:r>
        <w:t>Links to other programs such as procurement, financial incentives and rebates</w:t>
      </w:r>
      <w:r w:rsidR="00CA33F9">
        <w:t>.</w:t>
      </w:r>
    </w:p>
    <w:p w14:paraId="76D741FD" w14:textId="77777777" w:rsidR="00422870" w:rsidRPr="00EF1B91" w:rsidRDefault="00422870" w:rsidP="00EF1B91">
      <w:pPr>
        <w:spacing w:after="0"/>
        <w:ind w:left="45"/>
      </w:pPr>
      <w:r w:rsidRPr="00422870">
        <w:rPr>
          <w:szCs w:val="22"/>
          <w:lang w:val="en"/>
        </w:rPr>
        <w:lastRenderedPageBreak/>
        <w:t>Compliance is also a key</w:t>
      </w:r>
      <w:r>
        <w:rPr>
          <w:szCs w:val="22"/>
          <w:lang w:val="en"/>
        </w:rPr>
        <w:t xml:space="preserve"> issue for the integrity of endorsement labelling programs, as evidenced by the 2009</w:t>
      </w:r>
      <w:r w:rsidRPr="00422870">
        <w:rPr>
          <w:szCs w:val="22"/>
          <w:lang w:val="en"/>
        </w:rPr>
        <w:t xml:space="preserve"> </w:t>
      </w:r>
      <w:r>
        <w:rPr>
          <w:szCs w:val="22"/>
          <w:lang w:val="en"/>
        </w:rPr>
        <w:t xml:space="preserve">report on </w:t>
      </w:r>
      <w:r>
        <w:t>ENERGY STAR</w:t>
      </w:r>
      <w:r w:rsidRPr="00711CF4">
        <w:rPr>
          <w:rFonts w:cs="Calibri"/>
        </w:rPr>
        <w:t>®</w:t>
      </w:r>
      <w:r>
        <w:t xml:space="preserve"> </w:t>
      </w:r>
      <w:r w:rsidRPr="00422870">
        <w:rPr>
          <w:szCs w:val="22"/>
          <w:lang w:val="en"/>
        </w:rPr>
        <w:t>which found that</w:t>
      </w:r>
      <w:r w:rsidRPr="00422870">
        <w:rPr>
          <w:lang w:val="en"/>
        </w:rPr>
        <w:t xml:space="preserve"> </w:t>
      </w:r>
      <w:r w:rsidRPr="00FD6CA4">
        <w:rPr>
          <w:i/>
          <w:lang w:val="en"/>
        </w:rPr>
        <w:t>“</w:t>
      </w:r>
      <w:r w:rsidR="00EF1B91" w:rsidRPr="00FD6CA4">
        <w:rPr>
          <w:i/>
          <w:lang w:val="en"/>
        </w:rPr>
        <w:t>…</w:t>
      </w:r>
      <w:r w:rsidRPr="00FD6CA4">
        <w:rPr>
          <w:i/>
          <w:szCs w:val="22"/>
        </w:rPr>
        <w:t>the energy and greenhouse gas redu</w:t>
      </w:r>
      <w:r w:rsidRPr="00FD6CA4">
        <w:rPr>
          <w:i/>
        </w:rPr>
        <w:t xml:space="preserve">ctions claimed for </w:t>
      </w:r>
      <w:r w:rsidRPr="00FD6CA4">
        <w:rPr>
          <w:i/>
          <w:szCs w:val="22"/>
        </w:rPr>
        <w:t>qualified products may not be valid</w:t>
      </w:r>
      <w:r>
        <w:t>”</w:t>
      </w:r>
      <w:r>
        <w:rPr>
          <w:rStyle w:val="FootnoteReference"/>
        </w:rPr>
        <w:footnoteReference w:id="80"/>
      </w:r>
      <w:r w:rsidRPr="00422870">
        <w:rPr>
          <w:szCs w:val="22"/>
        </w:rPr>
        <w:t>.</w:t>
      </w:r>
    </w:p>
    <w:p w14:paraId="3B0B6FA9" w14:textId="77777777" w:rsidR="00180CEE" w:rsidRDefault="00180CEE" w:rsidP="00983742">
      <w:pPr>
        <w:spacing w:after="0"/>
        <w:rPr>
          <w:u w:val="single"/>
        </w:rPr>
      </w:pPr>
    </w:p>
    <w:p w14:paraId="40C77DD6" w14:textId="77777777" w:rsidR="00B13EC5" w:rsidRPr="00711CF4" w:rsidRDefault="00B13EC5" w:rsidP="009F4031">
      <w:pPr>
        <w:rPr>
          <w:u w:val="single"/>
        </w:rPr>
      </w:pPr>
      <w:r w:rsidRPr="00711CF4">
        <w:rPr>
          <w:u w:val="single"/>
        </w:rPr>
        <w:t>National experience</w:t>
      </w:r>
    </w:p>
    <w:p w14:paraId="4033539C" w14:textId="77777777" w:rsidR="00D97041" w:rsidRPr="00FD6CA4" w:rsidRDefault="00B13EC5" w:rsidP="00FD6CA4">
      <w:pPr>
        <w:kinsoku w:val="0"/>
        <w:overflowPunct w:val="0"/>
        <w:textAlignment w:val="baseline"/>
        <w:rPr>
          <w:rFonts w:eastAsia="Calibri"/>
          <w:color w:val="1762A1"/>
          <w:szCs w:val="22"/>
          <w:lang w:val="en-AU" w:eastAsia="en-US"/>
        </w:rPr>
      </w:pPr>
      <w:r w:rsidRPr="00711CF4">
        <w:rPr>
          <w:rFonts w:cs="Calibri"/>
        </w:rPr>
        <w:t xml:space="preserve">Australia and New Zealand are both involved in the international ENERGY STAR® </w:t>
      </w:r>
      <w:r w:rsidR="007E4F12">
        <w:rPr>
          <w:rFonts w:cs="Calibri"/>
        </w:rPr>
        <w:t>p</w:t>
      </w:r>
      <w:r w:rsidRPr="00711CF4">
        <w:rPr>
          <w:rFonts w:cs="Calibri"/>
        </w:rPr>
        <w:t>rogram</w:t>
      </w:r>
      <w:r w:rsidR="00497682">
        <w:rPr>
          <w:rFonts w:cs="Calibri"/>
        </w:rPr>
        <w:t xml:space="preserve">.  Australia and New Zealand use the endorsement label </w:t>
      </w:r>
      <w:r w:rsidRPr="00711CF4">
        <w:rPr>
          <w:rFonts w:cs="Calibri"/>
        </w:rPr>
        <w:t>for office equipment and home electronics</w:t>
      </w:r>
      <w:r w:rsidR="00497682">
        <w:rPr>
          <w:rFonts w:cs="Calibri"/>
        </w:rPr>
        <w:t>.  New Zealand also uses the label for a much wider range of products such as whitegoods, lighting, heating, water heating and windows</w:t>
      </w:r>
      <w:r w:rsidR="00180CEE">
        <w:rPr>
          <w:rFonts w:cs="Calibri"/>
        </w:rPr>
        <w:t xml:space="preserve">.  It is actively promoted by the </w:t>
      </w:r>
      <w:r w:rsidR="00180CEE">
        <w:t>Energy Efficiency and Conservation Authority (</w:t>
      </w:r>
      <w:r w:rsidR="00180CEE">
        <w:rPr>
          <w:rFonts w:cs="Calibri"/>
        </w:rPr>
        <w:t xml:space="preserve">EECA) in New Zealand.  </w:t>
      </w:r>
      <w:r w:rsidR="00D97041">
        <w:rPr>
          <w:rFonts w:cs="Calibri"/>
        </w:rPr>
        <w:t>In 2011, EECA commissioned research on the ENERGY STAR</w:t>
      </w:r>
      <w:r w:rsidR="00D97041" w:rsidRPr="00711CF4">
        <w:rPr>
          <w:rFonts w:cs="Calibri"/>
        </w:rPr>
        <w:t>®</w:t>
      </w:r>
      <w:r w:rsidR="00D97041">
        <w:rPr>
          <w:rFonts w:cs="Calibri"/>
        </w:rPr>
        <w:t xml:space="preserve"> value proposition and found that</w:t>
      </w:r>
      <w:r w:rsidR="00FD6CA4">
        <w:rPr>
          <w:rFonts w:cs="Calibri"/>
        </w:rPr>
        <w:t>, when used in conjunction with the Energy Rating Label,</w:t>
      </w:r>
      <w:r w:rsidR="00D97041">
        <w:rPr>
          <w:rFonts w:cs="Calibri"/>
        </w:rPr>
        <w:t xml:space="preserve"> </w:t>
      </w:r>
      <w:r w:rsidR="00D97041" w:rsidRPr="00087B05">
        <w:rPr>
          <w:rFonts w:eastAsia="MS PGothic" w:hAnsi="Arial"/>
          <w:color w:val="000000"/>
          <w:szCs w:val="22"/>
          <w:lang w:val="en-NZ" w:eastAsia="en-US"/>
        </w:rPr>
        <w:t>t</w:t>
      </w:r>
      <w:r w:rsidR="00D97041" w:rsidRPr="00D97041">
        <w:rPr>
          <w:rFonts w:eastAsia="MS PGothic" w:hAnsi="Arial"/>
          <w:color w:val="000000"/>
          <w:szCs w:val="22"/>
          <w:lang w:val="en-NZ" w:eastAsia="en-US"/>
        </w:rPr>
        <w:t>he Energy Star mark has the potential to drive (and increase) the sales of high efficiency appliances, particularly where the mark is applicable in the mid-range of ERLs</w:t>
      </w:r>
      <w:r w:rsidR="00D97041">
        <w:rPr>
          <w:rStyle w:val="FootnoteReference"/>
          <w:rFonts w:eastAsia="MS PGothic" w:hAnsi="Arial"/>
          <w:color w:val="000000"/>
          <w:szCs w:val="22"/>
          <w:lang w:val="en-NZ" w:eastAsia="en-US"/>
        </w:rPr>
        <w:footnoteReference w:id="81"/>
      </w:r>
      <w:r w:rsidR="00D97041">
        <w:rPr>
          <w:rFonts w:eastAsia="MS PGothic" w:hAnsi="Arial"/>
          <w:color w:val="000000"/>
          <w:szCs w:val="22"/>
          <w:lang w:val="en-NZ" w:eastAsia="en-US"/>
        </w:rPr>
        <w:t>.</w:t>
      </w:r>
    </w:p>
    <w:p w14:paraId="0C1B4B7C" w14:textId="77777777" w:rsidR="0059439F" w:rsidRDefault="00B13EC5" w:rsidP="009F4031">
      <w:pPr>
        <w:pStyle w:val="ColorfulList-Accent12"/>
        <w:autoSpaceDE w:val="0"/>
        <w:autoSpaceDN w:val="0"/>
        <w:adjustRightInd w:val="0"/>
        <w:spacing w:after="0"/>
        <w:ind w:left="0"/>
        <w:rPr>
          <w:rFonts w:cs="Calibri"/>
        </w:rPr>
      </w:pPr>
      <w:r w:rsidRPr="00711CF4">
        <w:rPr>
          <w:rFonts w:cs="Calibri"/>
        </w:rPr>
        <w:t xml:space="preserve">The </w:t>
      </w:r>
      <w:r w:rsidR="00D36DF6">
        <w:rPr>
          <w:rFonts w:cs="Calibri"/>
        </w:rPr>
        <w:t>e</w:t>
      </w:r>
      <w:r w:rsidRPr="00711CF4">
        <w:rPr>
          <w:rFonts w:cs="Calibri"/>
        </w:rPr>
        <w:t>ndorsement label</w:t>
      </w:r>
      <w:r w:rsidR="005D0425">
        <w:rPr>
          <w:rFonts w:cs="Calibri"/>
        </w:rPr>
        <w:t>,</w:t>
      </w:r>
      <w:r w:rsidRPr="00711CF4">
        <w:rPr>
          <w:rFonts w:cs="Calibri"/>
        </w:rPr>
        <w:t xml:space="preserve"> the Good Environmental Choice Mark</w:t>
      </w:r>
      <w:r>
        <w:rPr>
          <w:rStyle w:val="FootnoteReference"/>
          <w:rFonts w:cs="Calibri"/>
        </w:rPr>
        <w:footnoteReference w:id="82"/>
      </w:r>
      <w:r w:rsidRPr="00711CF4">
        <w:rPr>
          <w:rFonts w:cs="Calibri"/>
        </w:rPr>
        <w:t>, is also used within Australia</w:t>
      </w:r>
      <w:r w:rsidR="00324BB7">
        <w:rPr>
          <w:rFonts w:cs="Calibri"/>
        </w:rPr>
        <w:t xml:space="preserve"> but to a lesser extent, with only limited crossover with GEMS products i</w:t>
      </w:r>
      <w:r w:rsidR="00C948D5">
        <w:rPr>
          <w:rFonts w:cs="Calibri"/>
        </w:rPr>
        <w:t>.</w:t>
      </w:r>
      <w:r w:rsidR="00324BB7">
        <w:rPr>
          <w:rFonts w:cs="Calibri"/>
        </w:rPr>
        <w:t>e. thermal building insulation products and window fittings</w:t>
      </w:r>
      <w:r w:rsidR="00534202">
        <w:rPr>
          <w:rFonts w:cs="Calibri"/>
        </w:rPr>
        <w:t>.</w:t>
      </w:r>
    </w:p>
    <w:p w14:paraId="0E2B9649" w14:textId="77777777" w:rsidR="00534202" w:rsidRDefault="00534202" w:rsidP="009F4031">
      <w:pPr>
        <w:pStyle w:val="ColorfulList-Accent12"/>
        <w:autoSpaceDE w:val="0"/>
        <w:autoSpaceDN w:val="0"/>
        <w:adjustRightInd w:val="0"/>
        <w:spacing w:after="0"/>
        <w:ind w:left="0"/>
        <w:rPr>
          <w:rFonts w:cs="Calibri"/>
        </w:rPr>
      </w:pPr>
    </w:p>
    <w:p w14:paraId="393137E0" w14:textId="77777777" w:rsidR="00B13EC5" w:rsidRDefault="0059439F" w:rsidP="00FD6CA4">
      <w:pPr>
        <w:spacing w:after="0"/>
        <w:rPr>
          <w:u w:val="single"/>
        </w:rPr>
      </w:pPr>
      <w:r w:rsidRPr="008859B7">
        <w:rPr>
          <w:rFonts w:cs="Calibri"/>
          <w:szCs w:val="22"/>
        </w:rPr>
        <w:t xml:space="preserve">Under the </w:t>
      </w:r>
      <w:r w:rsidR="000234B7">
        <w:rPr>
          <w:rFonts w:cs="Calibri"/>
          <w:szCs w:val="22"/>
        </w:rPr>
        <w:t>GEMS legislation</w:t>
      </w:r>
      <w:r w:rsidRPr="008859B7">
        <w:rPr>
          <w:rFonts w:cs="Calibri"/>
          <w:szCs w:val="22"/>
        </w:rPr>
        <w:t>, provision already exists for high performing products to be identified and promoted.</w:t>
      </w:r>
      <w:r w:rsidR="00324BB7" w:rsidRPr="008859B7">
        <w:rPr>
          <w:szCs w:val="22"/>
        </w:rPr>
        <w:t xml:space="preserve"> </w:t>
      </w:r>
      <w:r w:rsidR="00324BB7">
        <w:rPr>
          <w:szCs w:val="22"/>
        </w:rPr>
        <w:t xml:space="preserve"> </w:t>
      </w:r>
      <w:r w:rsidR="004A3BD2" w:rsidRPr="005E0F10">
        <w:rPr>
          <w:szCs w:val="22"/>
        </w:rPr>
        <w:t xml:space="preserve">For some </w:t>
      </w:r>
      <w:r w:rsidR="004A3BD2">
        <w:rPr>
          <w:szCs w:val="22"/>
        </w:rPr>
        <w:t xml:space="preserve">labelled </w:t>
      </w:r>
      <w:r w:rsidR="004A3BD2" w:rsidRPr="005E0F10">
        <w:rPr>
          <w:szCs w:val="22"/>
        </w:rPr>
        <w:t>products</w:t>
      </w:r>
      <w:r w:rsidR="004A3BD2">
        <w:rPr>
          <w:szCs w:val="22"/>
        </w:rPr>
        <w:t xml:space="preserve">, the energy rating scale </w:t>
      </w:r>
      <w:r w:rsidR="004A3BD2" w:rsidRPr="005E0F10">
        <w:rPr>
          <w:szCs w:val="22"/>
        </w:rPr>
        <w:t>extend</w:t>
      </w:r>
      <w:r w:rsidR="004A3BD2">
        <w:rPr>
          <w:szCs w:val="22"/>
        </w:rPr>
        <w:t>s</w:t>
      </w:r>
      <w:r w:rsidR="004A3BD2" w:rsidRPr="005E0F10">
        <w:rPr>
          <w:szCs w:val="22"/>
        </w:rPr>
        <w:t xml:space="preserve"> above </w:t>
      </w:r>
      <w:r w:rsidR="004A3BD2">
        <w:rPr>
          <w:szCs w:val="22"/>
        </w:rPr>
        <w:t>six stars to ten</w:t>
      </w:r>
      <w:r w:rsidR="004A3BD2" w:rsidRPr="005E0F10">
        <w:rPr>
          <w:szCs w:val="22"/>
        </w:rPr>
        <w:t xml:space="preserve"> stars</w:t>
      </w:r>
      <w:r w:rsidR="004A3BD2">
        <w:rPr>
          <w:szCs w:val="22"/>
        </w:rPr>
        <w:t xml:space="preserve">, identifying ‘super efficient’ products with a </w:t>
      </w:r>
      <w:r w:rsidR="004A3BD2" w:rsidRPr="005E0F10">
        <w:rPr>
          <w:szCs w:val="22"/>
        </w:rPr>
        <w:t>‘crown’ o</w:t>
      </w:r>
      <w:r w:rsidR="004A3BD2">
        <w:rPr>
          <w:szCs w:val="22"/>
        </w:rPr>
        <w:t xml:space="preserve">f additional stars on its label.  </w:t>
      </w:r>
      <w:r w:rsidR="008859B7">
        <w:rPr>
          <w:szCs w:val="22"/>
        </w:rPr>
        <w:t xml:space="preserve">Additionally, for some standards relating to commercial/industrial equipment, </w:t>
      </w:r>
      <w:r w:rsidR="00324BB7" w:rsidRPr="008859B7">
        <w:rPr>
          <w:szCs w:val="22"/>
        </w:rPr>
        <w:t>H</w:t>
      </w:r>
      <w:r w:rsidR="00324BB7">
        <w:rPr>
          <w:szCs w:val="22"/>
        </w:rPr>
        <w:t xml:space="preserve">igh Energy Performance Standards (HEPS) </w:t>
      </w:r>
      <w:r w:rsidR="004A3BD2" w:rsidRPr="004A3BD2">
        <w:rPr>
          <w:szCs w:val="22"/>
        </w:rPr>
        <w:t xml:space="preserve">complement </w:t>
      </w:r>
      <w:r w:rsidR="00324BB7" w:rsidRPr="008859B7">
        <w:rPr>
          <w:szCs w:val="22"/>
        </w:rPr>
        <w:t>M</w:t>
      </w:r>
      <w:r w:rsidR="004A3BD2">
        <w:rPr>
          <w:szCs w:val="22"/>
        </w:rPr>
        <w:t>inimum Energy Performance Standards (M</w:t>
      </w:r>
      <w:r w:rsidR="00324BB7" w:rsidRPr="008859B7">
        <w:rPr>
          <w:szCs w:val="22"/>
        </w:rPr>
        <w:t>EPS</w:t>
      </w:r>
      <w:r w:rsidR="004A3BD2">
        <w:rPr>
          <w:szCs w:val="22"/>
        </w:rPr>
        <w:t>)</w:t>
      </w:r>
      <w:r w:rsidR="008859B7">
        <w:rPr>
          <w:szCs w:val="22"/>
        </w:rPr>
        <w:t>, identifying higher performing products.</w:t>
      </w:r>
    </w:p>
    <w:p w14:paraId="30395F8C" w14:textId="77777777" w:rsidR="00FD6CA4" w:rsidRDefault="00FD6CA4" w:rsidP="00FD6CA4">
      <w:pPr>
        <w:spacing w:after="0"/>
      </w:pPr>
    </w:p>
    <w:p w14:paraId="2413492A" w14:textId="77777777" w:rsidR="00770279" w:rsidRDefault="00B13EC5" w:rsidP="00FD6CA4">
      <w:pPr>
        <w:spacing w:after="0"/>
      </w:pPr>
      <w:r w:rsidRPr="004F77F3">
        <w:t>Stakeholder views</w:t>
      </w:r>
      <w:r w:rsidR="004F77F3">
        <w:t>:  T</w:t>
      </w:r>
      <w:r>
        <w:t>here appear</w:t>
      </w:r>
      <w:r w:rsidR="00180CEE">
        <w:t>ed</w:t>
      </w:r>
      <w:r>
        <w:t xml:space="preserve"> to be significantly less awareness and visibility of endorsement schemes in Australia perhaps because current policy is dominated by MEPS and comparison labelling measures.  </w:t>
      </w:r>
      <w:r w:rsidR="00180CEE">
        <w:t xml:space="preserve">However, some industry and </w:t>
      </w:r>
      <w:r w:rsidR="005D0425">
        <w:t>g</w:t>
      </w:r>
      <w:r w:rsidR="00180CEE">
        <w:t xml:space="preserve">overnment respondents </w:t>
      </w:r>
      <w:r w:rsidR="00F315A1">
        <w:t xml:space="preserve">noted </w:t>
      </w:r>
      <w:r w:rsidR="00180CEE">
        <w:t xml:space="preserve">that schemes </w:t>
      </w:r>
      <w:r w:rsidR="00F315A1">
        <w:t>have been tried in Australia previously (for example</w:t>
      </w:r>
      <w:r w:rsidR="00FD6CA4">
        <w:t>,</w:t>
      </w:r>
      <w:r w:rsidR="00F315A1">
        <w:t xml:space="preserve"> the Galaxy Energy Award </w:t>
      </w:r>
      <w:r w:rsidR="007E4F12">
        <w:t>p</w:t>
      </w:r>
      <w:r w:rsidR="00F315A1">
        <w:t>rogram</w:t>
      </w:r>
      <w:r w:rsidR="00663E2E">
        <w:t xml:space="preserve">, run in Victoria until </w:t>
      </w:r>
      <w:r w:rsidR="00FD6CA4">
        <w:t xml:space="preserve">2002, </w:t>
      </w:r>
      <w:r w:rsidR="00F315A1">
        <w:t xml:space="preserve">and </w:t>
      </w:r>
      <w:r w:rsidR="00663E2E">
        <w:t xml:space="preserve">its replacement, </w:t>
      </w:r>
      <w:r w:rsidR="00F315A1">
        <w:t>the Top Energy Saver Award</w:t>
      </w:r>
      <w:r w:rsidR="00FD6CA4">
        <w:t>,</w:t>
      </w:r>
      <w:r w:rsidR="00F315A1">
        <w:t xml:space="preserve"> </w:t>
      </w:r>
      <w:r w:rsidR="00FD6CA4">
        <w:t xml:space="preserve">run from 2003 </w:t>
      </w:r>
      <w:r w:rsidR="00663E2E">
        <w:t xml:space="preserve">as part of the E3 Program. </w:t>
      </w:r>
      <w:r w:rsidR="00FD6CA4">
        <w:t xml:space="preserve"> </w:t>
      </w:r>
      <w:r w:rsidR="00180CEE">
        <w:t>However, the</w:t>
      </w:r>
      <w:r w:rsidR="00FD6CA4">
        <w:t xml:space="preserve">se schemes </w:t>
      </w:r>
      <w:r w:rsidR="00F315A1">
        <w:t xml:space="preserve">were withdrawn due to a mixture of changing </w:t>
      </w:r>
      <w:r w:rsidR="005D0425">
        <w:t>g</w:t>
      </w:r>
      <w:r w:rsidR="00180CEE">
        <w:t xml:space="preserve">overnment </w:t>
      </w:r>
      <w:r w:rsidR="00F315A1">
        <w:t>priorities</w:t>
      </w:r>
      <w:r w:rsidR="00770279">
        <w:t xml:space="preserve"> and lack of funding, which led to a lack of traction in the market.</w:t>
      </w:r>
    </w:p>
    <w:p w14:paraId="12EA98CB" w14:textId="77777777" w:rsidR="00FD6CA4" w:rsidRDefault="00FD6CA4" w:rsidP="00FD6CA4">
      <w:pPr>
        <w:spacing w:after="0" w:line="240" w:lineRule="auto"/>
      </w:pPr>
    </w:p>
    <w:p w14:paraId="4CF450A1" w14:textId="77777777" w:rsidR="00F61F55" w:rsidRDefault="00F61F55" w:rsidP="00FD6CA4">
      <w:pPr>
        <w:spacing w:after="0"/>
      </w:pPr>
      <w:r>
        <w:t>It was mentioned by a few respondents that New Zealand actively promotes ENERGY STAR</w:t>
      </w:r>
      <w:r>
        <w:rPr>
          <w:rStyle w:val="FootnoteReference"/>
        </w:rPr>
        <w:footnoteReference w:id="83"/>
      </w:r>
      <w:r>
        <w:t xml:space="preserve"> through the Energy Efficiency and Conservation Authority (EECA)</w:t>
      </w:r>
      <w:r>
        <w:rPr>
          <w:rStyle w:val="FootnoteReference"/>
        </w:rPr>
        <w:footnoteReference w:id="84"/>
      </w:r>
      <w:r>
        <w:t xml:space="preserve">.  These respondents thought that there was an opportunity for Australia to do more here.  </w:t>
      </w:r>
    </w:p>
    <w:p w14:paraId="53C602C2" w14:textId="77777777" w:rsidR="0095516D" w:rsidRDefault="00B13EC5" w:rsidP="00FD6CA4">
      <w:pPr>
        <w:spacing w:after="0"/>
      </w:pPr>
      <w:r>
        <w:t xml:space="preserve">One or two </w:t>
      </w:r>
      <w:r w:rsidR="006153BB">
        <w:t>g</w:t>
      </w:r>
      <w:r>
        <w:t xml:space="preserve">overnment </w:t>
      </w:r>
      <w:r w:rsidR="00CA33F9">
        <w:t xml:space="preserve">and energy expert </w:t>
      </w:r>
      <w:r>
        <w:t xml:space="preserve">respondents </w:t>
      </w:r>
      <w:r w:rsidR="0095516D">
        <w:t>expressed their support for doing more with regards to endorsement labelling through HEPS</w:t>
      </w:r>
      <w:r w:rsidR="0059439F">
        <w:t xml:space="preserve"> under the GEMS Act</w:t>
      </w:r>
      <w:r w:rsidR="0095516D">
        <w:t>, albeit recognising that availability of resources were an issue.</w:t>
      </w:r>
    </w:p>
    <w:p w14:paraId="6E64B73F" w14:textId="77777777" w:rsidR="00FD6CA4" w:rsidRDefault="00FD6CA4" w:rsidP="00FD6CA4">
      <w:pPr>
        <w:spacing w:after="0"/>
      </w:pPr>
    </w:p>
    <w:p w14:paraId="28D6E5DF" w14:textId="77777777" w:rsidR="00F61F55" w:rsidRDefault="0095516D" w:rsidP="009F4031">
      <w:r w:rsidDel="0095516D">
        <w:lastRenderedPageBreak/>
        <w:t xml:space="preserve"> </w:t>
      </w:r>
      <w:r w:rsidR="00CA33F9">
        <w:rPr>
          <w:i/>
        </w:rPr>
        <w:t>“</w:t>
      </w:r>
      <w:r w:rsidR="00CA33F9" w:rsidRPr="00CA33F9">
        <w:rPr>
          <w:i/>
        </w:rPr>
        <w:t xml:space="preserve">Whenever we've tried endorsement labels in Australia, </w:t>
      </w:r>
      <w:r w:rsidR="006153BB" w:rsidRPr="00CA33F9">
        <w:rPr>
          <w:i/>
        </w:rPr>
        <w:t>government</w:t>
      </w:r>
      <w:r w:rsidR="006153BB">
        <w:rPr>
          <w:i/>
        </w:rPr>
        <w:t>s have</w:t>
      </w:r>
      <w:r w:rsidR="00CA33F9" w:rsidRPr="00CA33F9">
        <w:rPr>
          <w:i/>
        </w:rPr>
        <w:t xml:space="preserve"> been unwilling to commit to spend on communication/promotion over a prolonged period.</w:t>
      </w:r>
      <w:r w:rsidR="00CA33F9">
        <w:rPr>
          <w:i/>
        </w:rPr>
        <w:t>”</w:t>
      </w:r>
      <w:r>
        <w:rPr>
          <w:i/>
        </w:rPr>
        <w:t xml:space="preserve"> </w:t>
      </w:r>
      <w:r>
        <w:t>(Technical expert)</w:t>
      </w:r>
    </w:p>
    <w:p w14:paraId="573D6AC3" w14:textId="77777777" w:rsidR="00CA33F9" w:rsidRPr="00983742" w:rsidRDefault="00F61F55" w:rsidP="00FD6CA4">
      <w:r>
        <w:t xml:space="preserve">It is clear that endorsement labelling as an E3 policy is supported by </w:t>
      </w:r>
      <w:r w:rsidR="002F6A7B">
        <w:t xml:space="preserve">some </w:t>
      </w:r>
      <w:r>
        <w:t xml:space="preserve">stakeholders. However, opportunities exist to </w:t>
      </w:r>
      <w:r w:rsidR="008C73C6">
        <w:t>fine tune</w:t>
      </w:r>
      <w:r>
        <w:t xml:space="preserve"> the implementation and design of the current scheme. </w:t>
      </w:r>
    </w:p>
    <w:p w14:paraId="6A359101" w14:textId="77777777" w:rsidR="00B13EC5" w:rsidRDefault="00B13EC5" w:rsidP="009F4031">
      <w:pPr>
        <w:pStyle w:val="Heading3"/>
      </w:pPr>
      <w:bookmarkStart w:id="49" w:name="_Ref408569524"/>
      <w:bookmarkStart w:id="50" w:name="_Toc422298382"/>
      <w:r>
        <w:t>Other policy intervention</w:t>
      </w:r>
      <w:bookmarkEnd w:id="49"/>
      <w:r>
        <w:t>s</w:t>
      </w:r>
      <w:bookmarkEnd w:id="50"/>
    </w:p>
    <w:p w14:paraId="2408CF39" w14:textId="77777777" w:rsidR="00B13EC5" w:rsidRDefault="0095516D" w:rsidP="009F4031">
      <w:pPr>
        <w:spacing w:after="0"/>
      </w:pPr>
      <w:r>
        <w:t>Whilst a</w:t>
      </w:r>
      <w:r w:rsidR="00B13EC5">
        <w:t xml:space="preserve">lmost all discussions </w:t>
      </w:r>
      <w:r>
        <w:t xml:space="preserve">with stakeholders focussed </w:t>
      </w:r>
      <w:r w:rsidR="00B13EC5">
        <w:t>on MEPS and labelling</w:t>
      </w:r>
      <w:r>
        <w:rPr>
          <w:rStyle w:val="FootnoteReference"/>
        </w:rPr>
        <w:footnoteReference w:id="85"/>
      </w:r>
      <w:r>
        <w:t xml:space="preserve">, </w:t>
      </w:r>
      <w:r w:rsidR="00B13EC5">
        <w:t xml:space="preserve">two other intervention types were </w:t>
      </w:r>
      <w:r>
        <w:t>discussed:</w:t>
      </w:r>
    </w:p>
    <w:p w14:paraId="01027ADA" w14:textId="77777777" w:rsidR="00B13EC5" w:rsidRDefault="00B13EC5" w:rsidP="00320FDC">
      <w:pPr>
        <w:numPr>
          <w:ilvl w:val="0"/>
          <w:numId w:val="23"/>
        </w:numPr>
        <w:spacing w:after="0"/>
      </w:pPr>
      <w:r>
        <w:t>Green procurement policies – for example setting procurement standards to purchase energy efficient products</w:t>
      </w:r>
      <w:r w:rsidR="00763F7F">
        <w:t>; and</w:t>
      </w:r>
      <w:r>
        <w:t xml:space="preserve">  </w:t>
      </w:r>
    </w:p>
    <w:p w14:paraId="572FB910" w14:textId="77777777" w:rsidR="00B13EC5" w:rsidRDefault="00B13EC5" w:rsidP="00320FDC">
      <w:pPr>
        <w:numPr>
          <w:ilvl w:val="0"/>
          <w:numId w:val="23"/>
        </w:numPr>
        <w:spacing w:after="0"/>
      </w:pPr>
      <w:r>
        <w:t xml:space="preserve">Building standards/energy efficiency policies – setting standards. </w:t>
      </w:r>
    </w:p>
    <w:p w14:paraId="5CDB79AC" w14:textId="77777777" w:rsidR="00B13EC5" w:rsidRDefault="00B13EC5" w:rsidP="009F4031">
      <w:pPr>
        <w:spacing w:after="0"/>
      </w:pPr>
    </w:p>
    <w:p w14:paraId="6AD79F23" w14:textId="77777777" w:rsidR="00B13EC5" w:rsidRPr="00845AF3" w:rsidRDefault="00845AF3" w:rsidP="00845AF3">
      <w:pPr>
        <w:pStyle w:val="CommentText"/>
        <w:spacing w:after="0" w:line="276" w:lineRule="auto"/>
        <w:rPr>
          <w:sz w:val="22"/>
          <w:szCs w:val="22"/>
        </w:rPr>
      </w:pPr>
      <w:r w:rsidRPr="00845AF3">
        <w:rPr>
          <w:sz w:val="22"/>
          <w:szCs w:val="22"/>
        </w:rPr>
        <w:t>N</w:t>
      </w:r>
      <w:r w:rsidR="00FD6CA4" w:rsidRPr="00845AF3">
        <w:rPr>
          <w:sz w:val="22"/>
          <w:szCs w:val="22"/>
        </w:rPr>
        <w:t xml:space="preserve">either of these policies could be implemented </w:t>
      </w:r>
      <w:r w:rsidRPr="00845AF3">
        <w:rPr>
          <w:sz w:val="22"/>
          <w:szCs w:val="22"/>
        </w:rPr>
        <w:t>as part of the E3 Program.  However, b</w:t>
      </w:r>
      <w:r w:rsidR="00B13EC5" w:rsidRPr="00845AF3">
        <w:rPr>
          <w:sz w:val="22"/>
          <w:szCs w:val="22"/>
        </w:rPr>
        <w:t>oth were discussed as policies which should be applied ‘in addition to’, or ‘in tandem with’ MEPS and labelling as opposed to considering them as alternatives.  It was also mention</w:t>
      </w:r>
      <w:r w:rsidR="0095516D" w:rsidRPr="00845AF3">
        <w:rPr>
          <w:sz w:val="22"/>
          <w:szCs w:val="22"/>
        </w:rPr>
        <w:t>ed</w:t>
      </w:r>
      <w:r w:rsidR="00B13EC5" w:rsidRPr="00845AF3">
        <w:rPr>
          <w:sz w:val="22"/>
          <w:szCs w:val="22"/>
        </w:rPr>
        <w:t xml:space="preserve"> that these policies often </w:t>
      </w:r>
      <w:r w:rsidR="00A516C1" w:rsidRPr="00845AF3">
        <w:rPr>
          <w:sz w:val="22"/>
          <w:szCs w:val="22"/>
        </w:rPr>
        <w:t xml:space="preserve">rely upon </w:t>
      </w:r>
      <w:r w:rsidR="00B13EC5" w:rsidRPr="00845AF3">
        <w:rPr>
          <w:sz w:val="22"/>
          <w:szCs w:val="22"/>
        </w:rPr>
        <w:t xml:space="preserve">MEPS and labelling standards upon which to set such policies.  </w:t>
      </w:r>
      <w:r w:rsidR="0095516D" w:rsidRPr="00845AF3">
        <w:rPr>
          <w:sz w:val="22"/>
          <w:szCs w:val="22"/>
        </w:rPr>
        <w:t xml:space="preserve">It is known that such supporting policies have been developed in other </w:t>
      </w:r>
      <w:r w:rsidR="00A516C1" w:rsidRPr="00845AF3">
        <w:rPr>
          <w:sz w:val="22"/>
          <w:szCs w:val="22"/>
        </w:rPr>
        <w:t>economies;</w:t>
      </w:r>
      <w:r w:rsidR="0095516D" w:rsidRPr="00845AF3">
        <w:rPr>
          <w:sz w:val="22"/>
          <w:szCs w:val="22"/>
        </w:rPr>
        <w:t xml:space="preserve"> however detailed analysis of this was not included within the scope of this review.  </w:t>
      </w:r>
    </w:p>
    <w:p w14:paraId="6D00F1E1" w14:textId="77777777" w:rsidR="00843EA4" w:rsidRDefault="00ED2DC5" w:rsidP="009F4031">
      <w:pPr>
        <w:pStyle w:val="Heading2"/>
      </w:pPr>
      <w:bookmarkStart w:id="51" w:name="_Ref405384733"/>
      <w:bookmarkStart w:id="52" w:name="_Toc422298383"/>
      <w:r>
        <w:t xml:space="preserve">Scheme </w:t>
      </w:r>
      <w:r w:rsidR="00B94359">
        <w:t xml:space="preserve">design and </w:t>
      </w:r>
      <w:r>
        <w:t>administration</w:t>
      </w:r>
      <w:bookmarkEnd w:id="51"/>
      <w:bookmarkEnd w:id="52"/>
    </w:p>
    <w:p w14:paraId="584C41CB" w14:textId="77777777" w:rsidR="001D4903" w:rsidRDefault="005C07D2" w:rsidP="009F4031">
      <w:pPr>
        <w:pStyle w:val="Heading3"/>
      </w:pPr>
      <w:bookmarkStart w:id="53" w:name="_Toc412881286"/>
      <w:bookmarkStart w:id="54" w:name="_Toc422298384"/>
      <w:bookmarkEnd w:id="53"/>
      <w:r>
        <w:t>Government intervention</w:t>
      </w:r>
      <w:r w:rsidR="00801C1C">
        <w:t xml:space="preserve"> vs. alternatives</w:t>
      </w:r>
      <w:bookmarkEnd w:id="54"/>
    </w:p>
    <w:p w14:paraId="0084E8BC" w14:textId="77777777" w:rsidR="00695D97" w:rsidRPr="00BC751F" w:rsidRDefault="00EA23DE" w:rsidP="009F4031">
      <w:pPr>
        <w:rPr>
          <w:b/>
        </w:rPr>
      </w:pPr>
      <w:r w:rsidRPr="00BC751F">
        <w:rPr>
          <w:b/>
        </w:rPr>
        <w:t xml:space="preserve">MEPS and comparison labelling </w:t>
      </w:r>
    </w:p>
    <w:p w14:paraId="05E11B90" w14:textId="77777777" w:rsidR="00FC0C46" w:rsidRDefault="00472C2E" w:rsidP="007F10F8">
      <w:r>
        <w:t xml:space="preserve">For reasons explored in </w:t>
      </w:r>
      <w:r w:rsidR="00300314">
        <w:t>S</w:t>
      </w:r>
      <w:r>
        <w:t xml:space="preserve">ection </w:t>
      </w:r>
      <w:r>
        <w:fldChar w:fldCharType="begin"/>
      </w:r>
      <w:r>
        <w:instrText xml:space="preserve"> REF _Ref409080029 \r \h </w:instrText>
      </w:r>
      <w:r w:rsidR="009F4031">
        <w:instrText xml:space="preserve"> \* MERGEFORMAT </w:instrText>
      </w:r>
      <w:r>
        <w:fldChar w:fldCharType="separate"/>
      </w:r>
      <w:r w:rsidR="00BE13BF">
        <w:t>5.2</w:t>
      </w:r>
      <w:r>
        <w:fldChar w:fldCharType="end"/>
      </w:r>
      <w:r w:rsidR="00763F7F">
        <w:t>,</w:t>
      </w:r>
      <w:r w:rsidR="00EA23DE" w:rsidRPr="00FC0C46">
        <w:t xml:space="preserve"> MEPS and </w:t>
      </w:r>
      <w:r w:rsidR="005C07D2" w:rsidRPr="00FC0C46">
        <w:t xml:space="preserve">comparison </w:t>
      </w:r>
      <w:r w:rsidR="00EA23DE" w:rsidRPr="00FC0C46">
        <w:t xml:space="preserve">labelling schemes </w:t>
      </w:r>
      <w:r w:rsidR="00763F7F">
        <w:t xml:space="preserve">globally </w:t>
      </w:r>
      <w:r w:rsidR="00EA23DE" w:rsidRPr="00FC0C46">
        <w:t xml:space="preserve">are </w:t>
      </w:r>
      <w:r w:rsidR="00B94359">
        <w:t xml:space="preserve">design-led and </w:t>
      </w:r>
      <w:r w:rsidR="00EA23DE" w:rsidRPr="00FC0C46">
        <w:t xml:space="preserve">administered by </w:t>
      </w:r>
      <w:r w:rsidR="00763F7F">
        <w:t>g</w:t>
      </w:r>
      <w:r w:rsidR="00EA23DE" w:rsidRPr="00FC0C46">
        <w:t>overnments, with very few exceptions</w:t>
      </w:r>
      <w:r w:rsidR="00EA23DE" w:rsidRPr="00FC0C46">
        <w:rPr>
          <w:rStyle w:val="FootnoteReference"/>
        </w:rPr>
        <w:footnoteReference w:id="86"/>
      </w:r>
      <w:r w:rsidR="005C07D2" w:rsidRPr="00FC0C46">
        <w:t xml:space="preserve">. </w:t>
      </w:r>
      <w:r w:rsidR="00D36DF6">
        <w:t xml:space="preserve"> </w:t>
      </w:r>
      <w:r w:rsidR="00FC0C46" w:rsidRPr="00FC0C46">
        <w:t>International best practice guidance discusses</w:t>
      </w:r>
      <w:r w:rsidR="007F10F8">
        <w:t xml:space="preserve"> that this is because they require industry to take action where they would otherwise not, and therefore need the necessary powers to enable effective implementation.  </w:t>
      </w:r>
      <w:r w:rsidR="00103B7A">
        <w:t xml:space="preserve">Administrations </w:t>
      </w:r>
      <w:r w:rsidR="00FC0C46" w:rsidRPr="00FC0C46">
        <w:t xml:space="preserve">also </w:t>
      </w:r>
      <w:r w:rsidR="00FC0C46">
        <w:t xml:space="preserve">should </w:t>
      </w:r>
      <w:r w:rsidR="00FC0C46" w:rsidRPr="00FC0C46">
        <w:t xml:space="preserve">be strong with </w:t>
      </w:r>
      <w:r w:rsidR="00F868F4">
        <w:t>the</w:t>
      </w:r>
      <w:r w:rsidR="00FC0C46" w:rsidRPr="00FC0C46">
        <w:t xml:space="preserve"> political will </w:t>
      </w:r>
      <w:r w:rsidR="00F868F4">
        <w:t xml:space="preserve">necessary </w:t>
      </w:r>
      <w:r w:rsidR="00FC0C46" w:rsidRPr="00FC0C46">
        <w:t xml:space="preserve">to </w:t>
      </w:r>
      <w:r w:rsidR="007F10F8">
        <w:t xml:space="preserve">manage potential </w:t>
      </w:r>
      <w:r w:rsidR="00FC0C46" w:rsidRPr="00FC0C46">
        <w:t>issues – such as market reactions</w:t>
      </w:r>
      <w:r w:rsidR="007F10F8">
        <w:t xml:space="preserve"> to setting of</w:t>
      </w:r>
      <w:r w:rsidR="00FC0C46">
        <w:t xml:space="preserve"> MEPS </w:t>
      </w:r>
      <w:r w:rsidR="007F10F8">
        <w:t>levels and compliance</w:t>
      </w:r>
      <w:r w:rsidR="00FC0C46">
        <w:t xml:space="preserve">.  </w:t>
      </w:r>
    </w:p>
    <w:p w14:paraId="27EB1DAF" w14:textId="77777777" w:rsidR="00103B7A" w:rsidRDefault="00FC0C46" w:rsidP="009F4031">
      <w:r w:rsidRPr="00472C2E">
        <w:rPr>
          <w:u w:val="single"/>
        </w:rPr>
        <w:t>Stakeholder interviews</w:t>
      </w:r>
    </w:p>
    <w:p w14:paraId="01DE94A8" w14:textId="77777777" w:rsidR="007F10F8" w:rsidRDefault="00FC0C46" w:rsidP="009F4031">
      <w:r w:rsidRPr="003C1508">
        <w:t xml:space="preserve">Most respondents from all stakeholder groups believed that the scheme </w:t>
      </w:r>
      <w:r w:rsidR="007F10F8">
        <w:t xml:space="preserve">should be </w:t>
      </w:r>
      <w:r w:rsidRPr="003C1508">
        <w:t xml:space="preserve">administered by </w:t>
      </w:r>
      <w:r w:rsidR="00763F7F">
        <w:t>g</w:t>
      </w:r>
      <w:r w:rsidRPr="003C1508">
        <w:t>overnment, on the basis that it provides transparency and trust in the scheme</w:t>
      </w:r>
      <w:r w:rsidR="007F10F8">
        <w:t xml:space="preserve"> and can effectively represent the interests of all stakeholders.  </w:t>
      </w:r>
    </w:p>
    <w:p w14:paraId="52F9AF8F" w14:textId="77777777" w:rsidR="00103B7A" w:rsidRPr="008E6F54" w:rsidRDefault="004D410A" w:rsidP="002E33F7">
      <w:pPr>
        <w:rPr>
          <w:i/>
        </w:rPr>
      </w:pPr>
      <w:r>
        <w:t>A</w:t>
      </w:r>
      <w:r w:rsidR="00103B7A">
        <w:t xml:space="preserve"> few </w:t>
      </w:r>
      <w:r>
        <w:t xml:space="preserve">industry </w:t>
      </w:r>
      <w:r w:rsidR="000347E8">
        <w:t>representatives</w:t>
      </w:r>
      <w:r>
        <w:t xml:space="preserve"> suggested that industry-led administration could</w:t>
      </w:r>
      <w:r w:rsidR="00103B7A" w:rsidRPr="004B2D53">
        <w:t xml:space="preserve"> </w:t>
      </w:r>
      <w:r w:rsidR="00103B7A">
        <w:t xml:space="preserve">have advantages as they could </w:t>
      </w:r>
      <w:r w:rsidR="00103B7A" w:rsidRPr="004B2D53">
        <w:t xml:space="preserve">more effectively reflect </w:t>
      </w:r>
      <w:r w:rsidR="00103B7A">
        <w:t xml:space="preserve">the needs of their markets in scheme design.  </w:t>
      </w:r>
      <w:r>
        <w:t xml:space="preserve">Specific examples cited included the design of standards testing methods and appropriate consideration of market </w:t>
      </w:r>
      <w:r w:rsidR="00103B7A">
        <w:t xml:space="preserve">sub-categorisation (e.g. different classes of products within a group).  </w:t>
      </w:r>
      <w:r>
        <w:t xml:space="preserve">However it was recognised that it would be challenging to select who might lead administration and how this would be resourced.  </w:t>
      </w:r>
      <w:r w:rsidR="000347E8">
        <w:t xml:space="preserve">Furthermore, </w:t>
      </w:r>
      <w:r w:rsidR="002E33F7">
        <w:t xml:space="preserve">it was also discussed that such issues could be resolved by other means – </w:t>
      </w:r>
      <w:r w:rsidR="002E33F7">
        <w:lastRenderedPageBreak/>
        <w:t xml:space="preserve">such as through </w:t>
      </w:r>
      <w:r w:rsidR="00103B7A">
        <w:t xml:space="preserve">effective involvement by industry in the design and delivery of </w:t>
      </w:r>
      <w:r w:rsidR="00763F7F">
        <w:t>g</w:t>
      </w:r>
      <w:r w:rsidR="00103B7A">
        <w:t xml:space="preserve">overnment led schemes.  </w:t>
      </w:r>
    </w:p>
    <w:p w14:paraId="4FD0DDD3" w14:textId="77777777" w:rsidR="00FC0C46" w:rsidRDefault="00103B7A" w:rsidP="00103B7A">
      <w:pPr>
        <w:spacing w:after="0"/>
        <w:ind w:firstLine="459"/>
        <w:rPr>
          <w:i/>
        </w:rPr>
      </w:pPr>
      <w:r>
        <w:rPr>
          <w:i/>
        </w:rPr>
        <w:t xml:space="preserve"> </w:t>
      </w:r>
      <w:r w:rsidR="00FC0C46">
        <w:rPr>
          <w:i/>
        </w:rPr>
        <w:t>“</w:t>
      </w:r>
      <w:r w:rsidR="00FC0C46" w:rsidRPr="00EF3524">
        <w:rPr>
          <w:i/>
        </w:rPr>
        <w:t>I think the current arrangements work well</w:t>
      </w:r>
      <w:r w:rsidR="00454DFA">
        <w:rPr>
          <w:i/>
        </w:rPr>
        <w:t>”</w:t>
      </w:r>
      <w:r w:rsidR="00FC0C46">
        <w:rPr>
          <w:i/>
        </w:rPr>
        <w:t xml:space="preserve"> (Electronics industry respondent)</w:t>
      </w:r>
    </w:p>
    <w:p w14:paraId="1ADACAC9" w14:textId="77777777" w:rsidR="00FC0C46" w:rsidRDefault="00FC0C46" w:rsidP="009F4031">
      <w:pPr>
        <w:spacing w:after="0"/>
        <w:ind w:left="459"/>
        <w:rPr>
          <w:i/>
        </w:rPr>
      </w:pPr>
      <w:r>
        <w:rPr>
          <w:i/>
        </w:rPr>
        <w:t>“[Consumers] c</w:t>
      </w:r>
      <w:r w:rsidRPr="00680FEC">
        <w:rPr>
          <w:i/>
        </w:rPr>
        <w:t>ouldn't have faith in a scheme that was administrated by industry for industry. Motivat</w:t>
      </w:r>
      <w:r>
        <w:rPr>
          <w:i/>
        </w:rPr>
        <w:t>ion</w:t>
      </w:r>
      <w:r w:rsidRPr="00680FEC">
        <w:rPr>
          <w:i/>
        </w:rPr>
        <w:t>s would be questionable if industry was involved</w:t>
      </w:r>
      <w:r>
        <w:rPr>
          <w:i/>
        </w:rPr>
        <w:t>.” (Consumer representative)</w:t>
      </w:r>
    </w:p>
    <w:p w14:paraId="56A24068" w14:textId="77777777" w:rsidR="00472C2E" w:rsidRPr="00472C2E" w:rsidRDefault="00472C2E" w:rsidP="009F4031">
      <w:pPr>
        <w:spacing w:after="0"/>
        <w:ind w:left="1134"/>
        <w:rPr>
          <w:i/>
        </w:rPr>
      </w:pPr>
    </w:p>
    <w:p w14:paraId="298DC93F" w14:textId="77777777" w:rsidR="00695D97" w:rsidRPr="00BC751F" w:rsidRDefault="00695D97" w:rsidP="009F4031">
      <w:pPr>
        <w:rPr>
          <w:b/>
        </w:rPr>
      </w:pPr>
      <w:r w:rsidRPr="00BC751F">
        <w:rPr>
          <w:b/>
        </w:rPr>
        <w:t>Endorsement labelling</w:t>
      </w:r>
    </w:p>
    <w:p w14:paraId="3F6E4C34" w14:textId="77777777" w:rsidR="001D2322" w:rsidRDefault="004F434B" w:rsidP="009F4031">
      <w:r>
        <w:t>Globally, endorsement labelling schemes can and are administered by</w:t>
      </w:r>
      <w:r w:rsidR="001D4903" w:rsidRPr="00472C2E">
        <w:t xml:space="preserve"> </w:t>
      </w:r>
      <w:r w:rsidR="00763F7F">
        <w:t>g</w:t>
      </w:r>
      <w:r w:rsidR="001D4903" w:rsidRPr="00472C2E">
        <w:t>over</w:t>
      </w:r>
      <w:r>
        <w:t>nment, non-</w:t>
      </w:r>
      <w:r w:rsidR="00763F7F">
        <w:t>g</w:t>
      </w:r>
      <w:r>
        <w:t>overnmental bodies and</w:t>
      </w:r>
      <w:r w:rsidR="00E20A2F">
        <w:t>/or industry</w:t>
      </w:r>
      <w:r w:rsidR="00782A03">
        <w:t xml:space="preserve"> bodies</w:t>
      </w:r>
      <w:r>
        <w:t xml:space="preserve">.  </w:t>
      </w:r>
      <w:r w:rsidR="00CA33F9">
        <w:t xml:space="preserve">However, </w:t>
      </w:r>
      <w:r w:rsidR="00E20A2F">
        <w:t>as discussed above, those which have gained significant traction internationally have generally benefitted from significant</w:t>
      </w:r>
      <w:r w:rsidR="001D2322">
        <w:t xml:space="preserve"> public sector resources to undertake promotion and administration.</w:t>
      </w:r>
    </w:p>
    <w:p w14:paraId="056E4A53" w14:textId="77777777" w:rsidR="001D4903" w:rsidRPr="00583078" w:rsidRDefault="00A42633" w:rsidP="009F4031">
      <w:pPr>
        <w:pStyle w:val="Heading3"/>
      </w:pPr>
      <w:bookmarkStart w:id="55" w:name="_Toc412881288"/>
      <w:bookmarkStart w:id="56" w:name="_Toc422298385"/>
      <w:bookmarkEnd w:id="55"/>
      <w:r>
        <w:t>Level of</w:t>
      </w:r>
      <w:r w:rsidR="001D4903" w:rsidRPr="00583078">
        <w:t xml:space="preserve"> government</w:t>
      </w:r>
      <w:bookmarkEnd w:id="56"/>
    </w:p>
    <w:p w14:paraId="7326070D" w14:textId="77777777" w:rsidR="000A6E30" w:rsidRDefault="000A6E30" w:rsidP="009F4031">
      <w:r>
        <w:t xml:space="preserve">Given that government is, largely, best placed to design and administer schemes, further exploration was undertaken to help inform what level of government (e.g. national, state) would be best placed to take this forward.  </w:t>
      </w:r>
    </w:p>
    <w:p w14:paraId="14E960B5" w14:textId="77777777" w:rsidR="009918A7" w:rsidRDefault="00A42633" w:rsidP="009918A7">
      <w:pPr>
        <w:rPr>
          <w:lang w:val="en-AU"/>
        </w:rPr>
      </w:pPr>
      <w:r>
        <w:t>Globally</w:t>
      </w:r>
      <w:r w:rsidR="000A6E30">
        <w:t>,</w:t>
      </w:r>
      <w:r>
        <w:t xml:space="preserve"> experience can be drawn from </w:t>
      </w:r>
      <w:r w:rsidR="00763F7F">
        <w:t xml:space="preserve">across </w:t>
      </w:r>
      <w:r>
        <w:t>sub-national, national and trans-national levels of government administration.  For example</w:t>
      </w:r>
      <w:r w:rsidR="008C7639">
        <w:t>,</w:t>
      </w:r>
      <w:r>
        <w:t xml:space="preserve"> </w:t>
      </w:r>
      <w:r w:rsidR="008C7639">
        <w:t xml:space="preserve">in </w:t>
      </w:r>
      <w:r>
        <w:t>the EU</w:t>
      </w:r>
      <w:r w:rsidR="00DC54DD">
        <w:t>,</w:t>
      </w:r>
      <w:r>
        <w:t xml:space="preserve"> </w:t>
      </w:r>
      <w:r w:rsidR="008C7639">
        <w:t xml:space="preserve">MEPS &amp; labelling measures are determined across the single-market, but implemented by Member States. </w:t>
      </w:r>
      <w:r w:rsidR="00D36DF6">
        <w:t xml:space="preserve"> </w:t>
      </w:r>
      <w:r w:rsidR="008C7639">
        <w:t xml:space="preserve">The </w:t>
      </w:r>
      <w:r>
        <w:t>US</w:t>
      </w:r>
      <w:r w:rsidR="009918A7">
        <w:t>A</w:t>
      </w:r>
      <w:r>
        <w:t xml:space="preserve"> </w:t>
      </w:r>
      <w:r w:rsidR="008C7639">
        <w:t xml:space="preserve">runs a national appliance regulatory program, although there is potential for states to undertake additional actions under specific conditions.  </w:t>
      </w:r>
    </w:p>
    <w:p w14:paraId="582FB148" w14:textId="77777777" w:rsidR="009918A7" w:rsidRDefault="009918A7" w:rsidP="009918A7">
      <w:pPr>
        <w:rPr>
          <w:lang w:val="en-AU"/>
        </w:rPr>
      </w:pPr>
      <w:r>
        <w:rPr>
          <w:lang w:val="en-AU"/>
        </w:rPr>
        <w:t xml:space="preserve">Australia (in partnership with New Zealand) runs a federal scheme and previously ran a nationally co-ordinated state and territory scheme.  </w:t>
      </w:r>
      <w:r w:rsidR="00D36DF6">
        <w:rPr>
          <w:lang w:val="en-AU"/>
        </w:rPr>
        <w:t xml:space="preserve"> </w:t>
      </w:r>
      <w:r>
        <w:rPr>
          <w:lang w:val="en-AU"/>
        </w:rPr>
        <w:t xml:space="preserve">Similar to the circumstances in the USA, the states can undertake additional action in specific circumstances. </w:t>
      </w:r>
    </w:p>
    <w:p w14:paraId="38B0F378" w14:textId="77777777" w:rsidR="00A42633" w:rsidRDefault="00A42633" w:rsidP="009918A7">
      <w:r>
        <w:t xml:space="preserve">Japan, China and other countries administer national schemes.  </w:t>
      </w:r>
    </w:p>
    <w:p w14:paraId="7779140A" w14:textId="77777777" w:rsidR="00BA4743" w:rsidRDefault="00BA4743" w:rsidP="009F4031">
      <w:r>
        <w:t>Over time, a trend has been observed</w:t>
      </w:r>
      <w:r w:rsidR="000A6E30">
        <w:t xml:space="preserve"> where </w:t>
      </w:r>
      <w:r>
        <w:t xml:space="preserve">schemes </w:t>
      </w:r>
      <w:r w:rsidR="00007AE6">
        <w:t xml:space="preserve">evolve </w:t>
      </w:r>
      <w:r>
        <w:t xml:space="preserve">from </w:t>
      </w:r>
      <w:r w:rsidRPr="003C1508">
        <w:t xml:space="preserve">sub-national or national beginnings to being administered by the ‘highest’ level of </w:t>
      </w:r>
      <w:r w:rsidR="00763F7F">
        <w:t>g</w:t>
      </w:r>
      <w:r w:rsidRPr="003C1508">
        <w:t>overnment</w:t>
      </w:r>
      <w:r w:rsidR="000A6E30">
        <w:t xml:space="preserve"> over time</w:t>
      </w:r>
      <w:r w:rsidRPr="003C1508">
        <w:rPr>
          <w:rStyle w:val="FootnoteReference"/>
        </w:rPr>
        <w:footnoteReference w:id="87"/>
      </w:r>
      <w:r w:rsidRPr="003C1508">
        <w:t>.</w:t>
      </w:r>
      <w:r>
        <w:t xml:space="preserve">  </w:t>
      </w:r>
      <w:r w:rsidR="000A6E30">
        <w:t>Furthermore, t</w:t>
      </w:r>
      <w:r>
        <w:t xml:space="preserve">here has been significant policy focus on harmonizing schemes internationally, as product markets tend to be and </w:t>
      </w:r>
      <w:r w:rsidR="00103B7A">
        <w:t>have become increasingly global</w:t>
      </w:r>
      <w:r>
        <w:t xml:space="preserve"> in nature.  </w:t>
      </w:r>
    </w:p>
    <w:p w14:paraId="7B02AE7A" w14:textId="77777777" w:rsidR="00BA4743" w:rsidRPr="00964BC2" w:rsidRDefault="00BA4743" w:rsidP="009F4031">
      <w:r w:rsidRPr="00BA4743">
        <w:rPr>
          <w:i/>
        </w:rPr>
        <w:t>“International experience to date has shown that, in the case of energy labelling, cultural differences are often not as important as cultural similarities, and much of what works in one region is often transferable to another</w:t>
      </w:r>
      <w:r>
        <w:rPr>
          <w:rStyle w:val="FootnoteReference"/>
          <w:i/>
        </w:rPr>
        <w:footnoteReference w:id="88"/>
      </w:r>
      <w:r w:rsidRPr="00BA4743">
        <w:rPr>
          <w:i/>
        </w:rPr>
        <w:t>”</w:t>
      </w:r>
      <w:r w:rsidR="00964BC2">
        <w:rPr>
          <w:i/>
        </w:rPr>
        <w:t xml:space="preserve"> </w:t>
      </w:r>
      <w:r w:rsidR="00964BC2">
        <w:t xml:space="preserve">(CLASP Standards and Labelling guidance) </w:t>
      </w:r>
    </w:p>
    <w:p w14:paraId="30EC7F6C" w14:textId="77777777" w:rsidR="00673C3E" w:rsidRDefault="00BA4743" w:rsidP="009F4031">
      <w:r>
        <w:t xml:space="preserve">The </w:t>
      </w:r>
      <w:r w:rsidR="00044D3A">
        <w:t xml:space="preserve">reported </w:t>
      </w:r>
      <w:r>
        <w:t xml:space="preserve">advantages </w:t>
      </w:r>
      <w:r w:rsidR="00EC4774">
        <w:t xml:space="preserve">of administration by higher levels of </w:t>
      </w:r>
      <w:r w:rsidR="00763F7F">
        <w:t>g</w:t>
      </w:r>
      <w:r w:rsidR="00EC4774">
        <w:t>overnment are similar to those behind the rationale for the transition to</w:t>
      </w:r>
      <w:r w:rsidR="000A6E30">
        <w:t xml:space="preserve"> a Commonwealth led scheme for</w:t>
      </w:r>
      <w:r w:rsidR="00EC4774">
        <w:t xml:space="preserve"> GEMS (</w:t>
      </w:r>
      <w:r w:rsidR="00300314">
        <w:t>S</w:t>
      </w:r>
      <w:r w:rsidR="00EC4774">
        <w:t xml:space="preserve">ection </w:t>
      </w:r>
      <w:r w:rsidR="00EC4774">
        <w:fldChar w:fldCharType="begin"/>
      </w:r>
      <w:r w:rsidR="00EC4774">
        <w:instrText xml:space="preserve"> REF _Ref409083289 \r \h </w:instrText>
      </w:r>
      <w:r w:rsidR="009F4031">
        <w:instrText xml:space="preserve"> \* MERGEFORMAT </w:instrText>
      </w:r>
      <w:r w:rsidR="00EC4774">
        <w:fldChar w:fldCharType="separate"/>
      </w:r>
      <w:r w:rsidR="00BE13BF">
        <w:t>3.1.2</w:t>
      </w:r>
      <w:r w:rsidR="00EC4774">
        <w:fldChar w:fldCharType="end"/>
      </w:r>
      <w:r w:rsidR="00EC4774">
        <w:t>)</w:t>
      </w:r>
      <w:r w:rsidR="000A6E30">
        <w:t>.  These include</w:t>
      </w:r>
      <w:r w:rsidR="00044D3A">
        <w:t xml:space="preserve"> greater market coverage</w:t>
      </w:r>
      <w:r w:rsidR="00F024D1">
        <w:t xml:space="preserve"> and harmonisation</w:t>
      </w:r>
      <w:r w:rsidR="00044D3A">
        <w:t>, removal of inconsistencie</w:t>
      </w:r>
      <w:r w:rsidR="00103B7A">
        <w:t>s and</w:t>
      </w:r>
      <w:r w:rsidR="00044D3A">
        <w:t xml:space="preserve"> reduction in administrative burden for compliance.  </w:t>
      </w:r>
    </w:p>
    <w:p w14:paraId="7BE12ADF" w14:textId="77777777" w:rsidR="00B94359" w:rsidRPr="00B94359" w:rsidRDefault="00B94359" w:rsidP="009F4031">
      <w:r w:rsidRPr="00B94359">
        <w:lastRenderedPageBreak/>
        <w:t>One study by CLASP has assessed and estimated the likely potential benefits of harmoni</w:t>
      </w:r>
      <w:r w:rsidR="00785B31">
        <w:t>s</w:t>
      </w:r>
      <w:r w:rsidRPr="00B94359">
        <w:t xml:space="preserve">ation, which reported that </w:t>
      </w:r>
      <w:r w:rsidR="00103B7A">
        <w:t>if</w:t>
      </w:r>
      <w:r w:rsidRPr="00B94359">
        <w:t xml:space="preserve"> the current most broadly based and stringent equipment efficiency regulations </w:t>
      </w:r>
      <w:r w:rsidR="00785B31">
        <w:t xml:space="preserve">were </w:t>
      </w:r>
      <w:r w:rsidRPr="00B94359">
        <w:t>to be adopted world-wide by 2030 it would save 4000 TWh of final electricity demand</w:t>
      </w:r>
      <w:r w:rsidRPr="00B94359">
        <w:rPr>
          <w:rStyle w:val="FootnoteReference"/>
        </w:rPr>
        <w:footnoteReference w:id="89"/>
      </w:r>
      <w:r w:rsidRPr="00B94359">
        <w:t xml:space="preserve">. </w:t>
      </w:r>
    </w:p>
    <w:p w14:paraId="0836A8A6" w14:textId="77777777" w:rsidR="00F024D1" w:rsidRDefault="00BA4743" w:rsidP="009F4031">
      <w:r>
        <w:t>However, international harmoni</w:t>
      </w:r>
      <w:r w:rsidR="00785B31">
        <w:t>s</w:t>
      </w:r>
      <w:r>
        <w:t xml:space="preserve">ation does not necessarily require administration by the highest level of </w:t>
      </w:r>
      <w:r w:rsidR="00785B31">
        <w:t>g</w:t>
      </w:r>
      <w:r>
        <w:t>overnment</w:t>
      </w:r>
      <w:r w:rsidR="00EC4774">
        <w:t xml:space="preserve"> (although it is likely to be more efficient)</w:t>
      </w:r>
      <w:r>
        <w:t xml:space="preserve"> – it just means that whoever is responsible for administration</w:t>
      </w:r>
      <w:r w:rsidR="00EC4774">
        <w:t xml:space="preserve"> should ensure the scheme is aligned as far as possible with international markets.  </w:t>
      </w:r>
      <w:r w:rsidR="00F024D1">
        <w:t xml:space="preserve">The GEMS predecessor scheme is reported in the literature as an example of how this can work </w:t>
      </w:r>
      <w:r w:rsidR="00E01AE5">
        <w:t>(</w:t>
      </w:r>
      <w:r w:rsidR="00F024D1">
        <w:t>despite its reported problems</w:t>
      </w:r>
      <w:r w:rsidR="00E01AE5">
        <w:t>)</w:t>
      </w:r>
      <w:r w:rsidR="00F024D1">
        <w:rPr>
          <w:rStyle w:val="FootnoteReference"/>
        </w:rPr>
        <w:footnoteReference w:id="90"/>
      </w:r>
      <w:r w:rsidR="00F024D1">
        <w:t xml:space="preserve">. </w:t>
      </w:r>
    </w:p>
    <w:p w14:paraId="33F090B1" w14:textId="77777777" w:rsidR="006A36DE" w:rsidRDefault="006A36DE" w:rsidP="00983742">
      <w:pPr>
        <w:spacing w:after="0"/>
      </w:pPr>
      <w:r>
        <w:t xml:space="preserve">Best practice standards and labelling guidance states that whatever level of </w:t>
      </w:r>
      <w:r w:rsidR="00785B31">
        <w:t>g</w:t>
      </w:r>
      <w:r>
        <w:t>overnment leads the design and administration of a scheme, it needs to satisfy a number of key criteria</w:t>
      </w:r>
      <w:r w:rsidR="00673C3E">
        <w:rPr>
          <w:rStyle w:val="FootnoteReference"/>
        </w:rPr>
        <w:footnoteReference w:id="91"/>
      </w:r>
      <w:r w:rsidR="00673C3E">
        <w:t xml:space="preserve">.  This </w:t>
      </w:r>
      <w:r>
        <w:t>includ</w:t>
      </w:r>
      <w:r w:rsidR="00673C3E">
        <w:t xml:space="preserve">es </w:t>
      </w:r>
      <w:r>
        <w:t>having:</w:t>
      </w:r>
      <w:r w:rsidR="00785B31">
        <w:t xml:space="preserve"> </w:t>
      </w:r>
    </w:p>
    <w:p w14:paraId="2EEBAC78" w14:textId="77777777" w:rsidR="006A36DE" w:rsidRDefault="006A36DE" w:rsidP="00320FDC">
      <w:pPr>
        <w:numPr>
          <w:ilvl w:val="0"/>
          <w:numId w:val="60"/>
        </w:numPr>
        <w:spacing w:after="0"/>
        <w:ind w:left="426"/>
      </w:pPr>
      <w:r>
        <w:t>A robust regulatory framework and process for enacting legislation</w:t>
      </w:r>
      <w:r w:rsidR="00785B31">
        <w:t>;</w:t>
      </w:r>
    </w:p>
    <w:p w14:paraId="22444D17" w14:textId="77777777" w:rsidR="006A36DE" w:rsidRDefault="006A36DE" w:rsidP="00320FDC">
      <w:pPr>
        <w:numPr>
          <w:ilvl w:val="0"/>
          <w:numId w:val="60"/>
        </w:numPr>
        <w:spacing w:after="0"/>
        <w:ind w:left="426"/>
      </w:pPr>
      <w:r>
        <w:t>Political legitimacy, support and will</w:t>
      </w:r>
      <w:r w:rsidR="00785B31">
        <w:t>;</w:t>
      </w:r>
    </w:p>
    <w:p w14:paraId="314E2880" w14:textId="77777777" w:rsidR="006A36DE" w:rsidRDefault="006A36DE" w:rsidP="00320FDC">
      <w:pPr>
        <w:numPr>
          <w:ilvl w:val="0"/>
          <w:numId w:val="60"/>
        </w:numPr>
        <w:spacing w:after="0"/>
        <w:ind w:left="426"/>
      </w:pPr>
      <w:r>
        <w:t>Ability to effectively represent the needs of stakeholders – principally industry</w:t>
      </w:r>
      <w:r w:rsidR="00C948D5">
        <w:t>, other levels of Government</w:t>
      </w:r>
      <w:r w:rsidR="00C948D5">
        <w:rPr>
          <w:rStyle w:val="FootnoteReference"/>
        </w:rPr>
        <w:footnoteReference w:id="92"/>
      </w:r>
      <w:r>
        <w:t xml:space="preserve"> and </w:t>
      </w:r>
      <w:r w:rsidR="00565E13">
        <w:t>consumer/ environmental groups</w:t>
      </w:r>
      <w:r w:rsidR="00785B31">
        <w:t>;</w:t>
      </w:r>
    </w:p>
    <w:p w14:paraId="1E74725F" w14:textId="77777777" w:rsidR="006A36DE" w:rsidRDefault="006A36DE" w:rsidP="00320FDC">
      <w:pPr>
        <w:numPr>
          <w:ilvl w:val="0"/>
          <w:numId w:val="60"/>
        </w:numPr>
        <w:spacing w:after="0"/>
        <w:ind w:left="426"/>
      </w:pPr>
      <w:r>
        <w:t>Institutional capacity – including financial resources, personnel and facilities</w:t>
      </w:r>
      <w:r w:rsidR="00785B31">
        <w:t>; and</w:t>
      </w:r>
    </w:p>
    <w:p w14:paraId="74545F01" w14:textId="77777777" w:rsidR="006A36DE" w:rsidRDefault="006A36DE" w:rsidP="00320FDC">
      <w:pPr>
        <w:numPr>
          <w:ilvl w:val="0"/>
          <w:numId w:val="60"/>
        </w:numPr>
        <w:spacing w:after="0"/>
        <w:ind w:left="426"/>
      </w:pPr>
      <w:r>
        <w:t>Authority and responsibility for implementation.</w:t>
      </w:r>
    </w:p>
    <w:p w14:paraId="63CDA7EA" w14:textId="77777777" w:rsidR="00565E13" w:rsidRDefault="00565E13" w:rsidP="00565E13">
      <w:pPr>
        <w:spacing w:after="0"/>
      </w:pPr>
    </w:p>
    <w:p w14:paraId="63AFB444" w14:textId="77777777" w:rsidR="00044D3A" w:rsidRDefault="00673C3E" w:rsidP="009F4031">
      <w:r>
        <w:t xml:space="preserve">Furthermore, where schemes are led by transnational/national </w:t>
      </w:r>
      <w:r w:rsidR="00785B31">
        <w:t>g</w:t>
      </w:r>
      <w:r>
        <w:t xml:space="preserve">overnment, there </w:t>
      </w:r>
      <w:r w:rsidR="00EC4774">
        <w:t xml:space="preserve">are </w:t>
      </w:r>
      <w:r w:rsidR="007A1B8B">
        <w:t xml:space="preserve">examples of and reasons for </w:t>
      </w:r>
      <w:r>
        <w:t xml:space="preserve">the </w:t>
      </w:r>
      <w:r w:rsidR="007A1B8B">
        <w:t>i</w:t>
      </w:r>
      <w:r w:rsidR="00EC4774">
        <w:t xml:space="preserve">nvolvement of </w:t>
      </w:r>
      <w:r>
        <w:t xml:space="preserve">state/sub-national levels of </w:t>
      </w:r>
      <w:r w:rsidR="00785B31">
        <w:t>g</w:t>
      </w:r>
      <w:r>
        <w:t xml:space="preserve">overnment.  </w:t>
      </w:r>
      <w:r w:rsidR="00044D3A">
        <w:t xml:space="preserve">For example, member states in the EU Ecodesign </w:t>
      </w:r>
      <w:r w:rsidR="00785B31">
        <w:t xml:space="preserve">Directive </w:t>
      </w:r>
      <w:r w:rsidR="00044D3A">
        <w:t>play a role in negotiating standards, to help ensure that national interests and issues are represented</w:t>
      </w:r>
      <w:r>
        <w:t xml:space="preserve"> </w:t>
      </w:r>
      <w:r w:rsidR="00044D3A">
        <w:t xml:space="preserve">– such as national industries and differences in climactic conditions.  </w:t>
      </w:r>
    </w:p>
    <w:p w14:paraId="66A382FF" w14:textId="77777777" w:rsidR="00565E13" w:rsidRDefault="00BC751F" w:rsidP="009F4031">
      <w:pPr>
        <w:spacing w:after="0"/>
      </w:pPr>
      <w:r w:rsidRPr="003C1508">
        <w:rPr>
          <w:u w:val="single"/>
        </w:rPr>
        <w:t>Stakeholder views</w:t>
      </w:r>
    </w:p>
    <w:p w14:paraId="29E558DD" w14:textId="77777777" w:rsidR="00565E13" w:rsidRDefault="00BC751F" w:rsidP="009F4031">
      <w:pPr>
        <w:spacing w:after="0"/>
      </w:pPr>
      <w:r w:rsidRPr="003C1508">
        <w:t xml:space="preserve"> </w:t>
      </w:r>
    </w:p>
    <w:p w14:paraId="5E8EE329" w14:textId="77777777" w:rsidR="00BC751F" w:rsidRDefault="00BC751F" w:rsidP="009F4031">
      <w:pPr>
        <w:spacing w:after="0"/>
      </w:pPr>
      <w:r>
        <w:t>Australia has e</w:t>
      </w:r>
      <w:r w:rsidR="00007AE6">
        <w:t xml:space="preserve">xperience of both national and </w:t>
      </w:r>
      <w:r w:rsidR="00785B31">
        <w:t>s</w:t>
      </w:r>
      <w:r>
        <w:t xml:space="preserve">tate and </w:t>
      </w:r>
      <w:r w:rsidR="00785B31">
        <w:t>t</w:t>
      </w:r>
      <w:r>
        <w:t>erritory</w:t>
      </w:r>
      <w:r w:rsidR="00785B31">
        <w:t>-</w:t>
      </w:r>
      <w:r>
        <w:t>run schemes</w:t>
      </w:r>
      <w:r w:rsidR="009167F8">
        <w:t xml:space="preserve"> so </w:t>
      </w:r>
      <w:r>
        <w:t>the experience</w:t>
      </w:r>
      <w:r w:rsidR="009167F8">
        <w:t>s,</w:t>
      </w:r>
      <w:r>
        <w:t xml:space="preserve"> advantages and disadvantages of this were discussed with stakeholder</w:t>
      </w:r>
      <w:r w:rsidR="009167F8">
        <w:t>s</w:t>
      </w:r>
      <w:r>
        <w:t>.</w:t>
      </w:r>
    </w:p>
    <w:p w14:paraId="2AAD83AC" w14:textId="77777777" w:rsidR="00BC751F" w:rsidRDefault="00BC751F" w:rsidP="009F4031">
      <w:pPr>
        <w:spacing w:after="0"/>
      </w:pPr>
    </w:p>
    <w:p w14:paraId="5DA126EA" w14:textId="77777777" w:rsidR="00BC751F" w:rsidRPr="004A46DB" w:rsidRDefault="00BC751F" w:rsidP="009F4031">
      <w:pPr>
        <w:spacing w:after="0"/>
        <w:rPr>
          <w:i/>
        </w:rPr>
      </w:pPr>
      <w:r>
        <w:t>Nearly all</w:t>
      </w:r>
      <w:r w:rsidRPr="003C1508">
        <w:t xml:space="preserve"> respondents</w:t>
      </w:r>
      <w:r>
        <w:t>, and</w:t>
      </w:r>
      <w:r w:rsidRPr="003C1508">
        <w:t xml:space="preserve"> in particular </w:t>
      </w:r>
      <w:r>
        <w:t xml:space="preserve">industry </w:t>
      </w:r>
      <w:r w:rsidRPr="003C1508">
        <w:t xml:space="preserve">were supportive of a nationally </w:t>
      </w:r>
      <w:r w:rsidR="00C377A0">
        <w:t>designed</w:t>
      </w:r>
      <w:r>
        <w:t xml:space="preserve"> and </w:t>
      </w:r>
      <w:r w:rsidRPr="003C1508">
        <w:t>administered scheme</w:t>
      </w:r>
      <w:r>
        <w:t xml:space="preserve">.  </w:t>
      </w:r>
      <w:r w:rsidR="009167F8">
        <w:t>I</w:t>
      </w:r>
      <w:r>
        <w:t>ndustry and retailers</w:t>
      </w:r>
      <w:r w:rsidR="009167F8">
        <w:t xml:space="preserve"> stated that</w:t>
      </w:r>
      <w:r w:rsidRPr="003C1508">
        <w:t xml:space="preserve"> it provides consistency within the market and is more economical to comply with</w:t>
      </w:r>
      <w:r w:rsidR="009167F8">
        <w:t xml:space="preserve">.  This is </w:t>
      </w:r>
      <w:r w:rsidRPr="003C1508">
        <w:t xml:space="preserve">mainly due to reduced uncertainty and administrative burden compared to the previous multi-jurisdictional scheme. </w:t>
      </w:r>
      <w:r w:rsidR="0001628A">
        <w:t xml:space="preserve"> </w:t>
      </w:r>
      <w:r w:rsidR="009167F8">
        <w:t>T</w:t>
      </w:r>
      <w:r>
        <w:t xml:space="preserve">he </w:t>
      </w:r>
      <w:r w:rsidR="00AF5312">
        <w:t>Trans-Tasman Mutual Recognition A</w:t>
      </w:r>
      <w:r>
        <w:t>greement</w:t>
      </w:r>
      <w:r w:rsidRPr="003C1508">
        <w:t xml:space="preserve"> </w:t>
      </w:r>
      <w:r>
        <w:t>between Australia and New Zealand</w:t>
      </w:r>
      <w:r w:rsidR="009167F8">
        <w:t xml:space="preserve"> also</w:t>
      </w:r>
      <w:r>
        <w:t xml:space="preserve"> </w:t>
      </w:r>
      <w:r w:rsidR="009167F8">
        <w:t xml:space="preserve">further </w:t>
      </w:r>
      <w:r>
        <w:t xml:space="preserve">extends this market. </w:t>
      </w:r>
      <w:r w:rsidR="0001628A">
        <w:t xml:space="preserve"> </w:t>
      </w:r>
      <w:r w:rsidRPr="00E83AE1">
        <w:t xml:space="preserve">Consumer representatives </w:t>
      </w:r>
      <w:r>
        <w:t xml:space="preserve">also </w:t>
      </w:r>
      <w:r w:rsidRPr="00E83AE1">
        <w:t>noted that a national program is less confusing for consumers.</w:t>
      </w:r>
    </w:p>
    <w:p w14:paraId="0A5EB926" w14:textId="77777777" w:rsidR="00BC751F" w:rsidRDefault="00BC751F" w:rsidP="009F4031">
      <w:pPr>
        <w:spacing w:after="0"/>
        <w:ind w:left="1080"/>
        <w:rPr>
          <w:i/>
        </w:rPr>
      </w:pPr>
    </w:p>
    <w:p w14:paraId="6EF1ADFC" w14:textId="77777777" w:rsidR="00BC751F" w:rsidRDefault="00BC751F" w:rsidP="009F4031">
      <w:pPr>
        <w:spacing w:after="0"/>
        <w:ind w:left="284"/>
        <w:rPr>
          <w:i/>
        </w:rPr>
      </w:pPr>
      <w:r>
        <w:rPr>
          <w:i/>
        </w:rPr>
        <w:t>“A</w:t>
      </w:r>
      <w:r w:rsidRPr="00680FEC">
        <w:rPr>
          <w:i/>
        </w:rPr>
        <w:t xml:space="preserve"> national system is important given that we import products that are subject to MEPS and we need to know they meet regulations all over Australia. </w:t>
      </w:r>
      <w:r w:rsidR="0001628A">
        <w:rPr>
          <w:i/>
        </w:rPr>
        <w:t xml:space="preserve"> </w:t>
      </w:r>
      <w:r w:rsidRPr="00680FEC">
        <w:rPr>
          <w:i/>
        </w:rPr>
        <w:t xml:space="preserve">From a business perspective it is also a </w:t>
      </w:r>
      <w:r w:rsidRPr="00680FEC">
        <w:rPr>
          <w:i/>
        </w:rPr>
        <w:lastRenderedPageBreak/>
        <w:t>more economical process because there are fewer jurisdictions to deal with and it makes it more certain about budget aspects.</w:t>
      </w:r>
      <w:r>
        <w:rPr>
          <w:i/>
        </w:rPr>
        <w:t>” (</w:t>
      </w:r>
      <w:r w:rsidR="00964BC2">
        <w:rPr>
          <w:i/>
        </w:rPr>
        <w:t>I</w:t>
      </w:r>
      <w:r>
        <w:rPr>
          <w:i/>
        </w:rPr>
        <w:t>ndustry respondent)</w:t>
      </w:r>
    </w:p>
    <w:p w14:paraId="48AC8BD1" w14:textId="77777777" w:rsidR="00ED33A5" w:rsidRDefault="00ED33A5" w:rsidP="009F4031">
      <w:pPr>
        <w:spacing w:after="0"/>
        <w:rPr>
          <w:color w:val="0070C0"/>
        </w:rPr>
      </w:pPr>
    </w:p>
    <w:p w14:paraId="1E7CA0BA" w14:textId="77777777" w:rsidR="00ED33A5" w:rsidRDefault="00BC751F" w:rsidP="009F4031">
      <w:r w:rsidRPr="00D36268">
        <w:t xml:space="preserve">State </w:t>
      </w:r>
      <w:r w:rsidR="00785B31">
        <w:t>g</w:t>
      </w:r>
      <w:r w:rsidRPr="00D36268">
        <w:t>overnment representatives were also broadly supportive of a nationally-led scheme</w:t>
      </w:r>
      <w:r w:rsidR="00D36268" w:rsidRPr="00D36268">
        <w:t xml:space="preserve"> for similar reasons.  Some also discussed the relative advantages of pooling of resources and economies of scale achieved in administration.  However, </w:t>
      </w:r>
      <w:r w:rsidRPr="00D36268">
        <w:t xml:space="preserve">some respondents </w:t>
      </w:r>
      <w:r w:rsidR="00D36268" w:rsidRPr="00D36268">
        <w:t xml:space="preserve">also </w:t>
      </w:r>
      <w:r w:rsidRPr="00D36268">
        <w:t xml:space="preserve">reflected </w:t>
      </w:r>
      <w:r w:rsidR="00D36268" w:rsidRPr="00D36268">
        <w:t xml:space="preserve">that </w:t>
      </w:r>
      <w:r w:rsidRPr="00D36268">
        <w:t xml:space="preserve">the previous scheme </w:t>
      </w:r>
      <w:r w:rsidR="00D36268" w:rsidRPr="00D36268">
        <w:t>was not so different</w:t>
      </w:r>
      <w:r w:rsidR="00D36268">
        <w:t xml:space="preserve"> </w:t>
      </w:r>
      <w:r w:rsidR="009167F8">
        <w:t xml:space="preserve">in reality to GEMS (which was </w:t>
      </w:r>
      <w:r w:rsidR="00D36268">
        <w:t>a view also reflected by some technical experts)</w:t>
      </w:r>
      <w:r w:rsidR="009167F8">
        <w:t xml:space="preserve">.  These respondents reported that </w:t>
      </w:r>
      <w:r w:rsidR="00D36268" w:rsidRPr="00D36268">
        <w:t>registration was shared</w:t>
      </w:r>
      <w:r w:rsidR="009167F8">
        <w:t xml:space="preserve">, so </w:t>
      </w:r>
      <w:r w:rsidR="00D36268" w:rsidRPr="00D36268">
        <w:t xml:space="preserve">only required in one jurisdiction and that regulations were largely (with </w:t>
      </w:r>
      <w:r w:rsidR="009167F8">
        <w:t xml:space="preserve">some </w:t>
      </w:r>
      <w:r w:rsidR="00D36268" w:rsidRPr="00D36268">
        <w:t>notable exceptions) applied consistently across the jurisdictions</w:t>
      </w:r>
      <w:r w:rsidR="009167F8">
        <w:t xml:space="preserve">.  It was discussed that the achievement of consistency was largely attributed to </w:t>
      </w:r>
      <w:r w:rsidR="00D36268" w:rsidRPr="00D36268">
        <w:t xml:space="preserve">the coordination role played by the Commonwealth at the time.  </w:t>
      </w:r>
      <w:r w:rsidR="009167F8">
        <w:t>Finally, t</w:t>
      </w:r>
      <w:r w:rsidR="00D36268" w:rsidRPr="00D36268">
        <w:t xml:space="preserve">here was also a strong view that the jurisdictions should be involved in </w:t>
      </w:r>
      <w:r w:rsidR="009167F8">
        <w:t>g</w:t>
      </w:r>
      <w:r w:rsidR="00D36268" w:rsidRPr="00D36268">
        <w:t>overnance and decision making to ensure representation of state issues, such as local climactic conditions</w:t>
      </w:r>
      <w:r w:rsidR="00D36268">
        <w:t xml:space="preserve"> and industries</w:t>
      </w:r>
      <w:r w:rsidR="00D36268" w:rsidRPr="00D36268">
        <w:t>.</w:t>
      </w:r>
      <w:r w:rsidR="00A952CA">
        <w:t xml:space="preserve">  </w:t>
      </w:r>
    </w:p>
    <w:p w14:paraId="2E2EC435" w14:textId="77777777" w:rsidR="00572171" w:rsidRDefault="00572171" w:rsidP="009F4031">
      <w:pPr>
        <w:pStyle w:val="Heading2"/>
      </w:pPr>
      <w:bookmarkStart w:id="57" w:name="_Toc422298386"/>
      <w:r>
        <w:t xml:space="preserve">Conclusions and </w:t>
      </w:r>
      <w:r w:rsidR="00975E9E">
        <w:t>recommendations</w:t>
      </w:r>
      <w:bookmarkEnd w:id="57"/>
    </w:p>
    <w:p w14:paraId="5329E76A" w14:textId="77777777" w:rsidR="00572171" w:rsidRPr="00572171" w:rsidRDefault="00975E9E" w:rsidP="008E63DD">
      <w:pPr>
        <w:pStyle w:val="Heading3"/>
        <w:spacing w:after="240"/>
      </w:pPr>
      <w:bookmarkStart w:id="58" w:name="_Toc412881291"/>
      <w:bookmarkStart w:id="59" w:name="_Toc422298387"/>
      <w:bookmarkEnd w:id="58"/>
      <w:r>
        <w:t>The case for policy intervention</w:t>
      </w:r>
      <w:bookmarkEnd w:id="59"/>
    </w:p>
    <w:p w14:paraId="099FB643" w14:textId="77777777" w:rsidR="00975E9E" w:rsidRPr="00975E9E" w:rsidRDefault="00975E9E" w:rsidP="009F4031">
      <w:pPr>
        <w:rPr>
          <w:b/>
          <w:lang w:eastAsia="x-none"/>
        </w:rPr>
      </w:pPr>
      <w:r w:rsidRPr="00975E9E">
        <w:rPr>
          <w:b/>
          <w:lang w:eastAsia="x-none"/>
        </w:rPr>
        <w:t>Conclusions</w:t>
      </w:r>
    </w:p>
    <w:p w14:paraId="4F1FD944" w14:textId="77777777" w:rsidR="001E17DE" w:rsidRDefault="001E17DE" w:rsidP="00320FDC">
      <w:pPr>
        <w:numPr>
          <w:ilvl w:val="0"/>
          <w:numId w:val="31"/>
        </w:numPr>
      </w:pPr>
      <w:r>
        <w:t xml:space="preserve">There are a range of significant market failures which lead to consumers and businesses purchasing energy inefficient products.  As a result, there is a strong case for policy intervention to tackle them.  </w:t>
      </w:r>
    </w:p>
    <w:p w14:paraId="13DEF6FF" w14:textId="77777777" w:rsidR="001E17DE" w:rsidRDefault="001E17DE" w:rsidP="00320FDC">
      <w:pPr>
        <w:numPr>
          <w:ilvl w:val="0"/>
          <w:numId w:val="31"/>
        </w:numPr>
      </w:pPr>
      <w:r>
        <w:t xml:space="preserve">Policy interventions such as MEPS and labelling programs are highly effective at tackling these market failures, providing significant benefits to consumers and businesses compared to their costs and burden on industry.  </w:t>
      </w:r>
    </w:p>
    <w:p w14:paraId="6BB660B0" w14:textId="77777777" w:rsidR="00572171" w:rsidRDefault="00975E9E" w:rsidP="008E63DD">
      <w:pPr>
        <w:pStyle w:val="Heading3"/>
        <w:spacing w:after="240"/>
      </w:pPr>
      <w:bookmarkStart w:id="60" w:name="_Toc422298388"/>
      <w:r>
        <w:t>Types of policy intervention</w:t>
      </w:r>
      <w:bookmarkEnd w:id="60"/>
    </w:p>
    <w:p w14:paraId="4EA827CA" w14:textId="77777777" w:rsidR="00975E9E" w:rsidRDefault="00975E9E" w:rsidP="009F4031">
      <w:pPr>
        <w:spacing w:after="0"/>
        <w:rPr>
          <w:b/>
        </w:rPr>
      </w:pPr>
      <w:r>
        <w:rPr>
          <w:b/>
        </w:rPr>
        <w:t>Conclusions</w:t>
      </w:r>
    </w:p>
    <w:p w14:paraId="240B40EF" w14:textId="77777777" w:rsidR="00975E9E" w:rsidRDefault="00975E9E" w:rsidP="009F4031">
      <w:pPr>
        <w:spacing w:after="0"/>
        <w:rPr>
          <w:b/>
        </w:rPr>
      </w:pPr>
    </w:p>
    <w:p w14:paraId="5EC6CE6A" w14:textId="77777777" w:rsidR="00572171" w:rsidRPr="00975E9E" w:rsidRDefault="00572171" w:rsidP="00320FDC">
      <w:pPr>
        <w:numPr>
          <w:ilvl w:val="0"/>
          <w:numId w:val="24"/>
        </w:numPr>
        <w:spacing w:after="0"/>
        <w:ind w:left="426"/>
        <w:rPr>
          <w:b/>
        </w:rPr>
      </w:pPr>
      <w:r w:rsidRPr="00975E9E">
        <w:rPr>
          <w:b/>
        </w:rPr>
        <w:t>MEPS</w:t>
      </w:r>
    </w:p>
    <w:p w14:paraId="0BE99E30" w14:textId="77777777" w:rsidR="00FB0950" w:rsidRPr="00235D42" w:rsidRDefault="001E17DE" w:rsidP="00FB0950">
      <w:r w:rsidRPr="00235D42">
        <w:t>MEPS are generally mandatory</w:t>
      </w:r>
      <w:r w:rsidR="000C7571">
        <w:t xml:space="preserve"> because regulation, with good compliance, delivers consistent outcomes.  However, </w:t>
      </w:r>
      <w:r w:rsidRPr="00235D42">
        <w:t>voluntary agreements and other alternatives to MEP</w:t>
      </w:r>
      <w:r w:rsidR="000F2E61">
        <w:t>S</w:t>
      </w:r>
      <w:r w:rsidRPr="00235D42">
        <w:t xml:space="preserve"> can and have been implemented.  </w:t>
      </w:r>
    </w:p>
    <w:p w14:paraId="1C665D93" w14:textId="77777777" w:rsidR="00FB0950" w:rsidRDefault="00FB0950" w:rsidP="00FB0950">
      <w:r w:rsidRPr="00235D42">
        <w:t xml:space="preserve">These appear successful only in specific circumstances, </w:t>
      </w:r>
      <w:r>
        <w:t xml:space="preserve">such as when markets are dominated by a limited number of domestic manufacturers, with similar (high) technical competency and incentives to develop energy efficient product.  These circumstances do not apply to </w:t>
      </w:r>
      <w:r w:rsidRPr="00235D42">
        <w:t>the Australian and New Zealand markets.</w:t>
      </w:r>
    </w:p>
    <w:p w14:paraId="1E20847B" w14:textId="77777777" w:rsidR="00572171" w:rsidRPr="0072167E" w:rsidRDefault="00572171" w:rsidP="00FB0950">
      <w:pPr>
        <w:rPr>
          <w:b/>
        </w:rPr>
      </w:pPr>
      <w:r w:rsidRPr="0072167E">
        <w:rPr>
          <w:b/>
        </w:rPr>
        <w:t>Labelling</w:t>
      </w:r>
    </w:p>
    <w:p w14:paraId="60871F60" w14:textId="77777777" w:rsidR="00912E0A" w:rsidRDefault="00572171" w:rsidP="00997283">
      <w:pPr>
        <w:ind w:left="66"/>
        <w:rPr>
          <w:u w:val="single"/>
        </w:rPr>
      </w:pPr>
      <w:r w:rsidRPr="00B22C97">
        <w:rPr>
          <w:u w:val="single"/>
        </w:rPr>
        <w:t>Comparison labels</w:t>
      </w:r>
      <w:r w:rsidR="001E17DE">
        <w:t>:</w:t>
      </w:r>
      <w:r w:rsidR="00785B31">
        <w:t xml:space="preserve"> </w:t>
      </w:r>
      <w:r w:rsidR="001E17DE">
        <w:t xml:space="preserve"> </w:t>
      </w:r>
      <w:r w:rsidR="001E17DE" w:rsidRPr="00997283">
        <w:t>Comparison labels work best when all or most products in retail outlets</w:t>
      </w:r>
      <w:r w:rsidR="00C948D5">
        <w:t xml:space="preserve"> (and/or increasingly online sales outlets)</w:t>
      </w:r>
      <w:r w:rsidR="001E17DE" w:rsidRPr="00997283">
        <w:t xml:space="preserve"> are labelled and therefore these programs are typically mandatory.  Mandatory comparison labels provide authoritative and trusted information for consumers and for this reason the large majority of stakeholders support their use.</w:t>
      </w:r>
      <w:r w:rsidR="001E17DE" w:rsidRPr="001E17DE">
        <w:rPr>
          <w:u w:val="single"/>
        </w:rPr>
        <w:t xml:space="preserve">  </w:t>
      </w:r>
    </w:p>
    <w:p w14:paraId="3ACB84A9" w14:textId="77777777" w:rsidR="001E17DE" w:rsidRDefault="00572171" w:rsidP="00997283">
      <w:pPr>
        <w:rPr>
          <w:u w:val="single"/>
        </w:rPr>
      </w:pPr>
      <w:r w:rsidRPr="00B22C97">
        <w:rPr>
          <w:u w:val="single"/>
        </w:rPr>
        <w:lastRenderedPageBreak/>
        <w:t>Endorsement labels</w:t>
      </w:r>
      <w:r w:rsidR="001E17DE">
        <w:t xml:space="preserve">:  </w:t>
      </w:r>
      <w:r w:rsidR="001E17DE" w:rsidRPr="00997283">
        <w:t>Endorsement labels are almost always voluntary and appear to present a potentially useful non-regulatory opportunity.  However, national and international experience shows that they require significant, long term resources for promotional and other activities to generate consumer value on which such schemes rely.</w:t>
      </w:r>
    </w:p>
    <w:p w14:paraId="2CAD189E" w14:textId="77777777" w:rsidR="00572171" w:rsidRPr="00912E0A" w:rsidRDefault="00572171" w:rsidP="009F4031">
      <w:pPr>
        <w:rPr>
          <w:b/>
        </w:rPr>
      </w:pPr>
      <w:r w:rsidRPr="00912E0A">
        <w:rPr>
          <w:b/>
        </w:rPr>
        <w:t>Recommendations</w:t>
      </w:r>
    </w:p>
    <w:p w14:paraId="07963B58" w14:textId="77777777" w:rsidR="00AE424A" w:rsidRPr="00AE424A" w:rsidRDefault="00AE424A" w:rsidP="00997283">
      <w:pPr>
        <w:pStyle w:val="ListParagraph"/>
        <w:ind w:left="0"/>
        <w:rPr>
          <w:rFonts w:cs="Calibri"/>
        </w:rPr>
      </w:pPr>
      <w:r w:rsidRPr="00AE424A">
        <w:rPr>
          <w:rFonts w:cs="Calibri"/>
          <w:u w:val="single"/>
        </w:rPr>
        <w:t>For MEPS and comparison labelling</w:t>
      </w:r>
      <w:r w:rsidRPr="00AE424A">
        <w:rPr>
          <w:rFonts w:cs="Calibri"/>
        </w:rPr>
        <w:t>:  Exploring all possible voluntary and mandatory interventions.  However, as current practice demonstrates, most future standards are expected to be mandatory as they provide the greatest level of certainty for businesses and consumers and deliver significant savings at least cost.</w:t>
      </w:r>
    </w:p>
    <w:p w14:paraId="296F5F8F" w14:textId="77777777" w:rsidR="00AE424A" w:rsidRDefault="00AE424A" w:rsidP="00997283">
      <w:pPr>
        <w:pStyle w:val="ListParagraph"/>
        <w:ind w:left="0"/>
        <w:rPr>
          <w:b/>
          <w:lang w:eastAsia="x-none"/>
        </w:rPr>
      </w:pPr>
    </w:p>
    <w:p w14:paraId="30B1BA75" w14:textId="77777777" w:rsidR="00AE424A" w:rsidRPr="00AE424A" w:rsidRDefault="00AE424A" w:rsidP="00997283">
      <w:pPr>
        <w:pStyle w:val="ListParagraph"/>
        <w:ind w:left="0"/>
        <w:rPr>
          <w:rFonts w:cs="Calibri"/>
        </w:rPr>
      </w:pPr>
      <w:r w:rsidRPr="00AE424A">
        <w:rPr>
          <w:rFonts w:cs="Calibri"/>
          <w:u w:val="single"/>
        </w:rPr>
        <w:t>For endorsement labelling</w:t>
      </w:r>
      <w:r w:rsidRPr="00AE424A">
        <w:rPr>
          <w:rFonts w:cs="Calibri"/>
        </w:rPr>
        <w:t xml:space="preserve">:  Exploring voluntary interventions.  However, </w:t>
      </w:r>
      <w:r>
        <w:t>if schemes are supported</w:t>
      </w:r>
      <w:r w:rsidR="00785B31">
        <w:t>,</w:t>
      </w:r>
      <w:r>
        <w:t xml:space="preserve"> to attract strong consumer support and acceptance they will need significant financial and administrative resources for their development, implementation and promotion.</w:t>
      </w:r>
    </w:p>
    <w:p w14:paraId="2D4AD540" w14:textId="77777777" w:rsidR="00782A03" w:rsidRDefault="00572171" w:rsidP="008E63DD">
      <w:pPr>
        <w:pStyle w:val="Heading3"/>
        <w:spacing w:after="240"/>
      </w:pPr>
      <w:bookmarkStart w:id="61" w:name="_Toc422298389"/>
      <w:r w:rsidRPr="00782A03">
        <w:t>Scheme design</w:t>
      </w:r>
      <w:r w:rsidR="0004258F">
        <w:t xml:space="preserve"> and</w:t>
      </w:r>
      <w:r w:rsidRPr="00782A03">
        <w:t xml:space="preserve"> </w:t>
      </w:r>
      <w:r w:rsidR="00782A03">
        <w:t>administration</w:t>
      </w:r>
      <w:bookmarkEnd w:id="61"/>
      <w:r w:rsidRPr="00782A03">
        <w:t xml:space="preserve"> </w:t>
      </w:r>
    </w:p>
    <w:p w14:paraId="2AE3BB50" w14:textId="77777777" w:rsidR="00782A03" w:rsidRPr="0004258F" w:rsidRDefault="00782A03" w:rsidP="009F4031">
      <w:pPr>
        <w:rPr>
          <w:b/>
          <w:lang w:eastAsia="x-none"/>
        </w:rPr>
      </w:pPr>
      <w:r w:rsidRPr="0004258F">
        <w:rPr>
          <w:b/>
          <w:lang w:eastAsia="x-none"/>
        </w:rPr>
        <w:t>Conclusions</w:t>
      </w:r>
    </w:p>
    <w:p w14:paraId="7D95B557" w14:textId="77777777" w:rsidR="00AE424A" w:rsidRDefault="00AE424A" w:rsidP="00AE424A">
      <w:r w:rsidRPr="00B21DA9">
        <w:rPr>
          <w:u w:val="single"/>
        </w:rPr>
        <w:t>MEPS and comparison labels:</w:t>
      </w:r>
      <w:r w:rsidRPr="00B21DA9">
        <w:rPr>
          <w:b/>
        </w:rPr>
        <w:t xml:space="preserve">  </w:t>
      </w:r>
      <w:r w:rsidRPr="0004258F">
        <w:t>MEPS and comparison labelling schemes should be run by</w:t>
      </w:r>
      <w:r>
        <w:t xml:space="preserve"> </w:t>
      </w:r>
      <w:r w:rsidR="00785B31">
        <w:t>g</w:t>
      </w:r>
      <w:r>
        <w:t xml:space="preserve">overnment and stakeholders support a Commonwealth-led approach.  </w:t>
      </w:r>
      <w:r w:rsidRPr="0004258F">
        <w:t>However, as there are multiple requirements/ conditions for effective design and administration</w:t>
      </w:r>
      <w:r>
        <w:t>,</w:t>
      </w:r>
      <w:r w:rsidRPr="0004258F">
        <w:t xml:space="preserve"> </w:t>
      </w:r>
      <w:r>
        <w:t>involvement i</w:t>
      </w:r>
      <w:r w:rsidRPr="0004258F">
        <w:t xml:space="preserve">s </w:t>
      </w:r>
      <w:r>
        <w:t xml:space="preserve">also </w:t>
      </w:r>
      <w:r w:rsidRPr="0004258F">
        <w:t xml:space="preserve">needed </w:t>
      </w:r>
      <w:r>
        <w:t xml:space="preserve">from </w:t>
      </w:r>
      <w:r w:rsidR="00785B31">
        <w:t>s</w:t>
      </w:r>
      <w:r>
        <w:t xml:space="preserve">tate </w:t>
      </w:r>
      <w:r w:rsidR="00785B31">
        <w:t>g</w:t>
      </w:r>
      <w:r>
        <w:t xml:space="preserve">overnment, </w:t>
      </w:r>
      <w:r w:rsidRPr="0004258F">
        <w:t xml:space="preserve">industry and consumer groups. </w:t>
      </w:r>
      <w:r w:rsidR="0001628A">
        <w:t xml:space="preserve"> </w:t>
      </w:r>
      <w:r w:rsidRPr="0004258F">
        <w:t xml:space="preserve">As a result, an approach which has </w:t>
      </w:r>
      <w:r w:rsidR="00785B31">
        <w:t>g</w:t>
      </w:r>
      <w:r w:rsidRPr="0004258F">
        <w:t xml:space="preserve">overnance structures and agreements to facilitate this are likely to be more effective. </w:t>
      </w:r>
    </w:p>
    <w:p w14:paraId="735ABD2B" w14:textId="77777777" w:rsidR="00AE424A" w:rsidRPr="0004258F" w:rsidRDefault="00AE424A" w:rsidP="00AE424A">
      <w:r w:rsidRPr="00B21DA9">
        <w:rPr>
          <w:u w:val="single"/>
        </w:rPr>
        <w:t>Endorsement labelling</w:t>
      </w:r>
      <w:r>
        <w:t xml:space="preserve">:  </w:t>
      </w:r>
      <w:r w:rsidRPr="00764AEC">
        <w:t xml:space="preserve">Endorsement labels can be run by </w:t>
      </w:r>
      <w:r w:rsidR="00785B31">
        <w:t>g</w:t>
      </w:r>
      <w:r w:rsidRPr="00764AEC">
        <w:t>overnment, non-</w:t>
      </w:r>
      <w:r w:rsidR="00785B31">
        <w:t>g</w:t>
      </w:r>
      <w:r w:rsidRPr="00764AEC">
        <w:t xml:space="preserve">overnmental bodies or industry bodies.  </w:t>
      </w:r>
    </w:p>
    <w:p w14:paraId="7B18107B" w14:textId="77777777" w:rsidR="001D4903" w:rsidRPr="0004258F" w:rsidRDefault="003367C3" w:rsidP="009F4031">
      <w:pPr>
        <w:ind w:left="45"/>
        <w:rPr>
          <w:b/>
        </w:rPr>
      </w:pPr>
      <w:r w:rsidRPr="0004258F">
        <w:rPr>
          <w:b/>
        </w:rPr>
        <w:t>Recommendation</w:t>
      </w:r>
    </w:p>
    <w:p w14:paraId="653D343F" w14:textId="77777777" w:rsidR="00AE424A" w:rsidRPr="00AE424A" w:rsidRDefault="00AE424A" w:rsidP="00AE424A">
      <w:pPr>
        <w:ind w:left="66"/>
        <w:rPr>
          <w:rFonts w:cs="Calibri"/>
        </w:rPr>
      </w:pPr>
      <w:r w:rsidRPr="00AE424A">
        <w:rPr>
          <w:rFonts w:cs="Calibri"/>
        </w:rPr>
        <w:t xml:space="preserve">In future, both MEPS and labelling schemes should be retained as national </w:t>
      </w:r>
      <w:r w:rsidR="00785B31">
        <w:rPr>
          <w:rFonts w:cs="Calibri"/>
        </w:rPr>
        <w:t>g</w:t>
      </w:r>
      <w:r w:rsidRPr="00AE424A">
        <w:rPr>
          <w:rFonts w:cs="Calibri"/>
        </w:rPr>
        <w:t xml:space="preserve">overnment measures. </w:t>
      </w:r>
    </w:p>
    <w:bookmarkEnd w:id="46"/>
    <w:p w14:paraId="780A2E93" w14:textId="77777777" w:rsidR="00785249" w:rsidRDefault="00E10520" w:rsidP="00565E13">
      <w:pPr>
        <w:pStyle w:val="Heading1"/>
        <w:rPr>
          <w:lang w:val="en-GB"/>
        </w:rPr>
      </w:pPr>
      <w:r>
        <w:br w:type="page"/>
      </w:r>
      <w:bookmarkStart w:id="62" w:name="_Ref405454887"/>
      <w:bookmarkStart w:id="63" w:name="_Ref409258084"/>
      <w:bookmarkStart w:id="64" w:name="_Ref409258494"/>
      <w:bookmarkStart w:id="65" w:name="_Toc422298390"/>
      <w:r w:rsidR="001754B8">
        <w:rPr>
          <w:lang w:val="en-GB"/>
        </w:rPr>
        <w:lastRenderedPageBreak/>
        <w:t xml:space="preserve">Findings:  </w:t>
      </w:r>
      <w:r w:rsidR="00785249" w:rsidRPr="00D22E8A">
        <w:t xml:space="preserve">Has the </w:t>
      </w:r>
      <w:r w:rsidR="00785249" w:rsidRPr="00565E13">
        <w:t>IGA</w:t>
      </w:r>
      <w:r w:rsidR="00785249" w:rsidRPr="00D22E8A">
        <w:t>, GEMS and E3 met their objective</w:t>
      </w:r>
      <w:bookmarkEnd w:id="62"/>
      <w:r w:rsidR="00E77056">
        <w:rPr>
          <w:lang w:val="en-GB"/>
        </w:rPr>
        <w:t>s</w:t>
      </w:r>
      <w:bookmarkEnd w:id="63"/>
      <w:bookmarkEnd w:id="64"/>
      <w:r w:rsidR="00D527D9">
        <w:rPr>
          <w:lang w:val="en-GB"/>
        </w:rPr>
        <w:t>?</w:t>
      </w:r>
      <w:bookmarkEnd w:id="65"/>
    </w:p>
    <w:p w14:paraId="39A9A780" w14:textId="77777777" w:rsidR="00E77056" w:rsidRDefault="00E77056" w:rsidP="009F4031">
      <w:pPr>
        <w:spacing w:after="0"/>
        <w:rPr>
          <w:lang w:eastAsia="x-none"/>
        </w:rPr>
      </w:pPr>
      <w:r>
        <w:rPr>
          <w:lang w:eastAsia="x-none"/>
        </w:rPr>
        <w:t xml:space="preserve">This section reviews the outcomes of the program, including: </w:t>
      </w:r>
    </w:p>
    <w:p w14:paraId="3C8BBB22" w14:textId="77777777" w:rsidR="00E77056" w:rsidRPr="004657C8" w:rsidRDefault="00563ECE" w:rsidP="00320FDC">
      <w:pPr>
        <w:numPr>
          <w:ilvl w:val="0"/>
          <w:numId w:val="34"/>
        </w:numPr>
        <w:spacing w:after="0"/>
        <w:rPr>
          <w:lang w:eastAsia="x-none"/>
        </w:rPr>
      </w:pPr>
      <w:r>
        <w:rPr>
          <w:lang w:eastAsia="x-none"/>
        </w:rPr>
        <w:t>w</w:t>
      </w:r>
      <w:r w:rsidR="00E77056" w:rsidRPr="004657C8">
        <w:rPr>
          <w:lang w:eastAsia="x-none"/>
        </w:rPr>
        <w:t xml:space="preserve">hether the program has met its objectives and how </w:t>
      </w:r>
      <w:r w:rsidR="00F56DF5" w:rsidRPr="004657C8">
        <w:rPr>
          <w:lang w:eastAsia="x-none"/>
        </w:rPr>
        <w:t>cost effectively it has done so</w:t>
      </w:r>
      <w:r>
        <w:rPr>
          <w:lang w:eastAsia="x-none"/>
        </w:rPr>
        <w:t>;</w:t>
      </w:r>
      <w:r w:rsidR="00785B31">
        <w:rPr>
          <w:lang w:eastAsia="x-none"/>
        </w:rPr>
        <w:t xml:space="preserve"> and</w:t>
      </w:r>
    </w:p>
    <w:p w14:paraId="5796D4D4" w14:textId="77777777" w:rsidR="00E77056" w:rsidRPr="004657C8" w:rsidRDefault="00563ECE" w:rsidP="00320FDC">
      <w:pPr>
        <w:numPr>
          <w:ilvl w:val="0"/>
          <w:numId w:val="34"/>
        </w:numPr>
        <w:spacing w:after="0"/>
        <w:rPr>
          <w:lang w:eastAsia="x-none"/>
        </w:rPr>
      </w:pPr>
      <w:r>
        <w:rPr>
          <w:lang w:eastAsia="x-none"/>
        </w:rPr>
        <w:t>t</w:t>
      </w:r>
      <w:r w:rsidR="00E77056" w:rsidRPr="004657C8">
        <w:rPr>
          <w:lang w:eastAsia="x-none"/>
        </w:rPr>
        <w:t>he impacts of the program on consumers and industry.</w:t>
      </w:r>
    </w:p>
    <w:p w14:paraId="506F9BD0" w14:textId="77777777" w:rsidR="00E77056" w:rsidRPr="004657C8" w:rsidRDefault="00E77056" w:rsidP="009F4031">
      <w:pPr>
        <w:spacing w:after="0"/>
      </w:pPr>
    </w:p>
    <w:p w14:paraId="64B94963" w14:textId="77777777" w:rsidR="001175CE" w:rsidRPr="004657C8" w:rsidRDefault="001175CE" w:rsidP="009F4031">
      <w:pPr>
        <w:spacing w:after="0"/>
      </w:pPr>
      <w:r w:rsidRPr="004657C8">
        <w:t>This is approached through exploring</w:t>
      </w:r>
      <w:r w:rsidR="008F770E">
        <w:t>:</w:t>
      </w:r>
    </w:p>
    <w:p w14:paraId="3341381A" w14:textId="77777777" w:rsidR="00CE3094" w:rsidRPr="004657C8" w:rsidRDefault="007377D6" w:rsidP="00320FDC">
      <w:pPr>
        <w:numPr>
          <w:ilvl w:val="3"/>
          <w:numId w:val="25"/>
        </w:numPr>
        <w:spacing w:after="0"/>
        <w:ind w:left="567"/>
      </w:pPr>
      <w:r w:rsidRPr="004657C8">
        <w:t xml:space="preserve">Achievement of savings </w:t>
      </w:r>
      <w:r w:rsidR="001175CE" w:rsidRPr="004657C8">
        <w:t>and cost effectiveness. This is done through reviewing existing evidence of program impacts</w:t>
      </w:r>
      <w:r w:rsidR="00A772AD">
        <w:t xml:space="preserve"> and their rigour.  </w:t>
      </w:r>
      <w:r w:rsidR="001175CE" w:rsidRPr="004657C8">
        <w:t>Impacts f</w:t>
      </w:r>
      <w:r w:rsidR="001B209F" w:rsidRPr="004657C8">
        <w:t>rom other</w:t>
      </w:r>
      <w:r w:rsidR="00CE310D">
        <w:t>,</w:t>
      </w:r>
      <w:r w:rsidR="001B209F" w:rsidRPr="004657C8">
        <w:t xml:space="preserve"> similar interventions are also reviewed </w:t>
      </w:r>
      <w:r w:rsidR="00423EA0">
        <w:t>t</w:t>
      </w:r>
      <w:r w:rsidR="00160A9A" w:rsidRPr="00160A9A">
        <w:t>o inform an assessment of effectiveness (in comparison to other schemes).</w:t>
      </w:r>
      <w:r w:rsidR="001B209F" w:rsidRPr="004657C8">
        <w:t xml:space="preserve"> </w:t>
      </w:r>
    </w:p>
    <w:p w14:paraId="68120ED1" w14:textId="77777777" w:rsidR="004657C8" w:rsidRPr="004657C8" w:rsidRDefault="001B209F" w:rsidP="00320FDC">
      <w:pPr>
        <w:numPr>
          <w:ilvl w:val="3"/>
          <w:numId w:val="25"/>
        </w:numPr>
        <w:spacing w:after="0"/>
        <w:ind w:left="567"/>
      </w:pPr>
      <w:r w:rsidRPr="004657C8">
        <w:t>Impacts of the program on consumers and industry</w:t>
      </w:r>
      <w:r w:rsidR="004657C8" w:rsidRPr="004657C8">
        <w:t xml:space="preserve">.  </w:t>
      </w:r>
      <w:r w:rsidR="005A7403">
        <w:t>This involves:</w:t>
      </w:r>
    </w:p>
    <w:p w14:paraId="17CF4BCF" w14:textId="77777777" w:rsidR="001B209F" w:rsidRPr="004657C8" w:rsidRDefault="004657C8" w:rsidP="00320FDC">
      <w:pPr>
        <w:numPr>
          <w:ilvl w:val="0"/>
          <w:numId w:val="36"/>
        </w:numPr>
        <w:spacing w:after="0"/>
      </w:pPr>
      <w:r w:rsidRPr="004657C8">
        <w:t>For consumers - reviewing evidence of impacts on consumer energy bills, product availability and purchase costs</w:t>
      </w:r>
      <w:r w:rsidR="008F770E">
        <w:t>; and</w:t>
      </w:r>
    </w:p>
    <w:p w14:paraId="069BFC8D" w14:textId="77777777" w:rsidR="004657C8" w:rsidRPr="004657C8" w:rsidRDefault="004657C8" w:rsidP="00320FDC">
      <w:pPr>
        <w:numPr>
          <w:ilvl w:val="0"/>
          <w:numId w:val="36"/>
        </w:numPr>
        <w:spacing w:after="0"/>
      </w:pPr>
      <w:r w:rsidRPr="004657C8">
        <w:t xml:space="preserve">For industry - </w:t>
      </w:r>
      <w:r w:rsidR="008F19B5">
        <w:t xml:space="preserve">reviewing evidence of the impacts of the program on industry, with a focus on the domestic manufacturing base. </w:t>
      </w:r>
    </w:p>
    <w:p w14:paraId="2934511D" w14:textId="77777777" w:rsidR="00CE3094" w:rsidRPr="00631667" w:rsidRDefault="001B209F" w:rsidP="00320FDC">
      <w:pPr>
        <w:numPr>
          <w:ilvl w:val="3"/>
          <w:numId w:val="25"/>
        </w:numPr>
        <w:ind w:left="567"/>
      </w:pPr>
      <w:r w:rsidRPr="00631667">
        <w:t xml:space="preserve">Finally, what opportunities there may be to </w:t>
      </w:r>
      <w:r w:rsidR="00631667">
        <w:t>increase outcomes</w:t>
      </w:r>
      <w:r w:rsidR="005614BF" w:rsidRPr="00631667">
        <w:t>.</w:t>
      </w:r>
    </w:p>
    <w:p w14:paraId="57189F99" w14:textId="77777777" w:rsidR="005614BF" w:rsidRDefault="005614BF" w:rsidP="009F4031">
      <w:pPr>
        <w:spacing w:after="0"/>
        <w:rPr>
          <w:lang w:eastAsia="x-none"/>
        </w:rPr>
      </w:pPr>
      <w:r>
        <w:rPr>
          <w:lang w:eastAsia="x-none"/>
        </w:rPr>
        <w:t xml:space="preserve">Each section draws on both primary and secondary evidence and informs conclusions and recommendations relevant for GEMS.  </w:t>
      </w:r>
    </w:p>
    <w:p w14:paraId="66AF9728" w14:textId="77777777" w:rsidR="00CE3094" w:rsidRPr="0036243D" w:rsidRDefault="00CE3094" w:rsidP="009F4031">
      <w:pPr>
        <w:pStyle w:val="Heading2"/>
      </w:pPr>
      <w:bookmarkStart w:id="66" w:name="_Ref412996022"/>
      <w:bookmarkStart w:id="67" w:name="_Toc422298391"/>
      <w:r w:rsidRPr="0036243D">
        <w:t>Achievement of savings and cost effectiveness</w:t>
      </w:r>
      <w:bookmarkEnd w:id="66"/>
      <w:bookmarkEnd w:id="67"/>
    </w:p>
    <w:p w14:paraId="7946CCEB" w14:textId="77777777" w:rsidR="007377D6" w:rsidRDefault="008F19B5" w:rsidP="009F4031">
      <w:r w:rsidRPr="0049586D">
        <w:t>There are a number of studies</w:t>
      </w:r>
      <w:r w:rsidR="00617DC3">
        <w:t xml:space="preserve"> </w:t>
      </w:r>
      <w:r w:rsidRPr="0049586D">
        <w:t xml:space="preserve">which </w:t>
      </w:r>
      <w:r w:rsidR="005614BF" w:rsidRPr="0049586D">
        <w:t>can be drawn on to inform</w:t>
      </w:r>
      <w:r w:rsidR="00160A9A">
        <w:t xml:space="preserve"> savings made by the program </w:t>
      </w:r>
      <w:r w:rsidR="005614BF" w:rsidRPr="0049586D">
        <w:t xml:space="preserve">and how cost effectively they have been achieved.  </w:t>
      </w:r>
      <w:r w:rsidR="00F22040">
        <w:t>These are outlined in Section 5.1.2 and include the</w:t>
      </w:r>
      <w:r w:rsidR="00F22040" w:rsidRPr="00F22040">
        <w:t xml:space="preserve"> </w:t>
      </w:r>
      <w:r w:rsidR="00F22040">
        <w:t xml:space="preserve">E3 2010 evaluation of energy efficiency policy for household air conditioners and the E3 2009 Greening Whitegoods report. </w:t>
      </w:r>
      <w:r w:rsidR="00C63AE5">
        <w:t xml:space="preserve"> </w:t>
      </w:r>
      <w:r w:rsidR="005614BF" w:rsidRPr="0049586D">
        <w:t>Due to the long term nature of impacts</w:t>
      </w:r>
      <w:r w:rsidR="00BE3B9E">
        <w:t xml:space="preserve"> (including savings)</w:t>
      </w:r>
      <w:r w:rsidR="005614BF" w:rsidRPr="0049586D">
        <w:t xml:space="preserve"> associated with the program, the evidence sources span both the time period covered by GEMS and the predecessor multi-jurisdiction program.  </w:t>
      </w:r>
    </w:p>
    <w:p w14:paraId="2C304916" w14:textId="77777777" w:rsidR="00534202" w:rsidRDefault="0049586D" w:rsidP="009F4031">
      <w:pPr>
        <w:spacing w:after="0"/>
        <w:rPr>
          <w:iCs/>
          <w:szCs w:val="22"/>
        </w:rPr>
      </w:pPr>
      <w:r w:rsidRPr="00401F53">
        <w:rPr>
          <w:u w:val="single"/>
        </w:rPr>
        <w:t>Program impact assessment</w:t>
      </w:r>
      <w:r>
        <w:rPr>
          <w:u w:val="single"/>
        </w:rPr>
        <w:t>s</w:t>
      </w:r>
      <w:r w:rsidRPr="00401F53">
        <w:rPr>
          <w:u w:val="single"/>
        </w:rPr>
        <w:t>:</w:t>
      </w:r>
      <w:r>
        <w:t xml:space="preserve"> In parallel to this review, the Department updated projections </w:t>
      </w:r>
      <w:r w:rsidR="00FD074B">
        <w:t>prepared in 2014</w:t>
      </w:r>
      <w:r>
        <w:rPr>
          <w:rStyle w:val="FootnoteReference"/>
        </w:rPr>
        <w:footnoteReference w:id="93"/>
      </w:r>
      <w:r>
        <w:t xml:space="preserve">.  </w:t>
      </w:r>
      <w:r>
        <w:fldChar w:fldCharType="begin"/>
      </w:r>
      <w:r>
        <w:instrText xml:space="preserve"> REF _Ref405711726 \h </w:instrText>
      </w:r>
      <w:r w:rsidR="009F4031">
        <w:instrText xml:space="preserve"> \* MERGEFORMAT </w:instrText>
      </w:r>
      <w:r>
        <w:fldChar w:fldCharType="separate"/>
      </w:r>
      <w:r w:rsidR="00BE13BF">
        <w:t xml:space="preserve">Table </w:t>
      </w:r>
      <w:r w:rsidR="00BE13BF">
        <w:rPr>
          <w:noProof/>
        </w:rPr>
        <w:t>3</w:t>
      </w:r>
      <w:r>
        <w:fldChar w:fldCharType="end"/>
      </w:r>
      <w:r>
        <w:t xml:space="preserve"> shows the most up-to-</w:t>
      </w:r>
      <w:r w:rsidRPr="00C70DE9">
        <w:t xml:space="preserve">date </w:t>
      </w:r>
      <w:r w:rsidR="00C70DE9" w:rsidRPr="00C70DE9">
        <w:t>DoI</w:t>
      </w:r>
      <w:r w:rsidR="00C70DE9" w:rsidRPr="00117542">
        <w:t>S</w:t>
      </w:r>
      <w:r w:rsidRPr="005A7C7B">
        <w:t xml:space="preserve"> projections</w:t>
      </w:r>
      <w:r>
        <w:t xml:space="preserve"> of costs and savings </w:t>
      </w:r>
      <w:r w:rsidR="00BE3B9E">
        <w:t xml:space="preserve">associated with the program </w:t>
      </w:r>
      <w:r>
        <w:t>between 2014 and 2020</w:t>
      </w:r>
      <w:r w:rsidR="00160A9A">
        <w:rPr>
          <w:rStyle w:val="FootnoteReference"/>
        </w:rPr>
        <w:footnoteReference w:id="94"/>
      </w:r>
      <w:r>
        <w:t xml:space="preserve">. </w:t>
      </w:r>
      <w:r w:rsidR="000A30D2">
        <w:t xml:space="preserve"> </w:t>
      </w:r>
      <w:r w:rsidR="006C1FAA">
        <w:t>This is a work in progress and, a</w:t>
      </w:r>
      <w:r>
        <w:t>s these are still to be finalised, a range is shown</w:t>
      </w:r>
      <w:r w:rsidR="00F22040">
        <w:t xml:space="preserve">.  </w:t>
      </w:r>
      <w:r w:rsidR="00F22040" w:rsidRPr="00F22040">
        <w:rPr>
          <w:iCs/>
          <w:szCs w:val="22"/>
        </w:rPr>
        <w:t>The range is large because these statistics have been developed using data from a range of sources.  All data sets contain statistical errors, which compound when sets are added together.</w:t>
      </w:r>
      <w:r w:rsidR="00F22040">
        <w:rPr>
          <w:iCs/>
          <w:szCs w:val="22"/>
        </w:rPr>
        <w:t xml:space="preserve"> </w:t>
      </w:r>
    </w:p>
    <w:p w14:paraId="53709241" w14:textId="77777777" w:rsidR="00534202" w:rsidRDefault="00534202">
      <w:pPr>
        <w:spacing w:after="0" w:line="240" w:lineRule="auto"/>
        <w:rPr>
          <w:iCs/>
          <w:szCs w:val="22"/>
        </w:rPr>
      </w:pPr>
      <w:r>
        <w:rPr>
          <w:iCs/>
          <w:szCs w:val="22"/>
        </w:rPr>
        <w:br w:type="page"/>
      </w:r>
    </w:p>
    <w:p w14:paraId="20A7A979" w14:textId="77777777" w:rsidR="0049586D" w:rsidRDefault="0049586D" w:rsidP="009F4031">
      <w:pPr>
        <w:pStyle w:val="Caption"/>
        <w:spacing w:line="276" w:lineRule="auto"/>
        <w:jc w:val="center"/>
      </w:pPr>
      <w:bookmarkStart w:id="68" w:name="_Ref405711726"/>
      <w:r>
        <w:lastRenderedPageBreak/>
        <w:t xml:space="preserve">Table </w:t>
      </w:r>
      <w:r>
        <w:fldChar w:fldCharType="begin"/>
      </w:r>
      <w:r>
        <w:instrText xml:space="preserve"> SEQ Table \* ARABIC </w:instrText>
      </w:r>
      <w:r>
        <w:fldChar w:fldCharType="separate"/>
      </w:r>
      <w:r w:rsidR="00BE13BF">
        <w:rPr>
          <w:noProof/>
        </w:rPr>
        <w:t>3</w:t>
      </w:r>
      <w:r>
        <w:rPr>
          <w:noProof/>
        </w:rPr>
        <w:fldChar w:fldCharType="end"/>
      </w:r>
      <w:bookmarkEnd w:id="68"/>
      <w:r>
        <w:t xml:space="preserve"> Projected range of costs and benefits</w:t>
      </w:r>
      <w:r w:rsidR="00BE3B9E">
        <w:t xml:space="preserve"> of GEMS</w:t>
      </w:r>
      <w:r>
        <w:t xml:space="preserve"> for 2014-2020</w:t>
      </w:r>
      <w:r>
        <w:rPr>
          <w:rStyle w:val="FootnoteReference"/>
        </w:rPr>
        <w:footnoteReference w:id="95"/>
      </w:r>
    </w:p>
    <w:tbl>
      <w:tblPr>
        <w:tblW w:w="5913" w:type="dxa"/>
        <w:jc w:val="center"/>
        <w:tblCellMar>
          <w:left w:w="0" w:type="dxa"/>
          <w:right w:w="0" w:type="dxa"/>
        </w:tblCellMar>
        <w:tblLook w:val="04A0" w:firstRow="1" w:lastRow="0" w:firstColumn="1" w:lastColumn="0" w:noHBand="0" w:noVBand="1"/>
      </w:tblPr>
      <w:tblGrid>
        <w:gridCol w:w="2652"/>
        <w:gridCol w:w="3261"/>
      </w:tblGrid>
      <w:tr w:rsidR="0049586D" w14:paraId="53178890" w14:textId="77777777" w:rsidTr="00A07FE8">
        <w:trPr>
          <w:trHeight w:val="316"/>
          <w:jc w:val="center"/>
        </w:trPr>
        <w:tc>
          <w:tcPr>
            <w:tcW w:w="2652" w:type="dxa"/>
            <w:tcBorders>
              <w:top w:val="single" w:sz="8" w:space="0" w:color="auto"/>
              <w:left w:val="single" w:sz="8" w:space="0" w:color="auto"/>
              <w:bottom w:val="single" w:sz="8" w:space="0" w:color="auto"/>
              <w:right w:val="single" w:sz="8" w:space="0" w:color="auto"/>
            </w:tcBorders>
            <w:shd w:val="clear" w:color="auto" w:fill="BE78E6"/>
            <w:tcMar>
              <w:top w:w="0" w:type="dxa"/>
              <w:left w:w="108" w:type="dxa"/>
              <w:bottom w:w="0" w:type="dxa"/>
              <w:right w:w="108" w:type="dxa"/>
            </w:tcMar>
          </w:tcPr>
          <w:p w14:paraId="5B1D42F9" w14:textId="77777777" w:rsidR="0049586D" w:rsidRPr="00463648" w:rsidRDefault="0049586D" w:rsidP="009F4031">
            <w:pPr>
              <w:spacing w:beforeLines="40" w:before="96" w:afterLines="40" w:after="96"/>
              <w:jc w:val="center"/>
              <w:rPr>
                <w:rFonts w:eastAsia="Calibri" w:cs="Calibri"/>
                <w:b/>
                <w:bCs/>
                <w:color w:val="FFFFFF"/>
                <w:szCs w:val="22"/>
                <w:lang w:eastAsia="en-US"/>
              </w:rPr>
            </w:pPr>
            <w:r w:rsidRPr="00463648">
              <w:rPr>
                <w:rFonts w:eastAsia="Calibri" w:cs="Calibri"/>
                <w:b/>
                <w:bCs/>
                <w:color w:val="FFFFFF"/>
                <w:szCs w:val="22"/>
                <w:lang w:eastAsia="en-US"/>
              </w:rPr>
              <w:t>Indicator</w:t>
            </w:r>
          </w:p>
        </w:tc>
        <w:tc>
          <w:tcPr>
            <w:tcW w:w="3261" w:type="dxa"/>
            <w:tcBorders>
              <w:top w:val="single" w:sz="8" w:space="0" w:color="auto"/>
              <w:left w:val="nil"/>
              <w:bottom w:val="single" w:sz="8" w:space="0" w:color="auto"/>
              <w:right w:val="single" w:sz="8" w:space="0" w:color="auto"/>
            </w:tcBorders>
            <w:shd w:val="clear" w:color="auto" w:fill="BE78E6"/>
            <w:tcMar>
              <w:top w:w="0" w:type="dxa"/>
              <w:left w:w="108" w:type="dxa"/>
              <w:bottom w:w="0" w:type="dxa"/>
              <w:right w:w="108" w:type="dxa"/>
            </w:tcMar>
            <w:hideMark/>
          </w:tcPr>
          <w:p w14:paraId="0C9F3742" w14:textId="77777777" w:rsidR="0049586D" w:rsidRPr="00463648" w:rsidRDefault="0049586D" w:rsidP="009F4031">
            <w:pPr>
              <w:spacing w:beforeLines="40" w:before="96" w:afterLines="40" w:after="96"/>
              <w:jc w:val="center"/>
              <w:rPr>
                <w:rFonts w:eastAsia="Calibri" w:cs="Calibri"/>
                <w:b/>
                <w:bCs/>
                <w:color w:val="FFFFFF"/>
                <w:szCs w:val="22"/>
                <w:lang w:eastAsia="en-US"/>
              </w:rPr>
            </w:pPr>
            <w:r w:rsidRPr="00463648">
              <w:rPr>
                <w:b/>
                <w:bCs/>
                <w:color w:val="FFFFFF"/>
              </w:rPr>
              <w:t xml:space="preserve">Projected value for 2014 </w:t>
            </w:r>
            <w:r w:rsidR="009B48A4">
              <w:rPr>
                <w:b/>
                <w:bCs/>
                <w:color w:val="FFFFFF"/>
              </w:rPr>
              <w:t>–</w:t>
            </w:r>
            <w:r w:rsidRPr="00463648">
              <w:rPr>
                <w:b/>
                <w:bCs/>
                <w:color w:val="FFFFFF"/>
              </w:rPr>
              <w:t xml:space="preserve"> 2020</w:t>
            </w:r>
          </w:p>
        </w:tc>
      </w:tr>
      <w:tr w:rsidR="0049586D" w14:paraId="52505D1A" w14:textId="77777777" w:rsidTr="00A07FE8">
        <w:trPr>
          <w:trHeight w:val="68"/>
          <w:jc w:val="center"/>
        </w:trPr>
        <w:tc>
          <w:tcPr>
            <w:tcW w:w="265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8DECEE2" w14:textId="77777777" w:rsidR="0049586D" w:rsidRDefault="0049586D" w:rsidP="009F4031">
            <w:pPr>
              <w:spacing w:after="0"/>
              <w:jc w:val="center"/>
            </w:pPr>
            <w:r>
              <w:t>Energy Savings</w:t>
            </w:r>
            <w:r w:rsidR="009D2521">
              <w:t xml:space="preserve"> (GWh)</w:t>
            </w:r>
          </w:p>
        </w:tc>
        <w:tc>
          <w:tcPr>
            <w:tcW w:w="326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6B39463" w14:textId="77777777" w:rsidR="0049586D" w:rsidRDefault="0049586D" w:rsidP="009F4031">
            <w:pPr>
              <w:spacing w:after="0"/>
              <w:jc w:val="center"/>
            </w:pPr>
            <w:r w:rsidRPr="006013FF">
              <w:t xml:space="preserve">69,000 </w:t>
            </w:r>
            <w:r w:rsidR="00643682">
              <w:t>–</w:t>
            </w:r>
            <w:r w:rsidRPr="006013FF">
              <w:t xml:space="preserve"> 80,000</w:t>
            </w:r>
          </w:p>
        </w:tc>
      </w:tr>
      <w:tr w:rsidR="0009725B" w14:paraId="7FAF8155" w14:textId="77777777" w:rsidTr="00A07FE8">
        <w:trPr>
          <w:trHeight w:val="68"/>
          <w:jc w:val="center"/>
        </w:trPr>
        <w:tc>
          <w:tcPr>
            <w:tcW w:w="265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0107EB1" w14:textId="77777777" w:rsidR="0009725B" w:rsidRDefault="0009725B" w:rsidP="0089482E">
            <w:pPr>
              <w:spacing w:after="0"/>
              <w:jc w:val="center"/>
            </w:pPr>
            <w:r>
              <w:t>Emissions Savings</w:t>
            </w:r>
            <w:r w:rsidR="00653548">
              <w:br/>
            </w:r>
            <w:r>
              <w:t>(</w:t>
            </w:r>
            <w:r w:rsidR="00653548">
              <w:t>million tonnes CO</w:t>
            </w:r>
            <w:r w:rsidR="00653548" w:rsidRPr="00F74133">
              <w:rPr>
                <w:vertAlign w:val="subscript"/>
              </w:rPr>
              <w:t>2</w:t>
            </w:r>
            <w:r w:rsidR="00653548">
              <w:t>-e</w:t>
            </w:r>
            <w:r>
              <w:t>)</w:t>
            </w:r>
          </w:p>
        </w:tc>
        <w:tc>
          <w:tcPr>
            <w:tcW w:w="326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3D93ABF" w14:textId="77777777" w:rsidR="0009725B" w:rsidRDefault="00653548" w:rsidP="0089482E">
            <w:pPr>
              <w:spacing w:after="0"/>
              <w:jc w:val="center"/>
            </w:pPr>
            <w:r>
              <w:t>60</w:t>
            </w:r>
            <w:r w:rsidR="00643682">
              <w:t xml:space="preserve"> –</w:t>
            </w:r>
            <w:r>
              <w:t>70</w:t>
            </w:r>
          </w:p>
        </w:tc>
      </w:tr>
      <w:tr w:rsidR="0049586D" w14:paraId="3EDAA8B6" w14:textId="77777777" w:rsidTr="00A07FE8">
        <w:trPr>
          <w:trHeight w:val="68"/>
          <w:jc w:val="center"/>
        </w:trPr>
        <w:tc>
          <w:tcPr>
            <w:tcW w:w="265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B0192D1" w14:textId="77777777" w:rsidR="0049586D" w:rsidRPr="00400032" w:rsidRDefault="0049586D" w:rsidP="009F4031">
            <w:pPr>
              <w:spacing w:after="0"/>
              <w:jc w:val="center"/>
              <w:rPr>
                <w:rFonts w:eastAsia="Calibri" w:cs="Calibri"/>
                <w:szCs w:val="22"/>
                <w:lang w:eastAsia="en-US"/>
              </w:rPr>
            </w:pPr>
            <w:r>
              <w:t>Benefits ($</w:t>
            </w:r>
            <w:r w:rsidR="00BE13BF">
              <w:t>B</w:t>
            </w:r>
            <w:r>
              <w:t>)</w:t>
            </w:r>
          </w:p>
        </w:tc>
        <w:tc>
          <w:tcPr>
            <w:tcW w:w="326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66A15FF" w14:textId="77777777" w:rsidR="0049586D" w:rsidRPr="00400032" w:rsidRDefault="0049586D" w:rsidP="009F4031">
            <w:pPr>
              <w:spacing w:after="0"/>
              <w:jc w:val="center"/>
              <w:rPr>
                <w:rFonts w:eastAsia="Calibri" w:cs="Calibri"/>
                <w:szCs w:val="22"/>
                <w:lang w:eastAsia="en-US"/>
              </w:rPr>
            </w:pPr>
            <w:r>
              <w:t>7</w:t>
            </w:r>
            <w:r w:rsidR="00BE13BF">
              <w:t>.6</w:t>
            </w:r>
            <w:r>
              <w:t xml:space="preserve"> </w:t>
            </w:r>
            <w:r w:rsidR="00BE13BF">
              <w:t>–</w:t>
            </w:r>
            <w:r>
              <w:t xml:space="preserve"> </w:t>
            </w:r>
            <w:r w:rsidR="00BE13BF">
              <w:t>9.0</w:t>
            </w:r>
          </w:p>
        </w:tc>
      </w:tr>
      <w:tr w:rsidR="0049586D" w14:paraId="68C75B42" w14:textId="77777777" w:rsidTr="00A07FE8">
        <w:trPr>
          <w:trHeight w:val="272"/>
          <w:jc w:val="center"/>
        </w:trPr>
        <w:tc>
          <w:tcPr>
            <w:tcW w:w="265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587161F" w14:textId="77777777" w:rsidR="0049586D" w:rsidRPr="00400032" w:rsidRDefault="0049586D" w:rsidP="009F4031">
            <w:pPr>
              <w:spacing w:after="0"/>
              <w:jc w:val="center"/>
              <w:rPr>
                <w:rFonts w:eastAsia="Calibri" w:cs="Calibri"/>
                <w:szCs w:val="22"/>
                <w:lang w:eastAsia="en-US"/>
              </w:rPr>
            </w:pPr>
            <w:r>
              <w:t>Costs ($</w:t>
            </w:r>
            <w:r w:rsidR="00BE13BF">
              <w:t>B</w:t>
            </w:r>
            <w:r>
              <w:t>)</w:t>
            </w:r>
          </w:p>
        </w:tc>
        <w:tc>
          <w:tcPr>
            <w:tcW w:w="326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A689275" w14:textId="77777777" w:rsidR="0049586D" w:rsidRPr="00400032" w:rsidRDefault="0049586D" w:rsidP="009F4031">
            <w:pPr>
              <w:spacing w:after="0"/>
              <w:jc w:val="center"/>
              <w:rPr>
                <w:rFonts w:eastAsia="Calibri" w:cs="Calibri"/>
                <w:szCs w:val="22"/>
                <w:lang w:eastAsia="en-US"/>
              </w:rPr>
            </w:pPr>
            <w:r>
              <w:t>1</w:t>
            </w:r>
            <w:r w:rsidR="00BE13BF">
              <w:t>.7</w:t>
            </w:r>
            <w:r w:rsidR="00BB168B">
              <w:t xml:space="preserve"> </w:t>
            </w:r>
            <w:r w:rsidR="00BE13BF">
              <w:t>–</w:t>
            </w:r>
            <w:r w:rsidR="00BB168B">
              <w:t xml:space="preserve"> 4</w:t>
            </w:r>
            <w:r w:rsidR="00BE13BF">
              <w:t>.3</w:t>
            </w:r>
          </w:p>
        </w:tc>
      </w:tr>
      <w:tr w:rsidR="0049586D" w14:paraId="2B47AB17" w14:textId="77777777" w:rsidTr="00A07FE8">
        <w:trPr>
          <w:trHeight w:val="272"/>
          <w:jc w:val="center"/>
        </w:trPr>
        <w:tc>
          <w:tcPr>
            <w:tcW w:w="265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304DB21" w14:textId="77777777" w:rsidR="0049586D" w:rsidRPr="00400032" w:rsidRDefault="0049586D" w:rsidP="009F4031">
            <w:pPr>
              <w:spacing w:after="0"/>
              <w:jc w:val="center"/>
              <w:rPr>
                <w:rFonts w:eastAsia="Calibri" w:cs="Calibri"/>
                <w:szCs w:val="22"/>
                <w:lang w:eastAsia="en-US"/>
              </w:rPr>
            </w:pPr>
            <w:r>
              <w:t>Net Present Value ($</w:t>
            </w:r>
            <w:r w:rsidR="00BE13BF">
              <w:t>B</w:t>
            </w:r>
            <w:r>
              <w:t>)</w:t>
            </w:r>
          </w:p>
        </w:tc>
        <w:tc>
          <w:tcPr>
            <w:tcW w:w="326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C5746E6" w14:textId="77777777" w:rsidR="0049586D" w:rsidRPr="00400032" w:rsidRDefault="0049586D" w:rsidP="009F4031">
            <w:pPr>
              <w:spacing w:after="0"/>
              <w:jc w:val="center"/>
              <w:rPr>
                <w:rFonts w:eastAsia="Calibri" w:cs="Calibri"/>
                <w:szCs w:val="22"/>
                <w:lang w:eastAsia="en-US"/>
              </w:rPr>
            </w:pPr>
            <w:r>
              <w:t>3</w:t>
            </w:r>
            <w:r w:rsidR="00BE13BF">
              <w:t>.3</w:t>
            </w:r>
            <w:r>
              <w:t xml:space="preserve"> </w:t>
            </w:r>
            <w:r w:rsidR="00BE13BF">
              <w:t>–</w:t>
            </w:r>
            <w:r>
              <w:t xml:space="preserve"> 7</w:t>
            </w:r>
            <w:r w:rsidR="00BE13BF">
              <w:t>.3</w:t>
            </w:r>
          </w:p>
        </w:tc>
      </w:tr>
      <w:tr w:rsidR="0049586D" w14:paraId="3A90F9C6" w14:textId="77777777" w:rsidTr="00A07FE8">
        <w:trPr>
          <w:trHeight w:val="272"/>
          <w:jc w:val="center"/>
        </w:trPr>
        <w:tc>
          <w:tcPr>
            <w:tcW w:w="265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77B5A68" w14:textId="77777777" w:rsidR="0049586D" w:rsidRPr="00400032" w:rsidRDefault="0049586D" w:rsidP="009F4031">
            <w:pPr>
              <w:spacing w:after="0"/>
              <w:jc w:val="center"/>
              <w:rPr>
                <w:rFonts w:eastAsia="Calibri" w:cs="Calibri"/>
                <w:szCs w:val="22"/>
                <w:lang w:eastAsia="en-US"/>
              </w:rPr>
            </w:pPr>
            <w:r>
              <w:rPr>
                <w:rFonts w:eastAsia="Calibri" w:cs="Calibri"/>
                <w:szCs w:val="22"/>
                <w:lang w:eastAsia="en-US"/>
              </w:rPr>
              <w:t>Benefit : cost ratio</w:t>
            </w:r>
          </w:p>
        </w:tc>
        <w:tc>
          <w:tcPr>
            <w:tcW w:w="326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2484BCE" w14:textId="77777777" w:rsidR="0049586D" w:rsidRPr="00400032" w:rsidRDefault="0049586D" w:rsidP="009F4031">
            <w:pPr>
              <w:spacing w:after="0"/>
              <w:jc w:val="center"/>
              <w:rPr>
                <w:rFonts w:eastAsia="Calibri" w:cs="Calibri"/>
                <w:szCs w:val="22"/>
                <w:lang w:eastAsia="en-US"/>
              </w:rPr>
            </w:pPr>
            <w:r>
              <w:rPr>
                <w:rFonts w:eastAsia="Calibri" w:cs="Calibri"/>
                <w:szCs w:val="22"/>
                <w:lang w:eastAsia="en-US"/>
              </w:rPr>
              <w:t>1.7 – 5.2</w:t>
            </w:r>
          </w:p>
        </w:tc>
      </w:tr>
    </w:tbl>
    <w:p w14:paraId="66CAF5E5" w14:textId="77777777" w:rsidR="00320022" w:rsidRDefault="00320022" w:rsidP="00A07FE8">
      <w:pPr>
        <w:spacing w:after="0"/>
      </w:pPr>
    </w:p>
    <w:p w14:paraId="134851A6" w14:textId="77777777" w:rsidR="00C21BF5" w:rsidRPr="00563ECE" w:rsidRDefault="000A30D2" w:rsidP="00A07FE8">
      <w:pPr>
        <w:spacing w:after="0"/>
      </w:pPr>
      <w:r w:rsidRPr="00831498">
        <w:t xml:space="preserve">The </w:t>
      </w:r>
      <w:r w:rsidR="00E64F96">
        <w:t xml:space="preserve">DoIS projections </w:t>
      </w:r>
      <w:r>
        <w:t xml:space="preserve">indicate that </w:t>
      </w:r>
      <w:r w:rsidR="00423EA0">
        <w:t xml:space="preserve">significant </w:t>
      </w:r>
      <w:r w:rsidR="00B85212">
        <w:t xml:space="preserve">net </w:t>
      </w:r>
      <w:r>
        <w:t xml:space="preserve">savings </w:t>
      </w:r>
      <w:r w:rsidR="00160A9A">
        <w:t xml:space="preserve">will be </w:t>
      </w:r>
      <w:r>
        <w:t xml:space="preserve">realised, and in a </w:t>
      </w:r>
      <w:r w:rsidRPr="006659DC">
        <w:t>cost-effective manner.</w:t>
      </w:r>
      <w:r w:rsidR="00A772AD">
        <w:t xml:space="preserve">  </w:t>
      </w:r>
      <w:r w:rsidR="00A772AD" w:rsidRPr="003A040A">
        <w:t xml:space="preserve">The methodology </w:t>
      </w:r>
      <w:r w:rsidR="00A772AD">
        <w:t>employed for the</w:t>
      </w:r>
      <w:r w:rsidR="00C21BF5">
        <w:t>se projections</w:t>
      </w:r>
      <w:r w:rsidR="00A772AD">
        <w:t xml:space="preserve"> is an improvement on the </w:t>
      </w:r>
      <w:r w:rsidR="00E64F96">
        <w:t>original figures</w:t>
      </w:r>
      <w:r w:rsidR="00A772AD">
        <w:t xml:space="preserve"> as the estimates utilise more and up to date market sales data (e.g. on appliance sales and the impact of trends in international standards) and ABS data on appliance usage.  </w:t>
      </w:r>
      <w:r w:rsidR="00C21BF5">
        <w:t>By contrast, the original impact assessment was largely based on forecast predictions based on impacts from RIS data, as opposed to ex-post evaluations of impact.</w:t>
      </w:r>
      <w:r w:rsidR="00534202">
        <w:t xml:space="preserve"> </w:t>
      </w:r>
    </w:p>
    <w:p w14:paraId="5870FFA8" w14:textId="77777777" w:rsidR="0070477C" w:rsidRDefault="0070477C" w:rsidP="0070477C">
      <w:pPr>
        <w:spacing w:after="0"/>
      </w:pPr>
    </w:p>
    <w:p w14:paraId="020CAC46" w14:textId="77777777" w:rsidR="006F51DA" w:rsidRDefault="00A772AD" w:rsidP="009F4031">
      <w:r>
        <w:t>Notwithstanding th</w:t>
      </w:r>
      <w:r w:rsidR="00C21BF5">
        <w:t>e</w:t>
      </w:r>
      <w:r>
        <w:t xml:space="preserve"> update</w:t>
      </w:r>
      <w:r w:rsidR="00C21BF5">
        <w:t>d projections</w:t>
      </w:r>
      <w:r>
        <w:t>, the</w:t>
      </w:r>
      <w:r w:rsidR="008F770E">
        <w:t xml:space="preserve"> </w:t>
      </w:r>
      <w:r>
        <w:t xml:space="preserve">figures should be interpreted as indicative estimates, </w:t>
      </w:r>
      <w:r w:rsidRPr="00B85DFA">
        <w:t>an</w:t>
      </w:r>
      <w:r w:rsidRPr="00563ECE">
        <w:t xml:space="preserve">d with </w:t>
      </w:r>
      <w:r w:rsidR="002F6A7B">
        <w:t xml:space="preserve">some </w:t>
      </w:r>
      <w:r w:rsidRPr="00563ECE">
        <w:t>caution</w:t>
      </w:r>
      <w:r w:rsidR="00827D2C">
        <w:t>,</w:t>
      </w:r>
      <w:r w:rsidR="002F6A7B">
        <w:t xml:space="preserve"> until the updated projections work has been finalised</w:t>
      </w:r>
      <w:r w:rsidRPr="00563ECE">
        <w:t xml:space="preserve">.  </w:t>
      </w:r>
    </w:p>
    <w:p w14:paraId="3B399D8C" w14:textId="77777777" w:rsidR="00166D06" w:rsidRDefault="005D3B65" w:rsidP="009F4031">
      <w:r w:rsidRPr="00563ECE">
        <w:rPr>
          <w:u w:val="single"/>
        </w:rPr>
        <w:t>GEMS product</w:t>
      </w:r>
      <w:r w:rsidR="008F770E">
        <w:rPr>
          <w:u w:val="single"/>
        </w:rPr>
        <w:t>-</w:t>
      </w:r>
      <w:r w:rsidRPr="00563ECE">
        <w:rPr>
          <w:u w:val="single"/>
        </w:rPr>
        <w:t>specific energy efficiency impact studies</w:t>
      </w:r>
      <w:r w:rsidR="00166D06" w:rsidRPr="00C70DE9">
        <w:rPr>
          <w:u w:val="single"/>
        </w:rPr>
        <w:t>:</w:t>
      </w:r>
      <w:r w:rsidR="00166D06" w:rsidRPr="00C70DE9">
        <w:t xml:space="preserve"> </w:t>
      </w:r>
      <w:r w:rsidR="00B85DFA" w:rsidRPr="00983742">
        <w:t xml:space="preserve"> </w:t>
      </w:r>
      <w:r w:rsidR="000365A5">
        <w:t>As mentioned above, t</w:t>
      </w:r>
      <w:r w:rsidRPr="00B85DFA">
        <w:t>here</w:t>
      </w:r>
      <w:r w:rsidRPr="00563ECE">
        <w:t xml:space="preserve"> are two product</w:t>
      </w:r>
      <w:r w:rsidR="008F770E">
        <w:t>-</w:t>
      </w:r>
      <w:r w:rsidRPr="00563ECE">
        <w:t xml:space="preserve">specific impact studies which have been undertaken </w:t>
      </w:r>
      <w:r w:rsidR="009D2521" w:rsidRPr="00563ECE">
        <w:t xml:space="preserve">in 2009 and 2010 </w:t>
      </w:r>
      <w:r w:rsidRPr="00563ECE">
        <w:t>(household air condition</w:t>
      </w:r>
      <w:r w:rsidRPr="00C70DE9">
        <w:t>ers and whitegoods</w:t>
      </w:r>
      <w:r w:rsidR="009D2521" w:rsidRPr="00563ECE">
        <w:rPr>
          <w:rStyle w:val="FootnoteReference"/>
        </w:rPr>
        <w:footnoteReference w:id="96"/>
      </w:r>
      <w:r w:rsidRPr="00563ECE">
        <w:t>)</w:t>
      </w:r>
      <w:r w:rsidR="00FE11C6" w:rsidRPr="00563ECE">
        <w:t xml:space="preserve"> </w:t>
      </w:r>
      <w:r w:rsidR="00423EA0" w:rsidRPr="00563ECE">
        <w:t>a</w:t>
      </w:r>
      <w:r w:rsidR="00FE11C6" w:rsidRPr="00C70DE9">
        <w:t>s part of GEMS</w:t>
      </w:r>
      <w:r w:rsidRPr="00C70DE9">
        <w:t xml:space="preserve">.  </w:t>
      </w:r>
      <w:r w:rsidR="009D2521" w:rsidRPr="00C70DE9">
        <w:t xml:space="preserve">This </w:t>
      </w:r>
      <w:r w:rsidR="00FE11C6" w:rsidRPr="00C70DE9">
        <w:t xml:space="preserve">is </w:t>
      </w:r>
      <w:r w:rsidR="009D2521" w:rsidRPr="00C70DE9">
        <w:t>the most recent evidence available and the three new product groups introduced under GEMS</w:t>
      </w:r>
      <w:r w:rsidR="009D2521" w:rsidRPr="00117542">
        <w:t xml:space="preserve"> </w:t>
      </w:r>
      <w:r w:rsidR="000234B7">
        <w:t xml:space="preserve">(insulation, glazing and ducting) </w:t>
      </w:r>
      <w:r w:rsidR="009D2521" w:rsidRPr="00622C7D">
        <w:t xml:space="preserve">have not yet been evaluated. </w:t>
      </w:r>
      <w:r w:rsidR="0001628A">
        <w:t xml:space="preserve"> </w:t>
      </w:r>
      <w:r w:rsidRPr="005A7C7B">
        <w:t xml:space="preserve">Both studies are </w:t>
      </w:r>
      <w:r w:rsidR="00166D06" w:rsidRPr="005A7C7B">
        <w:t xml:space="preserve">ex-post </w:t>
      </w:r>
      <w:r w:rsidRPr="00111866">
        <w:t>impact evaluation studies</w:t>
      </w:r>
      <w:r w:rsidR="00166D06" w:rsidRPr="00C54252">
        <w:t>, which consider hypothetical estimates of the counterfactual</w:t>
      </w:r>
      <w:r w:rsidR="00166D06" w:rsidRPr="00F115B2">
        <w:rPr>
          <w:rStyle w:val="FootnoteReference"/>
        </w:rPr>
        <w:footnoteReference w:id="97"/>
      </w:r>
      <w:r w:rsidR="00166D06" w:rsidRPr="00F115B2">
        <w:t xml:space="preserve">.  The results show strong correlations between </w:t>
      </w:r>
      <w:r>
        <w:t xml:space="preserve">the timing of </w:t>
      </w:r>
      <w:r w:rsidR="00166D06" w:rsidRPr="00F115B2">
        <w:t xml:space="preserve">introduction of MEPS and labelling and improvements in energy efficiency, which are </w:t>
      </w:r>
      <w:r>
        <w:t xml:space="preserve">statistically </w:t>
      </w:r>
      <w:r w:rsidR="00166D06" w:rsidRPr="00F115B2">
        <w:t xml:space="preserve">significant.  </w:t>
      </w:r>
    </w:p>
    <w:p w14:paraId="2C5DCC78" w14:textId="77777777" w:rsidR="00166D06" w:rsidRDefault="005D3B65" w:rsidP="009F4031">
      <w:r>
        <w:t>Within the studies, t</w:t>
      </w:r>
      <w:r w:rsidR="00166D06">
        <w:t xml:space="preserve">he detailed evaluations of refrigerators and air conditioning </w:t>
      </w:r>
      <w:r>
        <w:t xml:space="preserve">report </w:t>
      </w:r>
      <w:r w:rsidR="00166D06">
        <w:t xml:space="preserve">actual energy savings were significantly greater than had been anticipated in the relevant RIS documents. </w:t>
      </w:r>
      <w:r w:rsidR="0001628A">
        <w:t xml:space="preserve"> </w:t>
      </w:r>
      <w:r w:rsidR="00166D06">
        <w:t xml:space="preserve">For example, the energy savings from the 2005 refrigeration MEPS was </w:t>
      </w:r>
      <w:r w:rsidR="00166D06" w:rsidRPr="00E5585C">
        <w:t>750 GWh/year</w:t>
      </w:r>
      <w:r w:rsidR="00AD7E9D">
        <w:t xml:space="preserve"> as calculated in the impact study</w:t>
      </w:r>
      <w:r w:rsidR="00166D06">
        <w:t xml:space="preserve"> (compared with 500</w:t>
      </w:r>
      <w:r w:rsidR="00202C3C">
        <w:t xml:space="preserve"> </w:t>
      </w:r>
      <w:r w:rsidR="00166D06">
        <w:t>GWh/year</w:t>
      </w:r>
      <w:r>
        <w:t>, which was forecast in the RIS</w:t>
      </w:r>
      <w:r w:rsidR="00166D06">
        <w:t xml:space="preserve">). </w:t>
      </w:r>
      <w:r w:rsidR="0001628A">
        <w:t xml:space="preserve"> </w:t>
      </w:r>
      <w:r w:rsidR="00166D06">
        <w:t xml:space="preserve">In both cases, this is partly due to </w:t>
      </w:r>
      <w:r w:rsidR="009D2521">
        <w:t>a tendency towards conservatism</w:t>
      </w:r>
      <w:r w:rsidR="00166D06">
        <w:t xml:space="preserve"> when undertaking RIS analysis</w:t>
      </w:r>
      <w:r w:rsidR="009D2521">
        <w:t xml:space="preserve"> (in order to mitigate risk of over-estimating benefits)</w:t>
      </w:r>
      <w:r w:rsidR="00166D06">
        <w:t xml:space="preserve"> and partly a result of greater sales volumes than </w:t>
      </w:r>
      <w:r w:rsidR="009D2521">
        <w:t xml:space="preserve">were </w:t>
      </w:r>
      <w:r w:rsidR="00166D06">
        <w:t xml:space="preserve">forecast. </w:t>
      </w:r>
    </w:p>
    <w:p w14:paraId="2579E273" w14:textId="77777777" w:rsidR="005D3B65" w:rsidRDefault="009D2521" w:rsidP="009F4031">
      <w:r>
        <w:t xml:space="preserve">These studies provide significantly more robust evidence of savings </w:t>
      </w:r>
      <w:r w:rsidR="00007773">
        <w:t xml:space="preserve">for these product groups.  </w:t>
      </w:r>
      <w:r>
        <w:t>There are two limita</w:t>
      </w:r>
      <w:r w:rsidR="00007773">
        <w:t>tions</w:t>
      </w:r>
      <w:r w:rsidR="00AD7E9D">
        <w:t>:</w:t>
      </w:r>
    </w:p>
    <w:p w14:paraId="4FF11ADC" w14:textId="77777777" w:rsidR="00061D27" w:rsidRDefault="00007773" w:rsidP="00243E2E">
      <w:pPr>
        <w:numPr>
          <w:ilvl w:val="0"/>
          <w:numId w:val="80"/>
        </w:numPr>
      </w:pPr>
      <w:r w:rsidRPr="007F3425">
        <w:t>Attribution and the counterfactual:</w:t>
      </w:r>
      <w:r>
        <w:t xml:space="preserve">  There are uncertainties surrounding the </w:t>
      </w:r>
      <w:r w:rsidRPr="00007773">
        <w:t>quant</w:t>
      </w:r>
      <w:r>
        <w:t xml:space="preserve">ification of </w:t>
      </w:r>
      <w:r w:rsidR="00710849">
        <w:t xml:space="preserve">savings which are </w:t>
      </w:r>
      <w:r w:rsidRPr="00007773">
        <w:t>directly attributable</w:t>
      </w:r>
      <w:r w:rsidR="00710849">
        <w:t xml:space="preserve"> to the program</w:t>
      </w:r>
      <w:r w:rsidRPr="00007773">
        <w:t xml:space="preserve">, as many other factors that affect energy </w:t>
      </w:r>
      <w:r w:rsidRPr="00007773">
        <w:lastRenderedPageBreak/>
        <w:t>efficiency are also at play</w:t>
      </w:r>
      <w:r>
        <w:t>.  These</w:t>
      </w:r>
      <w:r w:rsidR="00AD7E9D">
        <w:t xml:space="preserve"> factors</w:t>
      </w:r>
      <w:r>
        <w:t xml:space="preserve"> include changes in </w:t>
      </w:r>
      <w:r w:rsidRPr="00007773">
        <w:t>technolog</w:t>
      </w:r>
      <w:r>
        <w:t xml:space="preserve">y which affect energy efficiency and changes in consumer </w:t>
      </w:r>
      <w:r w:rsidR="00710849">
        <w:t>preferences.  The whitegoods report provides an example of</w:t>
      </w:r>
      <w:r w:rsidR="00E973FD">
        <w:t xml:space="preserve"> </w:t>
      </w:r>
      <w:r w:rsidR="00710849">
        <w:t>this</w:t>
      </w:r>
      <w:r w:rsidR="004A3DD9">
        <w:t>,</w:t>
      </w:r>
      <w:r w:rsidR="00710849">
        <w:t xml:space="preserve"> as it also </w:t>
      </w:r>
      <w:r w:rsidR="006F51DA">
        <w:t xml:space="preserve">reports significant changes in energy consumption amongst products where MEPS and labelling interventions do not change over the </w:t>
      </w:r>
      <w:r w:rsidR="00066834">
        <w:t xml:space="preserve">assessed </w:t>
      </w:r>
      <w:r w:rsidR="006F51DA">
        <w:t>time period</w:t>
      </w:r>
      <w:r w:rsidR="00066834">
        <w:rPr>
          <w:rStyle w:val="FootnoteReference"/>
        </w:rPr>
        <w:footnoteReference w:id="98"/>
      </w:r>
      <w:r w:rsidR="00061D27">
        <w:t>.</w:t>
      </w:r>
    </w:p>
    <w:p w14:paraId="6FA055E4" w14:textId="77777777" w:rsidR="00007773" w:rsidRPr="00882DA9" w:rsidRDefault="00710849" w:rsidP="00243E2E">
      <w:pPr>
        <w:numPr>
          <w:ilvl w:val="0"/>
          <w:numId w:val="80"/>
        </w:numPr>
        <w:autoSpaceDE w:val="0"/>
        <w:autoSpaceDN w:val="0"/>
        <w:adjustRightInd w:val="0"/>
        <w:spacing w:after="0" w:line="240" w:lineRule="auto"/>
        <w:rPr>
          <w:rFonts w:eastAsia="Calibri" w:cs="Arial"/>
          <w:szCs w:val="22"/>
          <w:lang w:val="en-AU" w:eastAsia="en-US"/>
        </w:rPr>
      </w:pPr>
      <w:r w:rsidRPr="007F3425">
        <w:t>MEPS vs. Labelling:</w:t>
      </w:r>
      <w:r>
        <w:t xml:space="preserve"> </w:t>
      </w:r>
      <w:r w:rsidR="00061D27">
        <w:t xml:space="preserve"> </w:t>
      </w:r>
      <w:r w:rsidR="00CE3BB5">
        <w:t>Most of t</w:t>
      </w:r>
      <w:r w:rsidR="00061D27">
        <w:t xml:space="preserve">he studies do not attempt to disaggregate impacts which are driven by MEPS and those by labelling, so it is not </w:t>
      </w:r>
      <w:r w:rsidR="00CE3BB5">
        <w:t xml:space="preserve">always </w:t>
      </w:r>
      <w:r w:rsidR="00061D27">
        <w:t>possible to know wh</w:t>
      </w:r>
      <w:r w:rsidR="00AD7E9D">
        <w:t>ich</w:t>
      </w:r>
      <w:r w:rsidR="00061D27">
        <w:t xml:space="preserve"> has delivered what savings. </w:t>
      </w:r>
      <w:r w:rsidR="00C63AE5">
        <w:t xml:space="preserve"> </w:t>
      </w:r>
      <w:r w:rsidR="00FA2DBC" w:rsidRPr="00FA2DBC">
        <w:rPr>
          <w:rFonts w:eastAsia="Calibri" w:cs="Arial"/>
          <w:szCs w:val="22"/>
          <w:lang w:val="en-AU" w:eastAsia="en-US"/>
        </w:rPr>
        <w:t>However, in 2010, E3 commissioned an evaluation of the actual energy savings</w:t>
      </w:r>
      <w:r w:rsidR="00E973FD">
        <w:rPr>
          <w:rFonts w:eastAsia="Calibri" w:cs="Arial"/>
          <w:szCs w:val="22"/>
          <w:lang w:val="en-AU" w:eastAsia="en-US"/>
        </w:rPr>
        <w:t xml:space="preserve"> </w:t>
      </w:r>
      <w:r w:rsidR="00FA2DBC" w:rsidRPr="00E973FD">
        <w:rPr>
          <w:rFonts w:eastAsia="Calibri" w:cs="Arial"/>
          <w:szCs w:val="22"/>
          <w:lang w:val="en-AU" w:eastAsia="en-US"/>
        </w:rPr>
        <w:t>attributable to energy labelling and MEPS programs implemented in Australia for household refrigeration products</w:t>
      </w:r>
      <w:r w:rsidR="00E973FD">
        <w:rPr>
          <w:rStyle w:val="FootnoteReference"/>
          <w:rFonts w:eastAsia="Calibri" w:cs="Arial"/>
          <w:szCs w:val="22"/>
          <w:lang w:val="en-AU" w:eastAsia="en-US"/>
        </w:rPr>
        <w:footnoteReference w:id="99"/>
      </w:r>
      <w:r w:rsidR="00FA2DBC" w:rsidRPr="00E973FD">
        <w:rPr>
          <w:rFonts w:eastAsia="Calibri" w:cs="Arial"/>
          <w:szCs w:val="22"/>
          <w:lang w:val="en-AU" w:eastAsia="en-US"/>
        </w:rPr>
        <w:t xml:space="preserve">. </w:t>
      </w:r>
      <w:r w:rsidR="00E973FD">
        <w:rPr>
          <w:rFonts w:eastAsia="Calibri" w:cs="Arial"/>
          <w:szCs w:val="22"/>
          <w:lang w:val="en-AU" w:eastAsia="en-US"/>
        </w:rPr>
        <w:t xml:space="preserve"> </w:t>
      </w:r>
      <w:r w:rsidR="00FA2DBC" w:rsidRPr="00E973FD">
        <w:rPr>
          <w:rFonts w:eastAsia="Calibri" w:cs="Arial"/>
          <w:szCs w:val="22"/>
          <w:lang w:val="en-AU" w:eastAsia="en-US"/>
        </w:rPr>
        <w:t xml:space="preserve">The evaluation found that, by the end of 2009, the annual energy savings due to all policy measures on refrigerators was around 5.9 TWh/year. </w:t>
      </w:r>
      <w:r w:rsidR="00C63AE5">
        <w:rPr>
          <w:rFonts w:eastAsia="Calibri" w:cs="Arial"/>
          <w:szCs w:val="22"/>
          <w:lang w:val="en-AU" w:eastAsia="en-US"/>
        </w:rPr>
        <w:t xml:space="preserve"> </w:t>
      </w:r>
      <w:r w:rsidR="00FA2DBC" w:rsidRPr="00E973FD">
        <w:rPr>
          <w:rFonts w:eastAsia="Calibri" w:cs="Arial"/>
          <w:szCs w:val="22"/>
          <w:lang w:val="en-AU" w:eastAsia="en-US"/>
        </w:rPr>
        <w:t>Most (around 4.1</w:t>
      </w:r>
      <w:r w:rsidR="00C33790">
        <w:rPr>
          <w:rFonts w:eastAsia="Calibri" w:cs="Arial"/>
          <w:szCs w:val="22"/>
          <w:lang w:val="en-AU" w:eastAsia="en-US"/>
        </w:rPr>
        <w:t> </w:t>
      </w:r>
      <w:r w:rsidR="00FA2DBC" w:rsidRPr="00E973FD">
        <w:rPr>
          <w:rFonts w:eastAsia="Calibri" w:cs="Arial"/>
          <w:szCs w:val="22"/>
          <w:lang w:val="en-AU" w:eastAsia="en-US"/>
        </w:rPr>
        <w:t>TWh/year) is attributed to energy labels introduced from 1986, thus policies from the late 1990s onwards (ie. MEPS) will have realised an estimated energy savings of around 1.8</w:t>
      </w:r>
      <w:r w:rsidR="00C33790">
        <w:rPr>
          <w:rFonts w:eastAsia="Calibri" w:cs="Arial"/>
          <w:szCs w:val="22"/>
          <w:lang w:val="en-AU" w:eastAsia="en-US"/>
        </w:rPr>
        <w:t> </w:t>
      </w:r>
      <w:r w:rsidR="00FA2DBC" w:rsidRPr="00E973FD">
        <w:rPr>
          <w:rFonts w:eastAsia="Calibri" w:cs="Arial"/>
          <w:szCs w:val="22"/>
          <w:lang w:val="en-AU" w:eastAsia="en-US"/>
        </w:rPr>
        <w:t>TWh/year per annum by 2009.</w:t>
      </w:r>
      <w:r w:rsidR="00C63AE5">
        <w:rPr>
          <w:rFonts w:eastAsia="Calibri" w:cs="Arial"/>
          <w:szCs w:val="22"/>
          <w:lang w:val="en-AU" w:eastAsia="en-US"/>
        </w:rPr>
        <w:br/>
      </w:r>
    </w:p>
    <w:p w14:paraId="750C0236" w14:textId="77777777" w:rsidR="00315463" w:rsidRDefault="00315463" w:rsidP="00E973FD">
      <w:r w:rsidRPr="00315463">
        <w:rPr>
          <w:u w:val="single"/>
        </w:rPr>
        <w:t>Evidence of labelling impacts</w:t>
      </w:r>
      <w:r w:rsidRPr="00315463">
        <w:t xml:space="preserve">: </w:t>
      </w:r>
      <w:r w:rsidR="007F3425">
        <w:t xml:space="preserve"> </w:t>
      </w:r>
      <w:r w:rsidR="002A484E">
        <w:t xml:space="preserve">There are other sources of evidence, which explore awareness and influence of the Energy Rating </w:t>
      </w:r>
      <w:r w:rsidR="008F770E">
        <w:t>L</w:t>
      </w:r>
      <w:r w:rsidR="002A484E">
        <w:t xml:space="preserve">abel on consumer purchase decisions.  </w:t>
      </w:r>
    </w:p>
    <w:p w14:paraId="68BDD185" w14:textId="77777777" w:rsidR="002A484E" w:rsidRDefault="002A484E" w:rsidP="00997283">
      <w:pPr>
        <w:spacing w:after="0"/>
      </w:pPr>
      <w:r>
        <w:t>Quantitative online research</w:t>
      </w:r>
      <w:r w:rsidR="008C03EA">
        <w:rPr>
          <w:rStyle w:val="FootnoteReference"/>
        </w:rPr>
        <w:footnoteReference w:id="100"/>
      </w:r>
      <w:r>
        <w:t xml:space="preserve"> undertaken by Sweeney Research for the Sustainability Victoria Smarter Choice program in 2014</w:t>
      </w:r>
      <w:r>
        <w:rPr>
          <w:rStyle w:val="FootnoteReference"/>
        </w:rPr>
        <w:footnoteReference w:id="101"/>
      </w:r>
      <w:r>
        <w:t xml:space="preserve"> shows high awareness, understanding and perceived usefulness of the Energy Rating </w:t>
      </w:r>
      <w:r w:rsidR="008F770E">
        <w:t>L</w:t>
      </w:r>
      <w:r>
        <w:t>abel</w:t>
      </w:r>
      <w:r w:rsidR="008C03EA">
        <w:t xml:space="preserve"> (</w:t>
      </w:r>
      <w:r w:rsidR="008C03EA">
        <w:fldChar w:fldCharType="begin"/>
      </w:r>
      <w:r w:rsidR="008C03EA">
        <w:instrText xml:space="preserve"> REF _Ref409194394 \h </w:instrText>
      </w:r>
      <w:r w:rsidR="009F4031">
        <w:instrText xml:space="preserve"> \* MERGEFORMAT </w:instrText>
      </w:r>
      <w:r w:rsidR="008C03EA">
        <w:fldChar w:fldCharType="separate"/>
      </w:r>
      <w:r w:rsidR="00BE13BF">
        <w:t xml:space="preserve">Figure </w:t>
      </w:r>
      <w:r w:rsidR="00BE13BF">
        <w:rPr>
          <w:noProof/>
        </w:rPr>
        <w:t>2</w:t>
      </w:r>
      <w:r w:rsidR="008C03EA">
        <w:fldChar w:fldCharType="end"/>
      </w:r>
      <w:r w:rsidR="008C03EA">
        <w:t>)</w:t>
      </w:r>
      <w:r>
        <w:t xml:space="preserve">.  </w:t>
      </w:r>
      <w:r w:rsidR="008C03EA">
        <w:t>The research also showed that the label influenced purchase decisions (amongst other influences</w:t>
      </w:r>
      <w:r w:rsidR="002518BF">
        <w:t>;</w:t>
      </w:r>
      <w:r w:rsidR="008C03EA">
        <w:t xml:space="preserve"> </w:t>
      </w:r>
      <w:r w:rsidR="008C03EA">
        <w:fldChar w:fldCharType="begin"/>
      </w:r>
      <w:r w:rsidR="008C03EA">
        <w:instrText xml:space="preserve"> REF _Ref409194432 \h </w:instrText>
      </w:r>
      <w:r w:rsidR="009F4031">
        <w:instrText xml:space="preserve"> \* MERGEFORMAT </w:instrText>
      </w:r>
      <w:r w:rsidR="008C03EA">
        <w:fldChar w:fldCharType="separate"/>
      </w:r>
      <w:r w:rsidR="00BE13BF">
        <w:t xml:space="preserve">Figure </w:t>
      </w:r>
      <w:r w:rsidR="00BE13BF">
        <w:rPr>
          <w:noProof/>
        </w:rPr>
        <w:t>3</w:t>
      </w:r>
      <w:r w:rsidR="008C03EA">
        <w:fldChar w:fldCharType="end"/>
      </w:r>
      <w:r w:rsidR="008C03EA">
        <w:t>).</w:t>
      </w:r>
    </w:p>
    <w:p w14:paraId="551BB78D" w14:textId="77777777" w:rsidR="00C63AE5" w:rsidRDefault="00C63AE5" w:rsidP="00997283">
      <w:pPr>
        <w:spacing w:after="0"/>
      </w:pPr>
    </w:p>
    <w:p w14:paraId="235D8D11" w14:textId="77777777" w:rsidR="002A484E" w:rsidRDefault="002A484E" w:rsidP="00997283">
      <w:pPr>
        <w:pStyle w:val="Caption"/>
        <w:keepNext/>
        <w:spacing w:after="0" w:line="276" w:lineRule="auto"/>
      </w:pPr>
      <w:bookmarkStart w:id="69" w:name="_Ref409194394"/>
      <w:r>
        <w:t xml:space="preserve">Figure </w:t>
      </w:r>
      <w:r>
        <w:fldChar w:fldCharType="begin"/>
      </w:r>
      <w:r>
        <w:instrText xml:space="preserve"> SEQ Figure \* ARABIC </w:instrText>
      </w:r>
      <w:r>
        <w:fldChar w:fldCharType="separate"/>
      </w:r>
      <w:r w:rsidR="00BE13BF">
        <w:rPr>
          <w:noProof/>
        </w:rPr>
        <w:t>2</w:t>
      </w:r>
      <w:r>
        <w:fldChar w:fldCharType="end"/>
      </w:r>
      <w:bookmarkEnd w:id="69"/>
      <w:r>
        <w:t xml:space="preserve">:  Energy </w:t>
      </w:r>
      <w:r w:rsidR="008F770E">
        <w:t>R</w:t>
      </w:r>
      <w:r>
        <w:t xml:space="preserve">ating </w:t>
      </w:r>
      <w:r w:rsidR="008F770E">
        <w:t>L</w:t>
      </w:r>
      <w:r>
        <w:t>abel understanding and perceived usefulness</w:t>
      </w:r>
    </w:p>
    <w:p w14:paraId="56F98DC8" w14:textId="77777777" w:rsidR="002A484E" w:rsidRDefault="008E332E" w:rsidP="009F4031">
      <w:r>
        <w:rPr>
          <w:noProof/>
          <w:color w:val="4F81BD"/>
          <w:lang w:val="en-AU" w:eastAsia="en-AU"/>
        </w:rPr>
        <w:drawing>
          <wp:inline distT="0" distB="0" distL="0" distR="0" wp14:anchorId="072F059C" wp14:editId="31F6F628">
            <wp:extent cx="5732145" cy="2947670"/>
            <wp:effectExtent l="0" t="0" r="1905" b="5080"/>
            <wp:docPr id="3" name="Picture 3" descr="Two bar graphs displaying usefulness and understanding of star rat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t="23535"/>
                    <a:stretch>
                      <a:fillRect/>
                    </a:stretch>
                  </pic:blipFill>
                  <pic:spPr bwMode="auto">
                    <a:xfrm>
                      <a:off x="0" y="0"/>
                      <a:ext cx="5732145" cy="2947670"/>
                    </a:xfrm>
                    <a:prstGeom prst="rect">
                      <a:avLst/>
                    </a:prstGeom>
                    <a:noFill/>
                    <a:ln>
                      <a:noFill/>
                    </a:ln>
                  </pic:spPr>
                </pic:pic>
              </a:graphicData>
            </a:graphic>
          </wp:inline>
        </w:drawing>
      </w:r>
    </w:p>
    <w:p w14:paraId="3EC10BDF" w14:textId="77777777" w:rsidR="008C03EA" w:rsidRDefault="008C03EA" w:rsidP="00176AA2">
      <w:pPr>
        <w:pStyle w:val="Caption"/>
        <w:keepNext/>
        <w:spacing w:after="0" w:line="276" w:lineRule="auto"/>
      </w:pPr>
      <w:bookmarkStart w:id="70" w:name="_Ref409194432"/>
      <w:r>
        <w:lastRenderedPageBreak/>
        <w:t xml:space="preserve">Figure </w:t>
      </w:r>
      <w:r>
        <w:fldChar w:fldCharType="begin"/>
      </w:r>
      <w:r>
        <w:instrText xml:space="preserve"> SEQ Figure \* ARABIC </w:instrText>
      </w:r>
      <w:r>
        <w:fldChar w:fldCharType="separate"/>
      </w:r>
      <w:r w:rsidR="00BE13BF">
        <w:rPr>
          <w:noProof/>
        </w:rPr>
        <w:t>3</w:t>
      </w:r>
      <w:r>
        <w:fldChar w:fldCharType="end"/>
      </w:r>
      <w:bookmarkEnd w:id="70"/>
      <w:r>
        <w:t>:  Influences on purchase decisions 2013 and 2014</w:t>
      </w:r>
    </w:p>
    <w:p w14:paraId="0EF1382A" w14:textId="77777777" w:rsidR="00315463" w:rsidRDefault="008E332E" w:rsidP="009F4031">
      <w:pPr>
        <w:rPr>
          <w:color w:val="4F81BD"/>
        </w:rPr>
      </w:pPr>
      <w:r>
        <w:rPr>
          <w:noProof/>
          <w:color w:val="4F81BD"/>
          <w:lang w:val="en-AU" w:eastAsia="en-AU"/>
        </w:rPr>
        <w:drawing>
          <wp:inline distT="0" distB="0" distL="0" distR="0" wp14:anchorId="6A4E371E" wp14:editId="55A56AE4">
            <wp:extent cx="5732145" cy="3220720"/>
            <wp:effectExtent l="0" t="0" r="1905" b="0"/>
            <wp:docPr id="4" name="Picture 4" descr="bar graph displaying indluences on purchase dec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t="15855"/>
                    <a:stretch>
                      <a:fillRect/>
                    </a:stretch>
                  </pic:blipFill>
                  <pic:spPr bwMode="auto">
                    <a:xfrm>
                      <a:off x="0" y="0"/>
                      <a:ext cx="5732145" cy="3220720"/>
                    </a:xfrm>
                    <a:prstGeom prst="rect">
                      <a:avLst/>
                    </a:prstGeom>
                    <a:noFill/>
                    <a:ln>
                      <a:noFill/>
                    </a:ln>
                  </pic:spPr>
                </pic:pic>
              </a:graphicData>
            </a:graphic>
          </wp:inline>
        </w:drawing>
      </w:r>
    </w:p>
    <w:p w14:paraId="5704680A" w14:textId="77777777" w:rsidR="00166D06" w:rsidRPr="00166D06" w:rsidRDefault="00C62FBD" w:rsidP="009F4031">
      <w:pPr>
        <w:rPr>
          <w:color w:val="4F81BD"/>
        </w:rPr>
      </w:pPr>
      <w:r>
        <w:t>This research is corroborated by a separate 2014 study by on the Energy Rating Label for DoIS, which showed that the four most important factors in a consumer’s decision to purchase an appliance are (in descending order of priority) price, product features, brand reputation and energy use</w:t>
      </w:r>
      <w:r>
        <w:rPr>
          <w:rStyle w:val="FootnoteReference"/>
        </w:rPr>
        <w:footnoteReference w:id="102"/>
      </w:r>
      <w:r>
        <w:t xml:space="preserve">.  </w:t>
      </w:r>
    </w:p>
    <w:p w14:paraId="5F183E18" w14:textId="77777777" w:rsidR="00166D06" w:rsidRDefault="00166D06" w:rsidP="009F4031">
      <w:r>
        <w:rPr>
          <w:u w:val="single"/>
        </w:rPr>
        <w:t>International learnings – improving impact assessments</w:t>
      </w:r>
      <w:r w:rsidRPr="00D93432">
        <w:rPr>
          <w:u w:val="single"/>
        </w:rPr>
        <w:t>:</w:t>
      </w:r>
      <w:r>
        <w:t xml:space="preserve"> There are limited </w:t>
      </w:r>
      <w:r w:rsidR="007F63D3">
        <w:t xml:space="preserve">ways </w:t>
      </w:r>
      <w:r>
        <w:t>to improve the impact assessment</w:t>
      </w:r>
      <w:r w:rsidRPr="000F7740">
        <w:t xml:space="preserve"> </w:t>
      </w:r>
      <w:r>
        <w:t xml:space="preserve">and attempts to quantify the </w:t>
      </w:r>
      <w:r w:rsidR="00C86F05">
        <w:t xml:space="preserve">E3 program’s </w:t>
      </w:r>
      <w:r>
        <w:t>savings have gone further than other similar programs</w:t>
      </w:r>
      <w:r w:rsidRPr="00F115B2">
        <w:rPr>
          <w:rStyle w:val="FootnoteReference"/>
        </w:rPr>
        <w:footnoteReference w:id="103"/>
      </w:r>
      <w:r>
        <w:t xml:space="preserve">. </w:t>
      </w:r>
      <w:r w:rsidR="0001628A">
        <w:t xml:space="preserve"> </w:t>
      </w:r>
      <w:r>
        <w:t xml:space="preserve">However, there may be an opportunity to improve the available data on consumer appliance and energy usage, </w:t>
      </w:r>
      <w:r w:rsidR="00C86F05">
        <w:t xml:space="preserve">by using a tool </w:t>
      </w:r>
      <w:r>
        <w:t xml:space="preserve">such as the </w:t>
      </w:r>
      <w:r w:rsidRPr="00F25361">
        <w:t>Residential Energy Consumption Survey</w:t>
      </w:r>
      <w:r>
        <w:t xml:space="preserve"> undertaken every four years in the USA</w:t>
      </w:r>
      <w:r w:rsidRPr="00F115B2">
        <w:rPr>
          <w:rStyle w:val="FootnoteReference"/>
        </w:rPr>
        <w:footnoteReference w:id="104"/>
      </w:r>
      <w:r>
        <w:t xml:space="preserve">. </w:t>
      </w:r>
    </w:p>
    <w:p w14:paraId="4012FF3A" w14:textId="77777777" w:rsidR="005E2826" w:rsidRDefault="005E2826" w:rsidP="009F4031">
      <w:r w:rsidRPr="00D93432">
        <w:rPr>
          <w:u w:val="single"/>
        </w:rPr>
        <w:t>Stakeholder views</w:t>
      </w:r>
      <w:r w:rsidR="001260F0" w:rsidRPr="002A1F99">
        <w:t xml:space="preserve">: </w:t>
      </w:r>
      <w:r>
        <w:t>Almost all stakeholders believed that s</w:t>
      </w:r>
      <w:r w:rsidRPr="00D93432">
        <w:rPr>
          <w:rFonts w:eastAsia="Calibri"/>
          <w:szCs w:val="22"/>
          <w:lang w:eastAsia="en-US"/>
        </w:rPr>
        <w:t>avings have been achieved</w:t>
      </w:r>
      <w:r w:rsidR="001260F0">
        <w:rPr>
          <w:rFonts w:eastAsia="Calibri"/>
          <w:szCs w:val="22"/>
          <w:lang w:eastAsia="en-US"/>
        </w:rPr>
        <w:t xml:space="preserve"> through GEMS</w:t>
      </w:r>
      <w:r>
        <w:t xml:space="preserve">, and many thought these were significant. </w:t>
      </w:r>
      <w:r w:rsidR="0001628A">
        <w:t xml:space="preserve"> </w:t>
      </w:r>
      <w:r>
        <w:t>Although most were not aware of data to demonstrate the savings</w:t>
      </w:r>
      <w:r>
        <w:rPr>
          <w:rStyle w:val="FootnoteReference"/>
        </w:rPr>
        <w:footnoteReference w:id="105"/>
      </w:r>
      <w:r>
        <w:t>, many pointed to the improved efficiency of products as a result of MEPS</w:t>
      </w:r>
      <w:r w:rsidRPr="00F115B2">
        <w:rPr>
          <w:rStyle w:val="FootnoteReference"/>
        </w:rPr>
        <w:footnoteReference w:id="106"/>
      </w:r>
      <w:r>
        <w:t>, which would translate into savings for consumers.</w:t>
      </w:r>
      <w:r w:rsidR="006642B0">
        <w:t xml:space="preserve"> </w:t>
      </w:r>
      <w:r>
        <w:t xml:space="preserve"> In addition, some respondents (particularly the consumer and environmental organisations)</w:t>
      </w:r>
      <w:r w:rsidRPr="00EE404D">
        <w:t xml:space="preserve"> </w:t>
      </w:r>
      <w:r>
        <w:t xml:space="preserve">had received </w:t>
      </w:r>
      <w:r w:rsidR="007F63D3">
        <w:t xml:space="preserve">anecdotal </w:t>
      </w:r>
      <w:r>
        <w:t>feedback about consumers making savings on energy bills.</w:t>
      </w:r>
    </w:p>
    <w:p w14:paraId="33D62C1D" w14:textId="77777777" w:rsidR="005E2826" w:rsidRPr="00D93432" w:rsidRDefault="005E2826" w:rsidP="009F4031">
      <w:pPr>
        <w:ind w:left="360"/>
        <w:rPr>
          <w:i/>
        </w:rPr>
      </w:pPr>
      <w:r w:rsidRPr="00D93432">
        <w:rPr>
          <w:i/>
        </w:rPr>
        <w:t>“</w:t>
      </w:r>
      <w:r w:rsidR="00454DFA">
        <w:rPr>
          <w:i/>
        </w:rPr>
        <w:t>W</w:t>
      </w:r>
      <w:r w:rsidRPr="00D93432">
        <w:rPr>
          <w:i/>
        </w:rPr>
        <w:t xml:space="preserve">hen you compare electricity running costs of a brand new appliance that is 3.5 stars versus a minimum standard version, there is a big difference. </w:t>
      </w:r>
      <w:r w:rsidR="0001628A">
        <w:rPr>
          <w:i/>
        </w:rPr>
        <w:t xml:space="preserve"> </w:t>
      </w:r>
      <w:r w:rsidRPr="00D93432">
        <w:rPr>
          <w:i/>
        </w:rPr>
        <w:t>We receive verbal feedback from our clients that they are saving money.” (</w:t>
      </w:r>
      <w:r w:rsidRPr="00066834">
        <w:t>Consumer representative</w:t>
      </w:r>
      <w:r w:rsidRPr="00D93432">
        <w:rPr>
          <w:i/>
        </w:rPr>
        <w:t>)</w:t>
      </w:r>
    </w:p>
    <w:p w14:paraId="3A67186C" w14:textId="77777777" w:rsidR="005E2826" w:rsidRDefault="005E2826" w:rsidP="009F4031">
      <w:pPr>
        <w:ind w:left="360"/>
        <w:rPr>
          <w:i/>
        </w:rPr>
      </w:pPr>
      <w:r w:rsidRPr="00D93432">
        <w:rPr>
          <w:i/>
        </w:rPr>
        <w:lastRenderedPageBreak/>
        <w:t xml:space="preserve">“I think it definitely has been successful… energy labelling is a good tool and people need them to make purchase decisions. </w:t>
      </w:r>
      <w:r w:rsidR="0001628A">
        <w:rPr>
          <w:i/>
        </w:rPr>
        <w:t xml:space="preserve"> </w:t>
      </w:r>
      <w:r w:rsidRPr="00D93432">
        <w:rPr>
          <w:i/>
        </w:rPr>
        <w:t xml:space="preserve">It also forces manufacturers to make more energy efficient products” </w:t>
      </w:r>
      <w:r w:rsidRPr="00454DFA">
        <w:t>(</w:t>
      </w:r>
      <w:r w:rsidRPr="00066834">
        <w:t>Consumer representative</w:t>
      </w:r>
      <w:r w:rsidRPr="00454DFA">
        <w:t>)</w:t>
      </w:r>
    </w:p>
    <w:p w14:paraId="2020B071" w14:textId="77777777" w:rsidR="005E2826" w:rsidRPr="005E2826" w:rsidRDefault="005E2826" w:rsidP="009F4031">
      <w:r>
        <w:t>Whilst such views do not add to the evidence base per se, they do show that stakeholders have confidence that the scheme is delivering what it is expected to.</w:t>
      </w:r>
    </w:p>
    <w:p w14:paraId="211DA449" w14:textId="77777777" w:rsidR="00A06C20" w:rsidRPr="00EC4D28" w:rsidRDefault="00A06C20" w:rsidP="009F4031">
      <w:pPr>
        <w:pStyle w:val="Heading3"/>
      </w:pPr>
      <w:bookmarkStart w:id="71" w:name="_Toc422298392"/>
      <w:r w:rsidRPr="00EC4D28">
        <w:t>Comparisons to other interventions</w:t>
      </w:r>
      <w:bookmarkEnd w:id="71"/>
    </w:p>
    <w:p w14:paraId="09345811" w14:textId="77777777" w:rsidR="00A06C20" w:rsidRPr="0029677E" w:rsidRDefault="005E2826" w:rsidP="009F4031">
      <w:r w:rsidRPr="0029677E">
        <w:t xml:space="preserve">The impact assessment figures are helpful in informing us of the impacts, but </w:t>
      </w:r>
      <w:r w:rsidR="00AF0D79">
        <w:t xml:space="preserve">do </w:t>
      </w:r>
      <w:r w:rsidRPr="0029677E">
        <w:t xml:space="preserve">not provide any assessment of whether </w:t>
      </w:r>
      <w:r w:rsidR="007F63D3">
        <w:t>the scale of impacts</w:t>
      </w:r>
      <w:r w:rsidR="007F63D3" w:rsidRPr="0029677E">
        <w:t xml:space="preserve"> </w:t>
      </w:r>
      <w:r w:rsidRPr="0029677E">
        <w:t xml:space="preserve">are good, or bad.  We therefore sought </w:t>
      </w:r>
      <w:r w:rsidR="00673253" w:rsidRPr="0029677E">
        <w:t xml:space="preserve">some comparators.  </w:t>
      </w:r>
      <w:r w:rsidR="00A06C20" w:rsidRPr="0029677E">
        <w:t>There are t</w:t>
      </w:r>
      <w:r w:rsidR="00673253" w:rsidRPr="0029677E">
        <w:t>wo potential sources:</w:t>
      </w:r>
    </w:p>
    <w:p w14:paraId="38234BF5" w14:textId="77777777" w:rsidR="00A06C20" w:rsidRPr="0029677E" w:rsidRDefault="00A06C20" w:rsidP="00320FDC">
      <w:pPr>
        <w:numPr>
          <w:ilvl w:val="3"/>
          <w:numId w:val="33"/>
        </w:numPr>
        <w:spacing w:after="0"/>
        <w:ind w:left="567"/>
      </w:pPr>
      <w:r w:rsidRPr="0029677E">
        <w:t>Compariso</w:t>
      </w:r>
      <w:r w:rsidR="00673253" w:rsidRPr="0029677E">
        <w:t xml:space="preserve">n of GEMS to other </w:t>
      </w:r>
      <w:r w:rsidR="00C86F05">
        <w:t>Standards &amp; Labelling (</w:t>
      </w:r>
      <w:r w:rsidR="00673253" w:rsidRPr="0029677E">
        <w:t>S&amp;L</w:t>
      </w:r>
      <w:r w:rsidR="00C86F05">
        <w:t>)</w:t>
      </w:r>
      <w:r w:rsidR="00673253" w:rsidRPr="0029677E">
        <w:t xml:space="preserve"> programs</w:t>
      </w:r>
      <w:r w:rsidR="00C86F05">
        <w:t>;</w:t>
      </w:r>
      <w:r w:rsidR="002850AC">
        <w:t xml:space="preserve"> and</w:t>
      </w:r>
    </w:p>
    <w:p w14:paraId="3D25D04B" w14:textId="77777777" w:rsidR="00A06C20" w:rsidRPr="007B3B49" w:rsidRDefault="00673253" w:rsidP="00320FDC">
      <w:pPr>
        <w:numPr>
          <w:ilvl w:val="3"/>
          <w:numId w:val="33"/>
        </w:numPr>
        <w:ind w:left="567"/>
      </w:pPr>
      <w:r w:rsidRPr="007B3B49">
        <w:t>Comparisons to other Australian/New Zealand</w:t>
      </w:r>
      <w:r w:rsidR="00A06C20" w:rsidRPr="007B3B49">
        <w:t xml:space="preserve"> energy efficiency programs</w:t>
      </w:r>
      <w:r w:rsidR="002850AC">
        <w:t>.</w:t>
      </w:r>
    </w:p>
    <w:p w14:paraId="6EB4A25D" w14:textId="77777777" w:rsidR="00AB5DCE" w:rsidRPr="009B7247" w:rsidRDefault="00A06C20" w:rsidP="00BE4756">
      <w:r w:rsidRPr="007B3B49">
        <w:rPr>
          <w:u w:val="single"/>
        </w:rPr>
        <w:t>Comparisons to other S&amp;L programs</w:t>
      </w:r>
      <w:r w:rsidRPr="007B3B49">
        <w:t xml:space="preserve">:  </w:t>
      </w:r>
      <w:r w:rsidR="00AB5DCE">
        <w:t>Impact assessments reporting savings on consumers’ energy bills are available for both the US Appliance and Equipment Standards program</w:t>
      </w:r>
      <w:r w:rsidR="00AB5DCE">
        <w:rPr>
          <w:rStyle w:val="FootnoteReference"/>
        </w:rPr>
        <w:footnoteReference w:id="107"/>
      </w:r>
      <w:r w:rsidR="00AB5DCE">
        <w:t xml:space="preserve"> and the EU Energy Labelling and Eco Design Directive. However, i</w:t>
      </w:r>
      <w:r w:rsidRPr="007B3B49">
        <w:t xml:space="preserve">t is difficult to make useful comparisons with other programs </w:t>
      </w:r>
      <w:r w:rsidR="00AB5DCE">
        <w:t xml:space="preserve">such as these, </w:t>
      </w:r>
      <w:r w:rsidRPr="007B3B49">
        <w:t>as the</w:t>
      </w:r>
      <w:r w:rsidR="0029677E" w:rsidRPr="007B3B49">
        <w:t xml:space="preserve">y all </w:t>
      </w:r>
      <w:r w:rsidR="00FB3BE6">
        <w:t>work in different markets and</w:t>
      </w:r>
      <w:r w:rsidRPr="007B3B49">
        <w:t xml:space="preserve"> product groups and also take different </w:t>
      </w:r>
      <w:r w:rsidR="0029677E" w:rsidRPr="007B3B49">
        <w:t>approaches to impact assessment.</w:t>
      </w:r>
      <w:r w:rsidR="0001628A">
        <w:t xml:space="preserve"> </w:t>
      </w:r>
      <w:r w:rsidR="0029677E" w:rsidRPr="007B3B49">
        <w:t xml:space="preserve"> It may be possible to make accurate comparisons, but that would take very detailed review of one or more other programs </w:t>
      </w:r>
      <w:r w:rsidR="00FB3BE6">
        <w:t xml:space="preserve">and make adjustments </w:t>
      </w:r>
      <w:r w:rsidR="0029677E" w:rsidRPr="007B3B49">
        <w:t xml:space="preserve">to attempt to make an ‘apples with apples’ comparison.  </w:t>
      </w:r>
      <w:r w:rsidR="00BE4756">
        <w:t>T</w:t>
      </w:r>
      <w:r w:rsidR="0029677E" w:rsidRPr="007B3B49">
        <w:t>his was outside of the scope of th</w:t>
      </w:r>
      <w:r w:rsidR="001B3134">
        <w:t>is</w:t>
      </w:r>
      <w:r w:rsidR="0029677E" w:rsidRPr="007B3B49">
        <w:t xml:space="preserve"> review</w:t>
      </w:r>
      <w:r w:rsidR="00BE4756">
        <w:t>.</w:t>
      </w:r>
      <w:r w:rsidR="0029677E" w:rsidRPr="007B3B49">
        <w:t xml:space="preserve"> </w:t>
      </w:r>
    </w:p>
    <w:p w14:paraId="22C5B0D0" w14:textId="77777777" w:rsidR="00A06C20" w:rsidRPr="009B7247" w:rsidRDefault="00A06C20" w:rsidP="009F4031">
      <w:r w:rsidRPr="009B7247">
        <w:rPr>
          <w:u w:val="single"/>
        </w:rPr>
        <w:t>Comparisons to other Aus</w:t>
      </w:r>
      <w:r w:rsidR="00BE3394">
        <w:rPr>
          <w:u w:val="single"/>
        </w:rPr>
        <w:t>tralian</w:t>
      </w:r>
      <w:r w:rsidRPr="009B7247">
        <w:rPr>
          <w:u w:val="single"/>
        </w:rPr>
        <w:t>/NZ energy efficiency programs</w:t>
      </w:r>
      <w:r w:rsidRPr="009B7247">
        <w:t xml:space="preserve">:  </w:t>
      </w:r>
      <w:r w:rsidR="00FB3BE6" w:rsidRPr="009B7247">
        <w:t>Working with the DoI</w:t>
      </w:r>
      <w:r w:rsidR="00C70DE9">
        <w:t>S</w:t>
      </w:r>
      <w:r w:rsidR="00FB3BE6" w:rsidRPr="009B7247">
        <w:t>, other potential energy programs were investigated to see if useful comparisons could be made</w:t>
      </w:r>
      <w:r w:rsidR="00FB3BE6" w:rsidRPr="009B7247">
        <w:rPr>
          <w:rStyle w:val="FootnoteReference"/>
        </w:rPr>
        <w:footnoteReference w:id="108"/>
      </w:r>
      <w:r w:rsidR="009B7247" w:rsidRPr="009B7247">
        <w:t xml:space="preserve">, however unfortunately this was not possible, due to lack of available data.  </w:t>
      </w:r>
    </w:p>
    <w:p w14:paraId="151CEC1D" w14:textId="77777777" w:rsidR="009B7247" w:rsidRDefault="009B7247" w:rsidP="008E63DD">
      <w:pPr>
        <w:pStyle w:val="Heading3"/>
        <w:spacing w:after="240"/>
        <w:rPr>
          <w:color w:val="4F81BD"/>
          <w:u w:val="single"/>
        </w:rPr>
      </w:pPr>
      <w:bookmarkStart w:id="72" w:name="_Toc422298393"/>
      <w:r w:rsidRPr="004657C8">
        <w:t>Impact of the program on consumers and industry</w:t>
      </w:r>
      <w:bookmarkEnd w:id="72"/>
      <w:r w:rsidRPr="00E2722C">
        <w:rPr>
          <w:color w:val="4F81BD"/>
          <w:u w:val="single"/>
        </w:rPr>
        <w:t xml:space="preserve"> </w:t>
      </w:r>
    </w:p>
    <w:p w14:paraId="119AD221" w14:textId="77777777" w:rsidR="009B7247" w:rsidRDefault="009B7247" w:rsidP="009F4031">
      <w:pPr>
        <w:rPr>
          <w:b/>
          <w:lang w:eastAsia="x-none"/>
        </w:rPr>
      </w:pPr>
      <w:r>
        <w:rPr>
          <w:b/>
          <w:lang w:eastAsia="x-none"/>
        </w:rPr>
        <w:t>Consumers</w:t>
      </w:r>
    </w:p>
    <w:p w14:paraId="7B7BFB4D" w14:textId="77777777" w:rsidR="009B7247" w:rsidRDefault="009B7247" w:rsidP="00997283">
      <w:pPr>
        <w:spacing w:after="0"/>
        <w:rPr>
          <w:lang w:eastAsia="x-none"/>
        </w:rPr>
      </w:pPr>
      <w:r>
        <w:rPr>
          <w:lang w:eastAsia="x-none"/>
        </w:rPr>
        <w:t xml:space="preserve">There are </w:t>
      </w:r>
      <w:r w:rsidR="00841985">
        <w:rPr>
          <w:lang w:eastAsia="x-none"/>
        </w:rPr>
        <w:t>three</w:t>
      </w:r>
      <w:r>
        <w:rPr>
          <w:lang w:eastAsia="x-none"/>
        </w:rPr>
        <w:t xml:space="preserve"> main ways in which the program impacts on consumers</w:t>
      </w:r>
      <w:r w:rsidR="00C86F05">
        <w:rPr>
          <w:lang w:eastAsia="x-none"/>
        </w:rPr>
        <w:t>:</w:t>
      </w:r>
    </w:p>
    <w:p w14:paraId="5E64A578" w14:textId="77777777" w:rsidR="009B7247" w:rsidRDefault="009B7247" w:rsidP="00320FDC">
      <w:pPr>
        <w:numPr>
          <w:ilvl w:val="3"/>
          <w:numId w:val="32"/>
        </w:numPr>
        <w:spacing w:after="0"/>
        <w:ind w:left="425" w:hanging="357"/>
        <w:rPr>
          <w:lang w:eastAsia="x-none"/>
        </w:rPr>
      </w:pPr>
      <w:r>
        <w:rPr>
          <w:lang w:eastAsia="x-none"/>
        </w:rPr>
        <w:t>Impact on energy bills</w:t>
      </w:r>
      <w:r w:rsidR="00C86F05">
        <w:rPr>
          <w:lang w:eastAsia="x-none"/>
        </w:rPr>
        <w:t>;</w:t>
      </w:r>
    </w:p>
    <w:p w14:paraId="562CC708" w14:textId="77777777" w:rsidR="00841985" w:rsidRDefault="00841985" w:rsidP="00320FDC">
      <w:pPr>
        <w:numPr>
          <w:ilvl w:val="3"/>
          <w:numId w:val="32"/>
        </w:numPr>
        <w:spacing w:after="0"/>
        <w:ind w:left="425" w:hanging="357"/>
        <w:rPr>
          <w:lang w:eastAsia="x-none"/>
        </w:rPr>
      </w:pPr>
      <w:r>
        <w:rPr>
          <w:lang w:eastAsia="x-none"/>
        </w:rPr>
        <w:t xml:space="preserve">Impact on consumer purchase choices </w:t>
      </w:r>
      <w:r w:rsidR="00C86F05">
        <w:rPr>
          <w:lang w:eastAsia="x-none"/>
        </w:rPr>
        <w:t>; and</w:t>
      </w:r>
    </w:p>
    <w:p w14:paraId="0EDC60F7" w14:textId="77777777" w:rsidR="005E2B70" w:rsidRDefault="009B7247" w:rsidP="00320FDC">
      <w:pPr>
        <w:numPr>
          <w:ilvl w:val="3"/>
          <w:numId w:val="32"/>
        </w:numPr>
        <w:spacing w:after="0"/>
        <w:ind w:left="425" w:hanging="357"/>
        <w:rPr>
          <w:lang w:eastAsia="x-none"/>
        </w:rPr>
      </w:pPr>
      <w:r>
        <w:rPr>
          <w:lang w:eastAsia="x-none"/>
        </w:rPr>
        <w:t xml:space="preserve">Impact on </w:t>
      </w:r>
      <w:r w:rsidR="005E2B70">
        <w:rPr>
          <w:lang w:eastAsia="x-none"/>
        </w:rPr>
        <w:t>the range of products within a product group and purchase prices.</w:t>
      </w:r>
    </w:p>
    <w:p w14:paraId="37809C27" w14:textId="77777777" w:rsidR="009D32BA" w:rsidRDefault="009D32BA" w:rsidP="009D32BA">
      <w:pPr>
        <w:spacing w:after="0"/>
        <w:ind w:left="66"/>
        <w:rPr>
          <w:lang w:eastAsia="x-none"/>
        </w:rPr>
      </w:pPr>
    </w:p>
    <w:p w14:paraId="5BF35564" w14:textId="77777777" w:rsidR="00841985" w:rsidRDefault="00841985" w:rsidP="009F4031">
      <w:pPr>
        <w:ind w:left="66"/>
        <w:rPr>
          <w:lang w:eastAsia="x-none"/>
        </w:rPr>
      </w:pPr>
      <w:r>
        <w:rPr>
          <w:lang w:eastAsia="x-none"/>
        </w:rPr>
        <w:t xml:space="preserve">With regards to energy bills, </w:t>
      </w:r>
      <w:r w:rsidR="005E2B70">
        <w:rPr>
          <w:lang w:eastAsia="x-none"/>
        </w:rPr>
        <w:t>the GEMS impact assessment figures estimate savings of between AUD$45 and $120 per household per annum</w:t>
      </w:r>
      <w:r>
        <w:rPr>
          <w:lang w:eastAsia="x-none"/>
        </w:rPr>
        <w:t xml:space="preserve">. </w:t>
      </w:r>
    </w:p>
    <w:p w14:paraId="211FB346" w14:textId="77777777" w:rsidR="00C62FBD" w:rsidRDefault="00F63619" w:rsidP="009F4031">
      <w:pPr>
        <w:ind w:left="66"/>
        <w:rPr>
          <w:lang w:eastAsia="x-none"/>
        </w:rPr>
      </w:pPr>
      <w:r>
        <w:rPr>
          <w:lang w:eastAsia="x-none"/>
        </w:rPr>
        <w:t>I</w:t>
      </w:r>
      <w:r w:rsidR="00841985">
        <w:rPr>
          <w:lang w:eastAsia="x-none"/>
        </w:rPr>
        <w:t>mpact</w:t>
      </w:r>
      <w:r>
        <w:rPr>
          <w:lang w:eastAsia="x-none"/>
        </w:rPr>
        <w:t>s</w:t>
      </w:r>
      <w:r w:rsidR="00841985">
        <w:rPr>
          <w:lang w:eastAsia="x-none"/>
        </w:rPr>
        <w:t xml:space="preserve"> o</w:t>
      </w:r>
      <w:r w:rsidR="001B3134">
        <w:rPr>
          <w:lang w:eastAsia="x-none"/>
        </w:rPr>
        <w:t>n</w:t>
      </w:r>
      <w:r w:rsidR="00841985">
        <w:rPr>
          <w:lang w:eastAsia="x-none"/>
        </w:rPr>
        <w:t xml:space="preserve"> consumer purchase choices w</w:t>
      </w:r>
      <w:r w:rsidR="00D87A5B">
        <w:rPr>
          <w:lang w:eastAsia="x-none"/>
        </w:rPr>
        <w:t>ere</w:t>
      </w:r>
      <w:r w:rsidR="00841985">
        <w:rPr>
          <w:lang w:eastAsia="x-none"/>
        </w:rPr>
        <w:t xml:space="preserve"> discussed with product retailers through the stakeholder interviews, who reported mixed experiences.  Respondents stated that </w:t>
      </w:r>
      <w:r w:rsidR="00314807">
        <w:rPr>
          <w:lang w:eastAsia="x-none"/>
        </w:rPr>
        <w:t xml:space="preserve">while </w:t>
      </w:r>
      <w:r w:rsidR="00841985">
        <w:rPr>
          <w:lang w:eastAsia="x-none"/>
        </w:rPr>
        <w:t xml:space="preserve">some types of consumers did value energy efficiency, a </w:t>
      </w:r>
      <w:r w:rsidR="00D87A5B">
        <w:rPr>
          <w:lang w:eastAsia="x-none"/>
        </w:rPr>
        <w:t xml:space="preserve">significant </w:t>
      </w:r>
      <w:r w:rsidR="00841985">
        <w:rPr>
          <w:lang w:eastAsia="x-none"/>
        </w:rPr>
        <w:t>proportion did not for many home electrical appliances, and that other key attributes such as suitability, size or capacity and brand were more important.  One referenced an internal</w:t>
      </w:r>
      <w:r w:rsidR="00C62FBD">
        <w:rPr>
          <w:lang w:eastAsia="x-none"/>
        </w:rPr>
        <w:t>, unpublished</w:t>
      </w:r>
      <w:r w:rsidR="00841985">
        <w:rPr>
          <w:lang w:eastAsia="x-none"/>
        </w:rPr>
        <w:t xml:space="preserve"> survey which stated that energy efficiency was outside the top 5 decision factors in appliance purchases</w:t>
      </w:r>
      <w:r w:rsidR="00C62FBD">
        <w:rPr>
          <w:lang w:eastAsia="x-none"/>
        </w:rPr>
        <w:t xml:space="preserve">.  This is in contrast to the </w:t>
      </w:r>
      <w:r w:rsidR="00C62FBD">
        <w:rPr>
          <w:lang w:eastAsia="x-none"/>
        </w:rPr>
        <w:lastRenderedPageBreak/>
        <w:t xml:space="preserve">evidence shown in </w:t>
      </w:r>
      <w:r w:rsidR="00300314">
        <w:rPr>
          <w:lang w:eastAsia="x-none"/>
        </w:rPr>
        <w:t>S</w:t>
      </w:r>
      <w:r w:rsidR="00C62FBD">
        <w:rPr>
          <w:lang w:eastAsia="x-none"/>
        </w:rPr>
        <w:t xml:space="preserve">ection </w:t>
      </w:r>
      <w:r w:rsidR="00C62FBD">
        <w:rPr>
          <w:lang w:eastAsia="x-none"/>
        </w:rPr>
        <w:fldChar w:fldCharType="begin"/>
      </w:r>
      <w:r w:rsidR="00C62FBD">
        <w:rPr>
          <w:lang w:eastAsia="x-none"/>
        </w:rPr>
        <w:instrText xml:space="preserve"> REF _Ref412996022 \r \h </w:instrText>
      </w:r>
      <w:r w:rsidR="00C62FBD">
        <w:rPr>
          <w:lang w:eastAsia="x-none"/>
        </w:rPr>
      </w:r>
      <w:r w:rsidR="00C62FBD">
        <w:rPr>
          <w:lang w:eastAsia="x-none"/>
        </w:rPr>
        <w:fldChar w:fldCharType="separate"/>
      </w:r>
      <w:r w:rsidR="00BE13BF">
        <w:rPr>
          <w:lang w:eastAsia="x-none"/>
        </w:rPr>
        <w:t>6.1</w:t>
      </w:r>
      <w:r w:rsidR="00C62FBD">
        <w:rPr>
          <w:lang w:eastAsia="x-none"/>
        </w:rPr>
        <w:fldChar w:fldCharType="end"/>
      </w:r>
      <w:r w:rsidR="003A014C">
        <w:rPr>
          <w:rStyle w:val="FootnoteReference"/>
          <w:lang w:eastAsia="x-none"/>
        </w:rPr>
        <w:footnoteReference w:id="109"/>
      </w:r>
      <w:r w:rsidR="00C62FBD">
        <w:rPr>
          <w:lang w:eastAsia="x-none"/>
        </w:rPr>
        <w:t>, although it is not clear which product group or groups this research related to</w:t>
      </w:r>
      <w:r w:rsidR="00841985">
        <w:rPr>
          <w:lang w:eastAsia="x-none"/>
        </w:rPr>
        <w:t xml:space="preserve">.  </w:t>
      </w:r>
    </w:p>
    <w:p w14:paraId="582D4504" w14:textId="77777777" w:rsidR="00117542" w:rsidRDefault="00841985" w:rsidP="009F4031">
      <w:pPr>
        <w:ind w:left="66"/>
      </w:pPr>
      <w:r>
        <w:rPr>
          <w:lang w:eastAsia="x-none"/>
        </w:rPr>
        <w:t>With regards to impact on</w:t>
      </w:r>
      <w:r w:rsidR="001B3134">
        <w:rPr>
          <w:lang w:eastAsia="x-none"/>
        </w:rPr>
        <w:t xml:space="preserve"> the</w:t>
      </w:r>
      <w:r>
        <w:rPr>
          <w:lang w:eastAsia="x-none"/>
        </w:rPr>
        <w:t xml:space="preserve"> ranges of products within a product group and </w:t>
      </w:r>
      <w:r w:rsidR="001B3134">
        <w:rPr>
          <w:lang w:eastAsia="x-none"/>
        </w:rPr>
        <w:t xml:space="preserve">purchase </w:t>
      </w:r>
      <w:r>
        <w:rPr>
          <w:lang w:eastAsia="x-none"/>
        </w:rPr>
        <w:t xml:space="preserve">prices, </w:t>
      </w:r>
      <w:r w:rsidR="00BC4B34">
        <w:rPr>
          <w:lang w:eastAsia="x-none"/>
        </w:rPr>
        <w:t>e</w:t>
      </w:r>
      <w:r w:rsidR="00BC4B34">
        <w:t>vidence from both Australia and the USA shows that raising energy efficiency standards does not necessarily lead to an increase in product prices.  Actual price changes were often less than predicted</w:t>
      </w:r>
      <w:r w:rsidR="00C86F05">
        <w:t>,</w:t>
      </w:r>
      <w:r w:rsidR="00BC4B34">
        <w:t xml:space="preserve"> increases are outweighed by energy savings</w:t>
      </w:r>
      <w:r w:rsidR="00C86F05">
        <w:t>,</w:t>
      </w:r>
      <w:r w:rsidR="00BC4B34">
        <w:t xml:space="preserve"> and in some cases prices decreased</w:t>
      </w:r>
      <w:r w:rsidR="00BC4B34" w:rsidRPr="00F115B2">
        <w:rPr>
          <w:rStyle w:val="FootnoteReference"/>
        </w:rPr>
        <w:footnoteReference w:id="110"/>
      </w:r>
      <w:r w:rsidR="00BC4B34">
        <w:t>.  Some industry stakeholders however</w:t>
      </w:r>
      <w:r w:rsidR="001B3134">
        <w:t>,</w:t>
      </w:r>
      <w:r w:rsidR="00BC4B34">
        <w:t xml:space="preserve"> challenged </w:t>
      </w:r>
      <w:r w:rsidR="003A014C">
        <w:t xml:space="preserve">this, stating </w:t>
      </w:r>
      <w:r w:rsidR="00BC4B34">
        <w:t xml:space="preserve">that </w:t>
      </w:r>
      <w:r w:rsidR="003A014C">
        <w:t xml:space="preserve">some </w:t>
      </w:r>
      <w:r w:rsidR="00BC4B34">
        <w:t>product ranges had narrowed and prices increased (e.g. air conditioning) on introduction of revised MEPS</w:t>
      </w:r>
      <w:r w:rsidR="00117542">
        <w:t>.  Technical experts added to the discussion, stating that whilst there may have been some short term impact on the air conditioner market, this recovered swiftly through suppliers bringing more efficient appliances to the market</w:t>
      </w:r>
      <w:r w:rsidR="00F5435E">
        <w:t xml:space="preserve"> (which were already being sold in other appliance markets with higher pre-existing energy efficiency standards)</w:t>
      </w:r>
      <w:r w:rsidR="00117542">
        <w:t xml:space="preserve">.  </w:t>
      </w:r>
    </w:p>
    <w:p w14:paraId="5BBD9A52" w14:textId="77777777" w:rsidR="00BC4B34" w:rsidRPr="00BC4B34" w:rsidRDefault="00E2722C" w:rsidP="009F4031">
      <w:pPr>
        <w:rPr>
          <w:b/>
        </w:rPr>
      </w:pPr>
      <w:r w:rsidRPr="00BC4B34">
        <w:rPr>
          <w:b/>
        </w:rPr>
        <w:t xml:space="preserve">Industry  </w:t>
      </w:r>
    </w:p>
    <w:p w14:paraId="13D61CE6" w14:textId="77777777" w:rsidR="003740C1" w:rsidRDefault="003740C1" w:rsidP="009F4031">
      <w:r w:rsidRPr="003740C1">
        <w:t xml:space="preserve">The </w:t>
      </w:r>
      <w:r w:rsidR="006A3ADD">
        <w:t>D</w:t>
      </w:r>
      <w:r w:rsidR="007D43A9">
        <w:t xml:space="preserve">epartment </w:t>
      </w:r>
      <w:r w:rsidRPr="003740C1">
        <w:t>provided the review team with program costs estimates, which are used to calculate costs and benefits using OBPR</w:t>
      </w:r>
      <w:r w:rsidR="004A3DD9">
        <w:t xml:space="preserve">’s </w:t>
      </w:r>
      <w:r w:rsidR="00A25997">
        <w:t>Regulatory Burden Measure Framework</w:t>
      </w:r>
      <w:r w:rsidR="007F63D3">
        <w:rPr>
          <w:rStyle w:val="FootnoteReference"/>
        </w:rPr>
        <w:footnoteReference w:id="111"/>
      </w:r>
      <w:r w:rsidRPr="003740C1">
        <w:t xml:space="preserve">.  These figures estimate an overall cost </w:t>
      </w:r>
      <w:r w:rsidR="00E2722C" w:rsidRPr="003740C1">
        <w:t>impact of $464</w:t>
      </w:r>
      <w:r w:rsidR="0001628A">
        <w:t xml:space="preserve"> million</w:t>
      </w:r>
      <w:r w:rsidR="00E2722C" w:rsidRPr="003740C1">
        <w:t xml:space="preserve"> on industry of the program</w:t>
      </w:r>
      <w:r w:rsidR="00A60439" w:rsidRPr="003740C1">
        <w:t xml:space="preserve"> </w:t>
      </w:r>
      <w:r w:rsidRPr="003740C1">
        <w:t>over a ten year period ($46.4</w:t>
      </w:r>
      <w:r w:rsidR="0001628A">
        <w:t xml:space="preserve"> million</w:t>
      </w:r>
      <w:r w:rsidRPr="003740C1">
        <w:t xml:space="preserve"> per annum).  This includes ongoing substantive costs ($440</w:t>
      </w:r>
      <w:r w:rsidR="0001628A">
        <w:t xml:space="preserve"> million</w:t>
      </w:r>
      <w:r w:rsidRPr="003740C1">
        <w:t>, for product supply and labelling) and administrative costs ($24</w:t>
      </w:r>
      <w:r w:rsidR="0001628A">
        <w:t xml:space="preserve"> million</w:t>
      </w:r>
      <w:r w:rsidRPr="003740C1">
        <w:t xml:space="preserve">, </w:t>
      </w:r>
      <w:r w:rsidR="001B3134">
        <w:t xml:space="preserve">for </w:t>
      </w:r>
      <w:r w:rsidRPr="003740C1">
        <w:t xml:space="preserve">responding to legislative updates, record keeping, reporting, internal compliance assurances, registration fees and administration). </w:t>
      </w:r>
      <w:r w:rsidR="0001628A">
        <w:t xml:space="preserve"> </w:t>
      </w:r>
      <w:r>
        <w:t xml:space="preserve">These costs are </w:t>
      </w:r>
      <w:r w:rsidR="00BC4B34">
        <w:t>assumed to be passed onto the consumer</w:t>
      </w:r>
      <w:r>
        <w:t>.</w:t>
      </w:r>
    </w:p>
    <w:p w14:paraId="181F669E" w14:textId="77777777" w:rsidR="00926A1B" w:rsidRPr="009B48A4" w:rsidRDefault="00926A1B" w:rsidP="00926A1B">
      <w:pPr>
        <w:rPr>
          <w:iCs/>
        </w:rPr>
      </w:pPr>
      <w:r w:rsidRPr="009B48A4">
        <w:rPr>
          <w:iCs/>
        </w:rPr>
        <w:t>GEMS registration records comprise 20,000+ registrations</w:t>
      </w:r>
      <w:r w:rsidR="00D527D9">
        <w:rPr>
          <w:rStyle w:val="FootnoteReference"/>
          <w:iCs/>
        </w:rPr>
        <w:footnoteReference w:id="112"/>
      </w:r>
      <w:r w:rsidR="00D3661F" w:rsidRPr="009B48A4">
        <w:rPr>
          <w:iCs/>
        </w:rPr>
        <w:t>,</w:t>
      </w:r>
      <w:r w:rsidRPr="009B48A4">
        <w:rPr>
          <w:iCs/>
        </w:rPr>
        <w:t xml:space="preserve"> across 22 </w:t>
      </w:r>
      <w:r w:rsidR="00D3661F" w:rsidRPr="009B48A4">
        <w:rPr>
          <w:iCs/>
        </w:rPr>
        <w:t xml:space="preserve">separate </w:t>
      </w:r>
      <w:r w:rsidRPr="009B48A4">
        <w:rPr>
          <w:iCs/>
        </w:rPr>
        <w:t xml:space="preserve">product </w:t>
      </w:r>
      <w:r w:rsidR="00F61F55">
        <w:rPr>
          <w:iCs/>
        </w:rPr>
        <w:t>types</w:t>
      </w:r>
      <w:r w:rsidRPr="009B48A4">
        <w:rPr>
          <w:iCs/>
        </w:rPr>
        <w:t xml:space="preserve">, from 1,400 different manufacturers (and retailers) responsible for supplying, offering for supply, or using for a commercial purpose a GEMS product. </w:t>
      </w:r>
      <w:r w:rsidR="0001628A">
        <w:rPr>
          <w:iCs/>
        </w:rPr>
        <w:t xml:space="preserve"> </w:t>
      </w:r>
      <w:r w:rsidRPr="009B48A4">
        <w:rPr>
          <w:iCs/>
        </w:rPr>
        <w:t>Of those 1,400+ businesses, 120 identify themselves in the GEMS product data record as having an Australian manufacturing address</w:t>
      </w:r>
      <w:r w:rsidR="00DB0EE7" w:rsidRPr="009B48A4">
        <w:rPr>
          <w:rStyle w:val="FootnoteReference"/>
          <w:iCs/>
        </w:rPr>
        <w:footnoteReference w:id="113"/>
      </w:r>
      <w:r w:rsidRPr="009B48A4">
        <w:rPr>
          <w:iCs/>
        </w:rPr>
        <w:t xml:space="preserve">. </w:t>
      </w:r>
    </w:p>
    <w:p w14:paraId="07B084AF" w14:textId="77777777" w:rsidR="005734F2" w:rsidRDefault="005734F2" w:rsidP="009F4031">
      <w:r w:rsidRPr="005734F2">
        <w:t xml:space="preserve">This indicates that the majority of industry costs are borne by non-domestic industry.  </w:t>
      </w:r>
    </w:p>
    <w:p w14:paraId="19DED36A" w14:textId="77777777" w:rsidR="005734F2" w:rsidRDefault="005734F2" w:rsidP="009F4031">
      <w:r w:rsidRPr="005734F2">
        <w:rPr>
          <w:u w:val="single"/>
        </w:rPr>
        <w:t>International experience and learning</w:t>
      </w:r>
      <w:r>
        <w:t xml:space="preserve">:  It was not possible to source a useful comparison for industry costs for other programs, for the same reasons as reported above for overall program impacts (industry costs data is also less readily available as a published output).  However, as discussed, international harmonisation is seen as one key way to mitigate regulatory burden and industry costs.  The </w:t>
      </w:r>
      <w:r w:rsidR="00A71277">
        <w:t>‘</w:t>
      </w:r>
      <w:r>
        <w:t>ECOS international comparison of standards and labelling programs</w:t>
      </w:r>
      <w:r w:rsidR="00A71277">
        <w:t>’ report</w:t>
      </w:r>
      <w:r>
        <w:t xml:space="preserve"> discusses GEMS as being one of the most internationally harmonised programs globally.  Mitigating regulatory burden is explored further in </w:t>
      </w:r>
      <w:r w:rsidR="00300314">
        <w:t>S</w:t>
      </w:r>
      <w:r>
        <w:t xml:space="preserve">ection </w:t>
      </w:r>
      <w:r>
        <w:fldChar w:fldCharType="begin"/>
      </w:r>
      <w:r>
        <w:instrText xml:space="preserve"> REF _Ref409209302 \r \h </w:instrText>
      </w:r>
      <w:r w:rsidR="009F4031">
        <w:instrText xml:space="preserve"> \* MERGEFORMAT </w:instrText>
      </w:r>
      <w:r>
        <w:fldChar w:fldCharType="separate"/>
      </w:r>
      <w:r w:rsidR="00BE13BF">
        <w:t>7</w:t>
      </w:r>
      <w:r>
        <w:fldChar w:fldCharType="end"/>
      </w:r>
      <w:r>
        <w:t xml:space="preserve">. </w:t>
      </w:r>
    </w:p>
    <w:p w14:paraId="146158EF" w14:textId="77777777" w:rsidR="005734F2" w:rsidRDefault="005734F2" w:rsidP="00A07FE8">
      <w:r w:rsidRPr="005734F2">
        <w:rPr>
          <w:u w:val="single"/>
        </w:rPr>
        <w:lastRenderedPageBreak/>
        <w:t>Stakeholder views</w:t>
      </w:r>
      <w:r w:rsidRPr="005734F2">
        <w:t xml:space="preserve">: </w:t>
      </w:r>
      <w:r>
        <w:t xml:space="preserve">Some </w:t>
      </w:r>
      <w:r w:rsidR="00A71277">
        <w:t>g</w:t>
      </w:r>
      <w:r>
        <w:t xml:space="preserve">overnment and industry respondents cited examples of experiences in other sectors (e.g. the automotive industry) where a lack of alignment with international standards has caused issues for Australian industry as markets continue to globalise. </w:t>
      </w:r>
      <w:r w:rsidR="0001628A">
        <w:t xml:space="preserve"> </w:t>
      </w:r>
      <w:r>
        <w:t xml:space="preserve">Although other factors clearly play a part, these industries found they were unable to compete. </w:t>
      </w:r>
      <w:r w:rsidR="0001628A">
        <w:t xml:space="preserve"> </w:t>
      </w:r>
      <w:r>
        <w:t>Consumer groups were generally in favour of improving standards to meet international equivalents, as they are keen for consumers to realise maximum benefit from the program.</w:t>
      </w:r>
    </w:p>
    <w:p w14:paraId="759D90FA" w14:textId="77777777" w:rsidR="005734F2" w:rsidRPr="00D50FBA" w:rsidRDefault="005734F2" w:rsidP="009F4031">
      <w:r w:rsidRPr="00D50FBA">
        <w:t>Industry respondents were more mixed in their attitudes to alignment with international standards, reflecting the</w:t>
      </w:r>
      <w:r w:rsidR="007F63D3">
        <w:t>ir</w:t>
      </w:r>
      <w:r w:rsidRPr="00D50FBA">
        <w:t xml:space="preserve"> particular circumstances. </w:t>
      </w:r>
      <w:r w:rsidR="001B3134">
        <w:t>Industries reflecting p</w:t>
      </w:r>
      <w:r w:rsidRPr="00D50FBA">
        <w:t>roduct groups in favour of alignment included</w:t>
      </w:r>
      <w:r>
        <w:t xml:space="preserve">: </w:t>
      </w:r>
      <w:r w:rsidR="00A71277">
        <w:t>c</w:t>
      </w:r>
      <w:r w:rsidRPr="00D50FBA">
        <w:t xml:space="preserve">onsumer electronics, lighting, HVAC, motors, whitegoods. </w:t>
      </w:r>
      <w:r w:rsidR="00CC2994">
        <w:t xml:space="preserve"> </w:t>
      </w:r>
      <w:r w:rsidRPr="00D50FBA">
        <w:t>Product areas that are more wary include gas, water heaters and residential fridges.</w:t>
      </w:r>
    </w:p>
    <w:p w14:paraId="38CFC3F4" w14:textId="77777777" w:rsidR="005734F2" w:rsidRPr="00E27F13" w:rsidRDefault="005734F2" w:rsidP="009F4031">
      <w:pPr>
        <w:ind w:left="720"/>
        <w:rPr>
          <w:i/>
        </w:rPr>
      </w:pPr>
      <w:r w:rsidRPr="00E27F13">
        <w:rPr>
          <w:i/>
        </w:rPr>
        <w:t xml:space="preserve">"We can't risk the situation where we would require specific product for our market that is not required anywhere else. </w:t>
      </w:r>
      <w:r w:rsidR="00CC2994">
        <w:rPr>
          <w:i/>
        </w:rPr>
        <w:t xml:space="preserve"> </w:t>
      </w:r>
      <w:r w:rsidRPr="00E27F13">
        <w:rPr>
          <w:i/>
        </w:rPr>
        <w:t xml:space="preserve">A lot of products and components are produced on a massive scale and manufacturers won't want to make specific items or changes for such a small market.” </w:t>
      </w:r>
      <w:r w:rsidRPr="00314807">
        <w:t>(HVAC industry respondent)</w:t>
      </w:r>
    </w:p>
    <w:p w14:paraId="159D284F" w14:textId="77777777" w:rsidR="005734F2" w:rsidRPr="00E27F13" w:rsidRDefault="005734F2" w:rsidP="009F4031">
      <w:pPr>
        <w:ind w:left="720"/>
        <w:rPr>
          <w:i/>
        </w:rPr>
      </w:pPr>
      <w:r w:rsidRPr="00E27F13">
        <w:rPr>
          <w:i/>
        </w:rPr>
        <w:t xml:space="preserve">“Australia is so different as far as our conditions e.g. weather conditions, the applied pressures, or the electric voltage, we are different to everywhere else, that is why we need our own standards and certifications here.” </w:t>
      </w:r>
      <w:r w:rsidRPr="00314807">
        <w:t>(Water heater industry respondent)</w:t>
      </w:r>
    </w:p>
    <w:p w14:paraId="492008CF" w14:textId="77777777" w:rsidR="00E27F13" w:rsidRPr="00E27F13" w:rsidRDefault="00E27F13" w:rsidP="009F4031">
      <w:r w:rsidRPr="00E27F13">
        <w:t xml:space="preserve">Finally, some consumer group respondents made the point that a small burden for Australian industry was significantly outweighed by the overall benefit to Australian businesses, achieved through the program’s energy bill savings.  </w:t>
      </w:r>
    </w:p>
    <w:p w14:paraId="6CFECA2F" w14:textId="77777777" w:rsidR="00CE3094" w:rsidRDefault="00CE3094" w:rsidP="009F4031">
      <w:pPr>
        <w:pStyle w:val="Heading3"/>
      </w:pPr>
      <w:bookmarkStart w:id="73" w:name="_Toc422298394"/>
      <w:r w:rsidRPr="00CE3094">
        <w:t xml:space="preserve">Opportunities to </w:t>
      </w:r>
      <w:r w:rsidR="003208B5">
        <w:t>increase</w:t>
      </w:r>
      <w:r w:rsidRPr="00CE3094">
        <w:t xml:space="preserve"> impacts</w:t>
      </w:r>
      <w:bookmarkEnd w:id="73"/>
    </w:p>
    <w:p w14:paraId="059F56E0" w14:textId="77777777" w:rsidR="003208B5" w:rsidRDefault="003208B5" w:rsidP="009F4031">
      <w:pPr>
        <w:spacing w:after="0"/>
        <w:rPr>
          <w:lang w:eastAsia="x-none"/>
        </w:rPr>
      </w:pPr>
      <w:r>
        <w:rPr>
          <w:lang w:eastAsia="x-none"/>
        </w:rPr>
        <w:t xml:space="preserve">There are </w:t>
      </w:r>
      <w:r w:rsidR="002E6ECE">
        <w:rPr>
          <w:lang w:eastAsia="x-none"/>
        </w:rPr>
        <w:t>three</w:t>
      </w:r>
      <w:r>
        <w:rPr>
          <w:lang w:eastAsia="x-none"/>
        </w:rPr>
        <w:t xml:space="preserve"> main ways in which program impacts could potentially be increased</w:t>
      </w:r>
      <w:r w:rsidR="00377DD5">
        <w:rPr>
          <w:lang w:eastAsia="x-none"/>
        </w:rPr>
        <w:t>:</w:t>
      </w:r>
    </w:p>
    <w:p w14:paraId="4CD49522" w14:textId="77777777" w:rsidR="003208B5" w:rsidRDefault="003208B5" w:rsidP="00320FDC">
      <w:pPr>
        <w:numPr>
          <w:ilvl w:val="3"/>
          <w:numId w:val="31"/>
        </w:numPr>
        <w:spacing w:after="0"/>
        <w:ind w:left="567"/>
        <w:rPr>
          <w:lang w:eastAsia="x-none"/>
        </w:rPr>
      </w:pPr>
      <w:r>
        <w:rPr>
          <w:lang w:eastAsia="x-none"/>
        </w:rPr>
        <w:t>Broadening product group coverage</w:t>
      </w:r>
      <w:r w:rsidR="00377DD5">
        <w:rPr>
          <w:lang w:eastAsia="x-none"/>
        </w:rPr>
        <w:t>;</w:t>
      </w:r>
    </w:p>
    <w:p w14:paraId="126A1751" w14:textId="77777777" w:rsidR="003208B5" w:rsidRDefault="003208B5" w:rsidP="00320FDC">
      <w:pPr>
        <w:numPr>
          <w:ilvl w:val="3"/>
          <w:numId w:val="31"/>
        </w:numPr>
        <w:spacing w:after="0"/>
        <w:ind w:left="567"/>
        <w:rPr>
          <w:lang w:eastAsia="x-none"/>
        </w:rPr>
      </w:pPr>
      <w:r>
        <w:rPr>
          <w:lang w:eastAsia="x-none"/>
        </w:rPr>
        <w:t>Increasing the stringency of energy efficiency levels</w:t>
      </w:r>
      <w:r w:rsidR="00377DD5">
        <w:rPr>
          <w:lang w:eastAsia="x-none"/>
        </w:rPr>
        <w:t>; and</w:t>
      </w:r>
    </w:p>
    <w:p w14:paraId="0B0D295D" w14:textId="77777777" w:rsidR="002E6ECE" w:rsidRDefault="002E6ECE" w:rsidP="00320FDC">
      <w:pPr>
        <w:numPr>
          <w:ilvl w:val="3"/>
          <w:numId w:val="31"/>
        </w:numPr>
        <w:spacing w:after="0"/>
        <w:ind w:left="567"/>
        <w:rPr>
          <w:lang w:eastAsia="x-none"/>
        </w:rPr>
      </w:pPr>
      <w:r>
        <w:rPr>
          <w:lang w:eastAsia="x-none"/>
        </w:rPr>
        <w:t>Adding other policies.</w:t>
      </w:r>
    </w:p>
    <w:p w14:paraId="12F88B56" w14:textId="77777777" w:rsidR="002E6ECE" w:rsidRDefault="002E6ECE" w:rsidP="009F4031">
      <w:pPr>
        <w:spacing w:after="0"/>
        <w:rPr>
          <w:u w:val="single"/>
          <w:lang w:eastAsia="x-none"/>
        </w:rPr>
      </w:pPr>
    </w:p>
    <w:p w14:paraId="64061EB5" w14:textId="77777777" w:rsidR="003208B5" w:rsidRPr="002E6ECE" w:rsidRDefault="00E515F7" w:rsidP="009F4031">
      <w:pPr>
        <w:rPr>
          <w:b/>
          <w:lang w:eastAsia="x-none"/>
        </w:rPr>
      </w:pPr>
      <w:r w:rsidRPr="002E6ECE">
        <w:rPr>
          <w:b/>
          <w:lang w:eastAsia="x-none"/>
        </w:rPr>
        <w:t>Broadening product group coverage</w:t>
      </w:r>
    </w:p>
    <w:p w14:paraId="59D4F5FF" w14:textId="77777777" w:rsidR="00534202" w:rsidRDefault="00C6702F" w:rsidP="00534202">
      <w:pPr>
        <w:pStyle w:val="ColorfulList-Accent12"/>
        <w:ind w:left="0"/>
      </w:pPr>
      <w:r>
        <w:t xml:space="preserve">The savings could be increased by </w:t>
      </w:r>
      <w:r w:rsidR="00111866">
        <w:t xml:space="preserve">implementing minimum standards and labelling for more product groups where there are opportunities </w:t>
      </w:r>
      <w:r w:rsidR="00C54252">
        <w:t>for savings</w:t>
      </w:r>
      <w:r w:rsidR="00111866">
        <w:t xml:space="preserve">.  </w:t>
      </w:r>
      <w:r w:rsidRPr="00243038">
        <w:t xml:space="preserve">GEMS </w:t>
      </w:r>
      <w:r>
        <w:t xml:space="preserve">currently </w:t>
      </w:r>
      <w:r w:rsidRPr="00243038">
        <w:t xml:space="preserve">covers 22 product </w:t>
      </w:r>
      <w:r w:rsidR="00CC2994">
        <w:t>types</w:t>
      </w:r>
      <w:r>
        <w:t xml:space="preserve"> and some o</w:t>
      </w:r>
      <w:r w:rsidRPr="00243038">
        <w:t xml:space="preserve">ther schemes </w:t>
      </w:r>
      <w:r>
        <w:t>have a wider scope (including the USA, China and the EU</w:t>
      </w:r>
      <w:r>
        <w:rPr>
          <w:rStyle w:val="FootnoteReference"/>
        </w:rPr>
        <w:footnoteReference w:id="114"/>
      </w:r>
      <w:r>
        <w:t xml:space="preserve">). </w:t>
      </w:r>
      <w:r w:rsidR="00CC2994">
        <w:t xml:space="preserve"> </w:t>
      </w:r>
      <w:r w:rsidR="001E356C">
        <w:t>The following table compares the product categories covered under the Australian, EU and US programs.</w:t>
      </w:r>
    </w:p>
    <w:p w14:paraId="59EE1539" w14:textId="77777777" w:rsidR="00534202" w:rsidRDefault="00534202">
      <w:pPr>
        <w:spacing w:after="0" w:line="240" w:lineRule="auto"/>
        <w:rPr>
          <w:rFonts w:eastAsia="Calibri"/>
          <w:szCs w:val="22"/>
          <w:lang w:eastAsia="en-US"/>
        </w:rPr>
      </w:pPr>
      <w:r>
        <w:br w:type="page"/>
      </w:r>
    </w:p>
    <w:p w14:paraId="1DB10087" w14:textId="77777777" w:rsidR="001E356C" w:rsidRDefault="001E356C" w:rsidP="00534202">
      <w:pPr>
        <w:pStyle w:val="ColorfulList-Accent12"/>
        <w:ind w:left="0"/>
        <w:rPr>
          <w:b/>
          <w:color w:val="BE78E6"/>
        </w:rPr>
      </w:pPr>
      <w:r w:rsidRPr="00793E53">
        <w:rPr>
          <w:b/>
          <w:color w:val="BE78E6"/>
        </w:rPr>
        <w:lastRenderedPageBreak/>
        <w:t xml:space="preserve">Table </w:t>
      </w:r>
      <w:r w:rsidRPr="00793E53">
        <w:rPr>
          <w:b/>
          <w:color w:val="BE78E6"/>
        </w:rPr>
        <w:fldChar w:fldCharType="begin"/>
      </w:r>
      <w:r w:rsidRPr="00793E53">
        <w:rPr>
          <w:b/>
          <w:color w:val="BE78E6"/>
        </w:rPr>
        <w:instrText xml:space="preserve"> SEQ Table \* ARABIC </w:instrText>
      </w:r>
      <w:r w:rsidRPr="00793E53">
        <w:rPr>
          <w:b/>
          <w:color w:val="BE78E6"/>
        </w:rPr>
        <w:fldChar w:fldCharType="separate"/>
      </w:r>
      <w:r w:rsidR="00BE13BF">
        <w:rPr>
          <w:b/>
          <w:noProof/>
          <w:color w:val="BE78E6"/>
        </w:rPr>
        <w:t>4</w:t>
      </w:r>
      <w:r w:rsidRPr="00793E53">
        <w:rPr>
          <w:b/>
          <w:color w:val="BE78E6"/>
        </w:rPr>
        <w:fldChar w:fldCharType="end"/>
      </w:r>
      <w:r w:rsidRPr="00793E53">
        <w:rPr>
          <w:b/>
          <w:color w:val="BE78E6"/>
        </w:rPr>
        <w:t>: Comparison of product categories covered by standards and</w:t>
      </w:r>
      <w:r w:rsidR="00F72061">
        <w:rPr>
          <w:b/>
          <w:color w:val="BE78E6"/>
        </w:rPr>
        <w:t>/or</w:t>
      </w:r>
      <w:r w:rsidRPr="00793E53">
        <w:rPr>
          <w:b/>
          <w:color w:val="BE78E6"/>
        </w:rPr>
        <w:t xml:space="preserve"> labelling </w:t>
      </w:r>
    </w:p>
    <w:p w14:paraId="2A6E0633" w14:textId="77777777" w:rsidR="001E356C" w:rsidRPr="00793E53" w:rsidRDefault="001E356C" w:rsidP="00793E53">
      <w:pPr>
        <w:pStyle w:val="ColorfulList-Accent12"/>
        <w:spacing w:after="0"/>
        <w:ind w:left="0"/>
        <w:rPr>
          <w:b/>
          <w:color w:val="BE78E6"/>
        </w:rPr>
      </w:pPr>
    </w:p>
    <w:tbl>
      <w:tblPr>
        <w:tblW w:w="0" w:type="auto"/>
        <w:tblInd w:w="108" w:type="dxa"/>
        <w:tblLayout w:type="fixed"/>
        <w:tblCellMar>
          <w:left w:w="0" w:type="dxa"/>
          <w:right w:w="0" w:type="dxa"/>
        </w:tblCellMar>
        <w:tblLook w:val="04A0" w:firstRow="1" w:lastRow="0" w:firstColumn="1" w:lastColumn="0" w:noHBand="0" w:noVBand="1"/>
      </w:tblPr>
      <w:tblGrid>
        <w:gridCol w:w="2802"/>
        <w:gridCol w:w="1734"/>
        <w:gridCol w:w="1418"/>
        <w:gridCol w:w="1559"/>
      </w:tblGrid>
      <w:tr w:rsidR="00875569" w:rsidRPr="00807EFB" w14:paraId="21EC08A5" w14:textId="77777777" w:rsidTr="00CB3D61">
        <w:trPr>
          <w:trHeight w:val="218"/>
        </w:trPr>
        <w:tc>
          <w:tcPr>
            <w:tcW w:w="2802" w:type="dxa"/>
            <w:tcBorders>
              <w:top w:val="single" w:sz="8" w:space="0" w:color="auto"/>
              <w:left w:val="single" w:sz="8" w:space="0" w:color="auto"/>
              <w:bottom w:val="single" w:sz="8" w:space="0" w:color="auto"/>
              <w:right w:val="single" w:sz="8" w:space="0" w:color="auto"/>
            </w:tcBorders>
            <w:shd w:val="clear" w:color="auto" w:fill="BE78E6"/>
            <w:tcMar>
              <w:top w:w="0" w:type="dxa"/>
              <w:left w:w="108" w:type="dxa"/>
              <w:bottom w:w="0" w:type="dxa"/>
              <w:right w:w="108" w:type="dxa"/>
            </w:tcMar>
            <w:hideMark/>
          </w:tcPr>
          <w:p w14:paraId="59F08D1F" w14:textId="77777777" w:rsidR="001E356C" w:rsidRPr="00793E53" w:rsidRDefault="001E356C" w:rsidP="00874302">
            <w:pPr>
              <w:rPr>
                <w:b/>
                <w:bCs/>
              </w:rPr>
            </w:pPr>
            <w:r w:rsidRPr="00793E53">
              <w:rPr>
                <w:b/>
                <w:bCs/>
              </w:rPr>
              <w:t>Product category</w:t>
            </w:r>
          </w:p>
        </w:tc>
        <w:tc>
          <w:tcPr>
            <w:tcW w:w="1734" w:type="dxa"/>
            <w:tcBorders>
              <w:top w:val="single" w:sz="8" w:space="0" w:color="auto"/>
              <w:left w:val="nil"/>
              <w:bottom w:val="single" w:sz="8" w:space="0" w:color="auto"/>
              <w:right w:val="single" w:sz="8" w:space="0" w:color="auto"/>
            </w:tcBorders>
            <w:shd w:val="clear" w:color="auto" w:fill="BE78E6"/>
            <w:tcMar>
              <w:top w:w="0" w:type="dxa"/>
              <w:left w:w="108" w:type="dxa"/>
              <w:bottom w:w="0" w:type="dxa"/>
              <w:right w:w="108" w:type="dxa"/>
            </w:tcMar>
            <w:hideMark/>
          </w:tcPr>
          <w:p w14:paraId="7C62B9BF" w14:textId="77777777" w:rsidR="001E356C" w:rsidRPr="00793E53" w:rsidRDefault="001E356C" w:rsidP="00874302">
            <w:pPr>
              <w:jc w:val="center"/>
              <w:rPr>
                <w:b/>
                <w:bCs/>
              </w:rPr>
            </w:pPr>
            <w:r w:rsidRPr="00793E53">
              <w:rPr>
                <w:b/>
                <w:bCs/>
              </w:rPr>
              <w:t>Australia</w:t>
            </w:r>
          </w:p>
        </w:tc>
        <w:tc>
          <w:tcPr>
            <w:tcW w:w="1418" w:type="dxa"/>
            <w:tcBorders>
              <w:top w:val="single" w:sz="8" w:space="0" w:color="auto"/>
              <w:left w:val="nil"/>
              <w:bottom w:val="single" w:sz="8" w:space="0" w:color="auto"/>
              <w:right w:val="single" w:sz="8" w:space="0" w:color="auto"/>
            </w:tcBorders>
            <w:shd w:val="clear" w:color="auto" w:fill="BE78E6"/>
            <w:tcMar>
              <w:top w:w="0" w:type="dxa"/>
              <w:left w:w="108" w:type="dxa"/>
              <w:bottom w:w="0" w:type="dxa"/>
              <w:right w:w="108" w:type="dxa"/>
            </w:tcMar>
            <w:hideMark/>
          </w:tcPr>
          <w:p w14:paraId="727CCC45" w14:textId="77777777" w:rsidR="001E356C" w:rsidRPr="00793E53" w:rsidRDefault="001E356C" w:rsidP="00874302">
            <w:pPr>
              <w:jc w:val="center"/>
              <w:rPr>
                <w:b/>
                <w:bCs/>
              </w:rPr>
            </w:pPr>
            <w:r w:rsidRPr="00793E53">
              <w:rPr>
                <w:b/>
                <w:bCs/>
              </w:rPr>
              <w:t>EU</w:t>
            </w:r>
          </w:p>
        </w:tc>
        <w:tc>
          <w:tcPr>
            <w:tcW w:w="1559" w:type="dxa"/>
            <w:tcBorders>
              <w:top w:val="single" w:sz="8" w:space="0" w:color="auto"/>
              <w:left w:val="nil"/>
              <w:bottom w:val="single" w:sz="8" w:space="0" w:color="auto"/>
              <w:right w:val="single" w:sz="8" w:space="0" w:color="auto"/>
            </w:tcBorders>
            <w:shd w:val="clear" w:color="auto" w:fill="BE78E6"/>
            <w:tcMar>
              <w:top w:w="0" w:type="dxa"/>
              <w:left w:w="108" w:type="dxa"/>
              <w:bottom w:w="0" w:type="dxa"/>
              <w:right w:w="108" w:type="dxa"/>
            </w:tcMar>
            <w:hideMark/>
          </w:tcPr>
          <w:p w14:paraId="38B564E2" w14:textId="77777777" w:rsidR="001E356C" w:rsidRPr="00793E53" w:rsidRDefault="001E356C" w:rsidP="00874302">
            <w:pPr>
              <w:jc w:val="center"/>
              <w:rPr>
                <w:b/>
                <w:bCs/>
              </w:rPr>
            </w:pPr>
            <w:r w:rsidRPr="00793E53">
              <w:rPr>
                <w:b/>
                <w:bCs/>
              </w:rPr>
              <w:t>USA</w:t>
            </w:r>
          </w:p>
        </w:tc>
      </w:tr>
      <w:tr w:rsidR="001E356C" w14:paraId="6928E91F" w14:textId="77777777" w:rsidTr="00CB3D61">
        <w:trPr>
          <w:trHeight w:val="267"/>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1473E9" w14:textId="77777777" w:rsidR="001E356C" w:rsidRDefault="001E356C" w:rsidP="00874302">
            <w:r>
              <w:t>Air conditioning units</w:t>
            </w:r>
          </w:p>
        </w:tc>
        <w:tc>
          <w:tcPr>
            <w:tcW w:w="1734" w:type="dxa"/>
            <w:tcBorders>
              <w:top w:val="nil"/>
              <w:left w:val="nil"/>
              <w:bottom w:val="single" w:sz="8" w:space="0" w:color="auto"/>
              <w:right w:val="single" w:sz="8" w:space="0" w:color="auto"/>
            </w:tcBorders>
            <w:tcMar>
              <w:top w:w="0" w:type="dxa"/>
              <w:left w:w="108" w:type="dxa"/>
              <w:bottom w:w="0" w:type="dxa"/>
              <w:right w:w="108" w:type="dxa"/>
            </w:tcMar>
            <w:hideMark/>
          </w:tcPr>
          <w:p w14:paraId="66AFA6E8" w14:textId="77777777" w:rsidR="001E356C" w:rsidRDefault="001E356C" w:rsidP="00874302">
            <w:pPr>
              <w:jc w:val="center"/>
            </w:pPr>
            <w:r>
              <w:t>√</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7BA2F675" w14:textId="77777777" w:rsidR="001E356C" w:rsidRDefault="001E356C" w:rsidP="00874302">
            <w:pPr>
              <w:jc w:val="center"/>
            </w:pPr>
            <w:r>
              <w:t>√</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35D5E116" w14:textId="77777777" w:rsidR="001E356C" w:rsidRDefault="001E356C" w:rsidP="00874302">
            <w:pPr>
              <w:jc w:val="center"/>
            </w:pPr>
            <w:r>
              <w:t>√</w:t>
            </w:r>
          </w:p>
        </w:tc>
      </w:tr>
      <w:tr w:rsidR="001E356C" w14:paraId="421E5456" w14:textId="77777777" w:rsidTr="00CB3D61">
        <w:trPr>
          <w:trHeight w:val="1109"/>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844C30" w14:textId="77777777" w:rsidR="001E356C" w:rsidRDefault="001E356C" w:rsidP="00874302">
            <w:r>
              <w:t xml:space="preserve">Commercial &amp; Industrial </w:t>
            </w:r>
            <w:r w:rsidRPr="000C708D">
              <w:t>(e.g. electric motors, transformers, refrigerator display cabinets)</w:t>
            </w:r>
          </w:p>
        </w:tc>
        <w:tc>
          <w:tcPr>
            <w:tcW w:w="1734" w:type="dxa"/>
            <w:tcBorders>
              <w:top w:val="nil"/>
              <w:left w:val="nil"/>
              <w:bottom w:val="single" w:sz="8" w:space="0" w:color="auto"/>
              <w:right w:val="single" w:sz="8" w:space="0" w:color="auto"/>
            </w:tcBorders>
            <w:tcMar>
              <w:top w:w="0" w:type="dxa"/>
              <w:left w:w="108" w:type="dxa"/>
              <w:bottom w:w="0" w:type="dxa"/>
              <w:right w:w="108" w:type="dxa"/>
            </w:tcMar>
          </w:tcPr>
          <w:p w14:paraId="2B6BA5EE" w14:textId="77777777" w:rsidR="001E356C" w:rsidRDefault="001E356C" w:rsidP="00874302">
            <w:pPr>
              <w:jc w:val="center"/>
            </w:pPr>
            <w:r>
              <w:t>√</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5BC962CB" w14:textId="77777777" w:rsidR="001E356C" w:rsidRDefault="001E356C" w:rsidP="00874302">
            <w:pPr>
              <w:jc w:val="center"/>
            </w:pPr>
            <w:r>
              <w:t>X</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57DFDC96" w14:textId="77777777" w:rsidR="001E356C" w:rsidRDefault="001E356C" w:rsidP="00874302">
            <w:pPr>
              <w:jc w:val="center"/>
            </w:pPr>
            <w:r>
              <w:t>√</w:t>
            </w:r>
          </w:p>
        </w:tc>
      </w:tr>
      <w:tr w:rsidR="001E356C" w14:paraId="3BD9C9C9" w14:textId="77777777" w:rsidTr="00CB3D61">
        <w:trPr>
          <w:trHeight w:val="218"/>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964C06" w14:textId="77777777" w:rsidR="001E356C" w:rsidRDefault="001E356C" w:rsidP="00F72061">
            <w:r>
              <w:t>Water heating</w:t>
            </w:r>
          </w:p>
        </w:tc>
        <w:tc>
          <w:tcPr>
            <w:tcW w:w="1734" w:type="dxa"/>
            <w:tcBorders>
              <w:top w:val="nil"/>
              <w:left w:val="nil"/>
              <w:bottom w:val="single" w:sz="8" w:space="0" w:color="auto"/>
              <w:right w:val="single" w:sz="8" w:space="0" w:color="auto"/>
            </w:tcBorders>
            <w:tcMar>
              <w:top w:w="0" w:type="dxa"/>
              <w:left w:w="108" w:type="dxa"/>
              <w:bottom w:w="0" w:type="dxa"/>
              <w:right w:w="108" w:type="dxa"/>
            </w:tcMar>
          </w:tcPr>
          <w:p w14:paraId="40EF416B" w14:textId="77777777" w:rsidR="00CB3D61" w:rsidRDefault="001E356C" w:rsidP="00874302">
            <w:pPr>
              <w:jc w:val="center"/>
            </w:pPr>
            <w:r>
              <w:t>√</w:t>
            </w:r>
          </w:p>
          <w:p w14:paraId="35AD8B66" w14:textId="77777777" w:rsidR="001E356C" w:rsidRDefault="00CB3D61" w:rsidP="00874302">
            <w:pPr>
              <w:jc w:val="center"/>
            </w:pPr>
            <w:r>
              <w:t xml:space="preserve"> gas &amp; electric storage only</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5DC9A69D" w14:textId="77777777" w:rsidR="001E356C" w:rsidRDefault="001E356C" w:rsidP="00874302">
            <w:pPr>
              <w:jc w:val="center"/>
            </w:pPr>
            <w:r>
              <w:t>X</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1C09B7B8" w14:textId="77777777" w:rsidR="001E356C" w:rsidRDefault="001E356C" w:rsidP="00874302">
            <w:pPr>
              <w:jc w:val="center"/>
            </w:pPr>
            <w:r>
              <w:t>√</w:t>
            </w:r>
          </w:p>
        </w:tc>
      </w:tr>
      <w:tr w:rsidR="001E356C" w14:paraId="5CCBAE58" w14:textId="77777777" w:rsidTr="00CB3D61">
        <w:trPr>
          <w:trHeight w:val="532"/>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1F09D9" w14:textId="77777777" w:rsidR="001E356C" w:rsidRDefault="001E356C" w:rsidP="00874302">
            <w:r>
              <w:t>Home entertainment (e.g. TVs)</w:t>
            </w:r>
          </w:p>
        </w:tc>
        <w:tc>
          <w:tcPr>
            <w:tcW w:w="1734" w:type="dxa"/>
            <w:tcBorders>
              <w:top w:val="nil"/>
              <w:left w:val="nil"/>
              <w:bottom w:val="single" w:sz="8" w:space="0" w:color="auto"/>
              <w:right w:val="single" w:sz="8" w:space="0" w:color="auto"/>
            </w:tcBorders>
            <w:tcMar>
              <w:top w:w="0" w:type="dxa"/>
              <w:left w:w="108" w:type="dxa"/>
              <w:bottom w:w="0" w:type="dxa"/>
              <w:right w:w="108" w:type="dxa"/>
            </w:tcMar>
          </w:tcPr>
          <w:p w14:paraId="1AC99DE7" w14:textId="77777777" w:rsidR="001E356C" w:rsidRDefault="001E356C" w:rsidP="00874302">
            <w:pPr>
              <w:jc w:val="center"/>
            </w:pPr>
            <w:r>
              <w:t>√</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43BB791D" w14:textId="77777777" w:rsidR="001E356C" w:rsidRDefault="001E356C" w:rsidP="00874302">
            <w:pPr>
              <w:jc w:val="center"/>
            </w:pPr>
            <w:r>
              <w:t>√</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A223158" w14:textId="77777777" w:rsidR="001E356C" w:rsidRDefault="001E356C" w:rsidP="00874302">
            <w:pPr>
              <w:jc w:val="center"/>
            </w:pPr>
            <w:r>
              <w:t>√</w:t>
            </w:r>
          </w:p>
        </w:tc>
      </w:tr>
      <w:tr w:rsidR="001E356C" w14:paraId="4FCEB52A" w14:textId="77777777" w:rsidTr="00CB3D61">
        <w:trPr>
          <w:trHeight w:val="554"/>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EC5AB6" w14:textId="77777777" w:rsidR="001E356C" w:rsidRDefault="001E356C" w:rsidP="00874302">
            <w:r>
              <w:t>ICT (e.g. computers, monitors)</w:t>
            </w:r>
          </w:p>
        </w:tc>
        <w:tc>
          <w:tcPr>
            <w:tcW w:w="1734" w:type="dxa"/>
            <w:tcBorders>
              <w:top w:val="nil"/>
              <w:left w:val="nil"/>
              <w:bottom w:val="single" w:sz="8" w:space="0" w:color="auto"/>
              <w:right w:val="single" w:sz="8" w:space="0" w:color="auto"/>
            </w:tcBorders>
            <w:tcMar>
              <w:top w:w="0" w:type="dxa"/>
              <w:left w:w="108" w:type="dxa"/>
              <w:bottom w:w="0" w:type="dxa"/>
              <w:right w:w="108" w:type="dxa"/>
            </w:tcMar>
          </w:tcPr>
          <w:p w14:paraId="6260AB71" w14:textId="77777777" w:rsidR="001E356C" w:rsidRDefault="001E356C" w:rsidP="00874302">
            <w:pPr>
              <w:jc w:val="center"/>
            </w:pPr>
            <w:r>
              <w:t>√</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319DF827" w14:textId="77777777" w:rsidR="001E356C" w:rsidRDefault="001E356C" w:rsidP="00874302">
            <w:pPr>
              <w:jc w:val="center"/>
            </w:pPr>
            <w:r>
              <w:t>√</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1445AB70" w14:textId="77777777" w:rsidR="001E356C" w:rsidRDefault="001E356C" w:rsidP="00874302">
            <w:pPr>
              <w:jc w:val="center"/>
            </w:pPr>
            <w:r>
              <w:t>√</w:t>
            </w:r>
          </w:p>
        </w:tc>
      </w:tr>
      <w:tr w:rsidR="001E356C" w14:paraId="3CBD236C" w14:textId="77777777" w:rsidTr="00CB3D61">
        <w:trPr>
          <w:trHeight w:val="230"/>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08DF0E" w14:textId="77777777" w:rsidR="001E356C" w:rsidRDefault="001E356C" w:rsidP="00874302">
            <w:r>
              <w:t>Lighting</w:t>
            </w:r>
          </w:p>
        </w:tc>
        <w:tc>
          <w:tcPr>
            <w:tcW w:w="1734" w:type="dxa"/>
            <w:tcBorders>
              <w:top w:val="nil"/>
              <w:left w:val="nil"/>
              <w:bottom w:val="single" w:sz="8" w:space="0" w:color="auto"/>
              <w:right w:val="single" w:sz="8" w:space="0" w:color="auto"/>
            </w:tcBorders>
            <w:tcMar>
              <w:top w:w="0" w:type="dxa"/>
              <w:left w:w="108" w:type="dxa"/>
              <w:bottom w:w="0" w:type="dxa"/>
              <w:right w:w="108" w:type="dxa"/>
            </w:tcMar>
          </w:tcPr>
          <w:p w14:paraId="1761EAEA" w14:textId="77777777" w:rsidR="001E356C" w:rsidRDefault="001E356C" w:rsidP="00874302">
            <w:pPr>
              <w:jc w:val="center"/>
            </w:pPr>
            <w:r>
              <w:t>√</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227DC9C8" w14:textId="77777777" w:rsidR="001E356C" w:rsidRDefault="001E356C" w:rsidP="00874302">
            <w:pPr>
              <w:jc w:val="center"/>
            </w:pPr>
            <w:r>
              <w:t>√</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4EB2CF07" w14:textId="77777777" w:rsidR="001E356C" w:rsidRDefault="001E356C" w:rsidP="00874302">
            <w:pPr>
              <w:jc w:val="center"/>
            </w:pPr>
            <w:r>
              <w:t>√</w:t>
            </w:r>
          </w:p>
        </w:tc>
      </w:tr>
      <w:tr w:rsidR="001E356C" w14:paraId="7F337244" w14:textId="77777777" w:rsidTr="00CB3D61">
        <w:trPr>
          <w:trHeight w:val="808"/>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04C4F2" w14:textId="77777777" w:rsidR="001E356C" w:rsidRDefault="001E356C" w:rsidP="00874302">
            <w:r>
              <w:t xml:space="preserve">Non-energy using products (e.g. windows, insulation, taps, showerheads) </w:t>
            </w:r>
          </w:p>
        </w:tc>
        <w:tc>
          <w:tcPr>
            <w:tcW w:w="1734" w:type="dxa"/>
            <w:tcBorders>
              <w:top w:val="nil"/>
              <w:left w:val="nil"/>
              <w:bottom w:val="single" w:sz="8" w:space="0" w:color="auto"/>
              <w:right w:val="single" w:sz="8" w:space="0" w:color="auto"/>
            </w:tcBorders>
            <w:tcMar>
              <w:top w:w="0" w:type="dxa"/>
              <w:left w:w="108" w:type="dxa"/>
              <w:bottom w:w="0" w:type="dxa"/>
              <w:right w:w="108" w:type="dxa"/>
            </w:tcMar>
          </w:tcPr>
          <w:p w14:paraId="3504422B" w14:textId="77777777" w:rsidR="001E356C" w:rsidRDefault="001E356C" w:rsidP="00874302">
            <w:pPr>
              <w:jc w:val="center"/>
            </w:pPr>
            <w:r>
              <w:t>X</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7F6B45AE" w14:textId="77777777" w:rsidR="001E356C" w:rsidRDefault="001E356C" w:rsidP="00874302">
            <w:pPr>
              <w:jc w:val="center"/>
            </w:pPr>
            <w:r>
              <w:t>X</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515D3126" w14:textId="77777777" w:rsidR="001E356C" w:rsidRDefault="001E356C" w:rsidP="00874302">
            <w:pPr>
              <w:jc w:val="center"/>
            </w:pPr>
            <w:r>
              <w:t>√</w:t>
            </w:r>
          </w:p>
        </w:tc>
      </w:tr>
      <w:tr w:rsidR="001E356C" w14:paraId="2107FDA7" w14:textId="77777777" w:rsidTr="00CB3D61">
        <w:trPr>
          <w:trHeight w:val="218"/>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B39762" w14:textId="77777777" w:rsidR="001E356C" w:rsidRDefault="001E356C" w:rsidP="00874302">
            <w:r>
              <w:t>Pools</w:t>
            </w:r>
          </w:p>
        </w:tc>
        <w:tc>
          <w:tcPr>
            <w:tcW w:w="1734" w:type="dxa"/>
            <w:tcBorders>
              <w:top w:val="nil"/>
              <w:left w:val="nil"/>
              <w:bottom w:val="single" w:sz="8" w:space="0" w:color="auto"/>
              <w:right w:val="single" w:sz="8" w:space="0" w:color="auto"/>
            </w:tcBorders>
            <w:tcMar>
              <w:top w:w="0" w:type="dxa"/>
              <w:left w:w="108" w:type="dxa"/>
              <w:bottom w:w="0" w:type="dxa"/>
              <w:right w:w="108" w:type="dxa"/>
            </w:tcMar>
          </w:tcPr>
          <w:p w14:paraId="4BC36E08" w14:textId="77777777" w:rsidR="001E356C" w:rsidRDefault="001E356C" w:rsidP="00874302">
            <w:pPr>
              <w:jc w:val="center"/>
            </w:pPr>
            <w:r>
              <w:t>√</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2361043F" w14:textId="77777777" w:rsidR="001E356C" w:rsidRDefault="001E356C" w:rsidP="00874302">
            <w:pPr>
              <w:jc w:val="center"/>
            </w:pPr>
            <w:r>
              <w:t>X</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5BECA878" w14:textId="77777777" w:rsidR="001E356C" w:rsidRDefault="001E356C" w:rsidP="00874302">
            <w:pPr>
              <w:jc w:val="center"/>
            </w:pPr>
            <w:r>
              <w:t>√ (heating)</w:t>
            </w:r>
          </w:p>
        </w:tc>
      </w:tr>
      <w:tr w:rsidR="001E356C" w14:paraId="0477DA8A" w14:textId="77777777" w:rsidTr="00CB3D61">
        <w:trPr>
          <w:trHeight w:val="218"/>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9AC563" w14:textId="77777777" w:rsidR="001E356C" w:rsidRDefault="001E356C" w:rsidP="00874302">
            <w:r>
              <w:t>White goods</w:t>
            </w:r>
          </w:p>
        </w:tc>
        <w:tc>
          <w:tcPr>
            <w:tcW w:w="1734" w:type="dxa"/>
            <w:tcBorders>
              <w:top w:val="nil"/>
              <w:left w:val="nil"/>
              <w:bottom w:val="single" w:sz="8" w:space="0" w:color="auto"/>
              <w:right w:val="single" w:sz="8" w:space="0" w:color="auto"/>
            </w:tcBorders>
            <w:tcMar>
              <w:top w:w="0" w:type="dxa"/>
              <w:left w:w="108" w:type="dxa"/>
              <w:bottom w:w="0" w:type="dxa"/>
              <w:right w:w="108" w:type="dxa"/>
            </w:tcMar>
            <w:hideMark/>
          </w:tcPr>
          <w:p w14:paraId="2E933903" w14:textId="77777777" w:rsidR="001E356C" w:rsidRDefault="001E356C" w:rsidP="00874302">
            <w:pPr>
              <w:jc w:val="center"/>
            </w:pPr>
            <w:r>
              <w:t>√</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60FEFDF5" w14:textId="77777777" w:rsidR="001E356C" w:rsidRDefault="001E356C" w:rsidP="00874302">
            <w:pPr>
              <w:jc w:val="center"/>
            </w:pPr>
            <w:r>
              <w:t>√</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31617FFD" w14:textId="77777777" w:rsidR="001E356C" w:rsidRDefault="001E356C" w:rsidP="00874302">
            <w:pPr>
              <w:jc w:val="center"/>
            </w:pPr>
            <w:r>
              <w:t>√</w:t>
            </w:r>
          </w:p>
        </w:tc>
      </w:tr>
      <w:tr w:rsidR="001E356C" w14:paraId="0B34FB02" w14:textId="77777777" w:rsidTr="00CB3D61">
        <w:trPr>
          <w:trHeight w:val="230"/>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079A82" w14:textId="77777777" w:rsidR="001E356C" w:rsidRDefault="001E356C" w:rsidP="00874302">
            <w:r>
              <w:t>Vehicles</w:t>
            </w:r>
          </w:p>
        </w:tc>
        <w:tc>
          <w:tcPr>
            <w:tcW w:w="1734" w:type="dxa"/>
            <w:tcBorders>
              <w:top w:val="nil"/>
              <w:left w:val="nil"/>
              <w:bottom w:val="single" w:sz="8" w:space="0" w:color="auto"/>
              <w:right w:val="single" w:sz="8" w:space="0" w:color="auto"/>
            </w:tcBorders>
            <w:tcMar>
              <w:top w:w="0" w:type="dxa"/>
              <w:left w:w="108" w:type="dxa"/>
              <w:bottom w:w="0" w:type="dxa"/>
              <w:right w:w="108" w:type="dxa"/>
            </w:tcMar>
            <w:hideMark/>
          </w:tcPr>
          <w:p w14:paraId="0FBF0D73" w14:textId="77777777" w:rsidR="001E356C" w:rsidRDefault="001E356C" w:rsidP="00874302">
            <w:pPr>
              <w:jc w:val="center"/>
            </w:pPr>
            <w:r>
              <w:t>X</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2F73AC4D" w14:textId="77777777" w:rsidR="001E356C" w:rsidRDefault="001E356C" w:rsidP="00874302">
            <w:pPr>
              <w:jc w:val="center"/>
            </w:pPr>
            <w:r>
              <w:t>√ (tyres)</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3A5D04E" w14:textId="77777777" w:rsidR="001E356C" w:rsidRDefault="001E356C" w:rsidP="00874302">
            <w:pPr>
              <w:jc w:val="center"/>
            </w:pPr>
            <w:r>
              <w:t>X</w:t>
            </w:r>
          </w:p>
        </w:tc>
      </w:tr>
    </w:tbl>
    <w:p w14:paraId="0A8E37D3" w14:textId="77777777" w:rsidR="001E356C" w:rsidRDefault="001E356C" w:rsidP="00793E53">
      <w:pPr>
        <w:spacing w:after="0"/>
      </w:pPr>
      <w:r>
        <w:t>Notes:</w:t>
      </w:r>
    </w:p>
    <w:p w14:paraId="0D0040B2" w14:textId="77777777" w:rsidR="00F72061" w:rsidRDefault="00F72061" w:rsidP="00320022">
      <w:pPr>
        <w:pStyle w:val="ListParagraph"/>
        <w:numPr>
          <w:ilvl w:val="0"/>
          <w:numId w:val="82"/>
        </w:numPr>
        <w:spacing w:after="0"/>
        <w:ind w:hanging="357"/>
      </w:pPr>
      <w:r>
        <w:t>Australia program</w:t>
      </w:r>
    </w:p>
    <w:p w14:paraId="5DBE9220" w14:textId="77777777" w:rsidR="00F72061" w:rsidRDefault="00F72061" w:rsidP="00320022">
      <w:pPr>
        <w:pStyle w:val="ListParagraph"/>
        <w:numPr>
          <w:ilvl w:val="1"/>
          <w:numId w:val="82"/>
        </w:numPr>
        <w:spacing w:after="0"/>
        <w:ind w:hanging="357"/>
      </w:pPr>
      <w:r>
        <w:t xml:space="preserve">Water heating applies to gas and electric storage only. </w:t>
      </w:r>
    </w:p>
    <w:p w14:paraId="72F8CEEE" w14:textId="77777777" w:rsidR="001E356C" w:rsidRDefault="001E356C" w:rsidP="00320022">
      <w:pPr>
        <w:pStyle w:val="ListParagraph"/>
        <w:numPr>
          <w:ilvl w:val="0"/>
          <w:numId w:val="82"/>
        </w:numPr>
        <w:spacing w:after="0"/>
        <w:ind w:hanging="357"/>
      </w:pPr>
      <w:r>
        <w:t>EU program</w:t>
      </w:r>
    </w:p>
    <w:p w14:paraId="4E278396" w14:textId="77777777" w:rsidR="001E356C" w:rsidRDefault="001E356C" w:rsidP="00320022">
      <w:pPr>
        <w:pStyle w:val="ListParagraph"/>
        <w:numPr>
          <w:ilvl w:val="1"/>
          <w:numId w:val="82"/>
        </w:numPr>
        <w:spacing w:after="0"/>
        <w:ind w:hanging="357"/>
      </w:pPr>
      <w:r>
        <w:t xml:space="preserve">Operates </w:t>
      </w:r>
      <w:r w:rsidRPr="00446D01">
        <w:rPr>
          <w:i/>
        </w:rPr>
        <w:t>Energy Star</w:t>
      </w:r>
      <w:r>
        <w:t xml:space="preserve"> for computers and ICT in agreement with US govt. </w:t>
      </w:r>
    </w:p>
    <w:p w14:paraId="5CEFE689" w14:textId="77777777" w:rsidR="001E356C" w:rsidRDefault="001E356C" w:rsidP="00320022">
      <w:pPr>
        <w:pStyle w:val="ListParagraph"/>
        <w:numPr>
          <w:ilvl w:val="1"/>
          <w:numId w:val="82"/>
        </w:numPr>
        <w:spacing w:after="0"/>
        <w:ind w:hanging="357"/>
      </w:pPr>
      <w:r>
        <w:t xml:space="preserve">Under “Plans for 2013 and beyond” the EU includes </w:t>
      </w:r>
      <w:r w:rsidRPr="00446D01">
        <w:rPr>
          <w:i/>
        </w:rPr>
        <w:t>Water heating</w:t>
      </w:r>
      <w:r>
        <w:t xml:space="preserve"> and </w:t>
      </w:r>
      <w:r w:rsidRPr="00446D01">
        <w:rPr>
          <w:i/>
        </w:rPr>
        <w:t>C&amp;I</w:t>
      </w:r>
      <w:r>
        <w:t xml:space="preserve">, and </w:t>
      </w:r>
      <w:r w:rsidRPr="00446D01">
        <w:rPr>
          <w:i/>
        </w:rPr>
        <w:t>Non-energy using products</w:t>
      </w:r>
      <w:r>
        <w:t xml:space="preserve"> are also included for 2012-14. These are not included in the table.</w:t>
      </w:r>
      <w:r>
        <w:rPr>
          <w:color w:val="FF0000"/>
        </w:rPr>
        <w:t xml:space="preserve"> </w:t>
      </w:r>
    </w:p>
    <w:p w14:paraId="7A6BF5D3" w14:textId="77777777" w:rsidR="001E356C" w:rsidRDefault="001E356C" w:rsidP="00320022">
      <w:pPr>
        <w:pStyle w:val="ListParagraph"/>
        <w:numPr>
          <w:ilvl w:val="0"/>
          <w:numId w:val="82"/>
        </w:numPr>
        <w:autoSpaceDE w:val="0"/>
        <w:autoSpaceDN w:val="0"/>
        <w:adjustRightInd w:val="0"/>
        <w:spacing w:after="0"/>
        <w:ind w:hanging="357"/>
      </w:pPr>
      <w:r>
        <w:t>US program</w:t>
      </w:r>
    </w:p>
    <w:p w14:paraId="1AC29A9D" w14:textId="77777777" w:rsidR="001E356C" w:rsidRDefault="001E356C" w:rsidP="00320022">
      <w:pPr>
        <w:pStyle w:val="ListParagraph"/>
        <w:numPr>
          <w:ilvl w:val="1"/>
          <w:numId w:val="82"/>
        </w:numPr>
        <w:autoSpaceDE w:val="0"/>
        <w:autoSpaceDN w:val="0"/>
        <w:adjustRightInd w:val="0"/>
        <w:spacing w:after="0"/>
        <w:ind w:hanging="357"/>
      </w:pPr>
      <w:r w:rsidRPr="00446D01">
        <w:rPr>
          <w:i/>
        </w:rPr>
        <w:t>C&amp;I</w:t>
      </w:r>
      <w:r>
        <w:t xml:space="preserve"> includes transformers, commercial water heaters, </w:t>
      </w:r>
      <w:r w:rsidRPr="00446D01">
        <w:t>commercial warm air</w:t>
      </w:r>
      <w:r>
        <w:t xml:space="preserve"> </w:t>
      </w:r>
      <w:r w:rsidRPr="00446D01">
        <w:t>furnaces, commercial packaged boilers, electric motors, 1-</w:t>
      </w:r>
      <w:r>
        <w:t>500 hp, clothes washers, A/C, refrigeration.</w:t>
      </w:r>
    </w:p>
    <w:p w14:paraId="36B22F5C" w14:textId="77777777" w:rsidR="001E356C" w:rsidRDefault="001E356C" w:rsidP="00320022">
      <w:pPr>
        <w:pStyle w:val="ListParagraph"/>
        <w:numPr>
          <w:ilvl w:val="1"/>
          <w:numId w:val="82"/>
        </w:numPr>
        <w:autoSpaceDE w:val="0"/>
        <w:autoSpaceDN w:val="0"/>
        <w:adjustRightInd w:val="0"/>
        <w:spacing w:after="0"/>
        <w:ind w:hanging="357"/>
      </w:pPr>
      <w:r w:rsidRPr="00446D01">
        <w:rPr>
          <w:i/>
        </w:rPr>
        <w:t>Pool</w:t>
      </w:r>
      <w:r>
        <w:t xml:space="preserve"> includes pool heaters only (not pumps.)</w:t>
      </w:r>
    </w:p>
    <w:p w14:paraId="6CCFAA58" w14:textId="77777777" w:rsidR="001E356C" w:rsidRPr="00D876BA" w:rsidRDefault="001E356C" w:rsidP="00320022">
      <w:pPr>
        <w:pStyle w:val="ListParagraph"/>
        <w:numPr>
          <w:ilvl w:val="1"/>
          <w:numId w:val="82"/>
        </w:numPr>
        <w:autoSpaceDE w:val="0"/>
        <w:autoSpaceDN w:val="0"/>
        <w:adjustRightInd w:val="0"/>
        <w:spacing w:after="0"/>
        <w:ind w:hanging="357"/>
      </w:pPr>
      <w:r w:rsidRPr="00446D01">
        <w:rPr>
          <w:i/>
        </w:rPr>
        <w:t>non-energy</w:t>
      </w:r>
      <w:r>
        <w:t xml:space="preserve"> includes faucets, showerheads, commercial rinse spray valves. </w:t>
      </w:r>
    </w:p>
    <w:p w14:paraId="75C6EE92" w14:textId="77777777" w:rsidR="001E356C" w:rsidRDefault="001E356C" w:rsidP="00875569">
      <w:pPr>
        <w:pStyle w:val="ColorfulList-Accent12"/>
        <w:ind w:left="0"/>
      </w:pPr>
    </w:p>
    <w:p w14:paraId="6BBB59F0" w14:textId="77777777" w:rsidR="008C73C6" w:rsidRDefault="00C6702F" w:rsidP="006E5786">
      <w:pPr>
        <w:pStyle w:val="ColorfulList-Accent12"/>
        <w:ind w:left="0"/>
      </w:pPr>
      <w:r>
        <w:t>Review of the product groups</w:t>
      </w:r>
      <w:r w:rsidR="001B3134">
        <w:t xml:space="preserve"> covered by these other schemes</w:t>
      </w:r>
      <w:r>
        <w:t xml:space="preserve"> indicates that specific opportunities exist with non-energy using products, such as the insulation of ducting for air conditioning units (about which industry stakeholder feedback was broadly in favour), insulation and windows. </w:t>
      </w:r>
      <w:r w:rsidR="00CC2994">
        <w:t xml:space="preserve"> </w:t>
      </w:r>
      <w:r w:rsidR="00DD02B7">
        <w:t xml:space="preserve">Non-energy using products are being considered for inclusion under the E3 Program because of the impact they can have on the energy efficiency of other energy using products.  </w:t>
      </w:r>
      <w:r>
        <w:t>Analysis of the GEMS coverage of residential, commercial and industrial energy use suggests that the major opportunities for extension are outside the residential sector, for example, commercial refrigeration</w:t>
      </w:r>
      <w:r>
        <w:rPr>
          <w:rStyle w:val="FootnoteReference"/>
        </w:rPr>
        <w:footnoteReference w:id="115"/>
      </w:r>
      <w:r w:rsidR="008A6846" w:rsidRPr="00CF18AE">
        <w:rPr>
          <w:vertAlign w:val="superscript"/>
        </w:rPr>
        <w:t>,</w:t>
      </w:r>
      <w:r w:rsidR="00145A5A">
        <w:rPr>
          <w:vertAlign w:val="superscript"/>
        </w:rPr>
        <w:t xml:space="preserve"> </w:t>
      </w:r>
      <w:r w:rsidR="00C54252">
        <w:rPr>
          <w:rStyle w:val="FootnoteReference"/>
        </w:rPr>
        <w:footnoteReference w:id="116"/>
      </w:r>
      <w:r>
        <w:t>.</w:t>
      </w:r>
    </w:p>
    <w:p w14:paraId="0D76329E" w14:textId="77777777" w:rsidR="008C73C6" w:rsidRDefault="008C73C6" w:rsidP="009F4031">
      <w:pPr>
        <w:pStyle w:val="ColorfulList-Accent12"/>
        <w:ind w:left="0"/>
      </w:pPr>
    </w:p>
    <w:p w14:paraId="0A809691" w14:textId="77777777" w:rsidR="00C6702F" w:rsidRDefault="00C6702F" w:rsidP="009F4031">
      <w:pPr>
        <w:pStyle w:val="Caption"/>
        <w:spacing w:after="0" w:line="276" w:lineRule="auto"/>
        <w:jc w:val="center"/>
      </w:pPr>
      <w:r>
        <w:t xml:space="preserve">Table </w:t>
      </w:r>
      <w:r>
        <w:fldChar w:fldCharType="begin"/>
      </w:r>
      <w:r>
        <w:instrText xml:space="preserve"> SEQ Table \* ARABIC </w:instrText>
      </w:r>
      <w:r>
        <w:fldChar w:fldCharType="separate"/>
      </w:r>
      <w:r w:rsidR="00BE13BF">
        <w:rPr>
          <w:noProof/>
        </w:rPr>
        <w:t>5</w:t>
      </w:r>
      <w:r>
        <w:fldChar w:fldCharType="end"/>
      </w:r>
      <w:r>
        <w:t>: Products covered by standards and labelling in major economies (CLASP</w:t>
      </w:r>
      <w:r>
        <w:rPr>
          <w:rStyle w:val="FootnoteReference"/>
        </w:rPr>
        <w:footnoteReference w:id="117"/>
      </w:r>
      <w:r>
        <w:t>)</w:t>
      </w:r>
      <w:r w:rsidR="0006426E">
        <w:rPr>
          <w:rStyle w:val="FootnoteReference"/>
        </w:rPr>
        <w:footnoteReference w:id="118"/>
      </w:r>
    </w:p>
    <w:p w14:paraId="021CF0E0" w14:textId="77777777" w:rsidR="00C6702F" w:rsidRDefault="008E332E" w:rsidP="009F4031">
      <w:pPr>
        <w:pStyle w:val="ColorfulList-Accent12"/>
        <w:ind w:left="0"/>
        <w:jc w:val="center"/>
      </w:pPr>
      <w:r>
        <w:rPr>
          <w:noProof/>
          <w:lang w:val="en-AU" w:eastAsia="en-AU"/>
        </w:rPr>
        <w:drawing>
          <wp:inline distT="0" distB="0" distL="0" distR="0" wp14:anchorId="4602835F" wp14:editId="6976A57B">
            <wp:extent cx="4981575" cy="3302635"/>
            <wp:effectExtent l="0" t="0" r="9525" b="0"/>
            <wp:docPr id="5" name="Picture 2" descr="Table comparing countries against MEPS, Labels, and MEPS or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1575" cy="3302635"/>
                    </a:xfrm>
                    <a:prstGeom prst="rect">
                      <a:avLst/>
                    </a:prstGeom>
                    <a:noFill/>
                    <a:ln>
                      <a:noFill/>
                    </a:ln>
                  </pic:spPr>
                </pic:pic>
              </a:graphicData>
            </a:graphic>
          </wp:inline>
        </w:drawing>
      </w:r>
    </w:p>
    <w:p w14:paraId="2B517DB2" w14:textId="77777777" w:rsidR="00E515F7" w:rsidRPr="002E6ECE" w:rsidRDefault="00E515F7" w:rsidP="009F4031">
      <w:pPr>
        <w:rPr>
          <w:b/>
          <w:lang w:eastAsia="x-none"/>
        </w:rPr>
      </w:pPr>
      <w:r w:rsidRPr="002E6ECE">
        <w:rPr>
          <w:b/>
          <w:lang w:eastAsia="x-none"/>
        </w:rPr>
        <w:t>Increasing stringency</w:t>
      </w:r>
    </w:p>
    <w:p w14:paraId="704FD19B" w14:textId="77777777" w:rsidR="003E593E" w:rsidRPr="003E593E" w:rsidRDefault="00C6702F" w:rsidP="00CE06D9">
      <w:pPr>
        <w:pStyle w:val="ColorfulList-Accent12"/>
        <w:spacing w:after="0"/>
        <w:ind w:left="0"/>
        <w:contextualSpacing w:val="0"/>
      </w:pPr>
      <w:r>
        <w:t xml:space="preserve">The other main prospect for further savings is the setting of more stringent standards for products already covered by GEMS. </w:t>
      </w:r>
      <w:r w:rsidR="00CC2994">
        <w:t xml:space="preserve"> </w:t>
      </w:r>
      <w:r>
        <w:t xml:space="preserve">Although comparisons with other programs must be interpreted carefully, it is clear that </w:t>
      </w:r>
      <w:r w:rsidR="003E593E" w:rsidRPr="003E593E">
        <w:rPr>
          <w:lang w:val="en-AU"/>
        </w:rPr>
        <w:t>Australian performance requirements lag behind other countries for some product categories.  The</w:t>
      </w:r>
      <w:r w:rsidR="003E593E">
        <w:rPr>
          <w:lang w:val="en-AU"/>
        </w:rPr>
        <w:t>re are a range of reasons for this, including:</w:t>
      </w:r>
    </w:p>
    <w:p w14:paraId="41292424" w14:textId="77777777" w:rsidR="003E593E" w:rsidRPr="003E593E" w:rsidRDefault="003E593E" w:rsidP="00CE06D9">
      <w:pPr>
        <w:spacing w:after="0"/>
        <w:rPr>
          <w:rFonts w:eastAsia="Calibri"/>
          <w:szCs w:val="22"/>
          <w:lang w:val="en-AU" w:eastAsia="en-US"/>
        </w:rPr>
      </w:pPr>
    </w:p>
    <w:p w14:paraId="625C443B" w14:textId="77777777" w:rsidR="003E593E" w:rsidRPr="003E593E" w:rsidRDefault="003E593E" w:rsidP="00CE06D9">
      <w:pPr>
        <w:spacing w:after="0"/>
        <w:ind w:left="720"/>
        <w:rPr>
          <w:rFonts w:eastAsia="Calibri"/>
          <w:szCs w:val="22"/>
          <w:lang w:val="en-AU" w:eastAsia="en-US"/>
        </w:rPr>
      </w:pPr>
      <w:r w:rsidRPr="003E593E">
        <w:rPr>
          <w:rFonts w:eastAsia="Calibri"/>
          <w:szCs w:val="22"/>
          <w:lang w:val="en-AU" w:eastAsia="en-US"/>
        </w:rPr>
        <w:t>a) Updating timescale</w:t>
      </w:r>
      <w:r>
        <w:rPr>
          <w:rFonts w:eastAsia="Calibri"/>
          <w:szCs w:val="22"/>
          <w:lang w:val="en-AU" w:eastAsia="en-US"/>
        </w:rPr>
        <w:t>s</w:t>
      </w:r>
      <w:r w:rsidRPr="003E593E">
        <w:rPr>
          <w:rFonts w:eastAsia="Calibri"/>
          <w:szCs w:val="22"/>
          <w:lang w:val="en-AU" w:eastAsia="en-US"/>
        </w:rPr>
        <w:t xml:space="preserve">: Technological improvements (that may be partially the result of government policies combined with exogenous improvements, mean that product performance tends to be improving over time) and therefore policy thresholds need to be revisited and adjusted to keep pace with this change.  Typically this occurs on a 3-5 year </w:t>
      </w:r>
      <w:r w:rsidRPr="003E593E">
        <w:rPr>
          <w:rFonts w:eastAsia="Calibri"/>
          <w:szCs w:val="22"/>
          <w:lang w:val="en-AU" w:eastAsia="en-US"/>
        </w:rPr>
        <w:lastRenderedPageBreak/>
        <w:t>cycle depending upon the rate of change for particular product categories.  Over the past 5</w:t>
      </w:r>
      <w:r w:rsidR="007F0AE6">
        <w:rPr>
          <w:rFonts w:eastAsia="Calibri"/>
          <w:szCs w:val="22"/>
          <w:lang w:val="en-AU" w:eastAsia="en-US"/>
        </w:rPr>
        <w:t> </w:t>
      </w:r>
      <w:r w:rsidRPr="003E593E">
        <w:rPr>
          <w:rFonts w:eastAsia="Calibri"/>
          <w:szCs w:val="22"/>
          <w:lang w:val="en-AU" w:eastAsia="en-US"/>
        </w:rPr>
        <w:t xml:space="preserve">years, energy efficiency standards and labelling programs (EESL) in the US and EU have introduced new and upgraded ‘standards’ for a wide range of products, and these have reflected the performances of current range of products on the market.  Many of the performance thresholds in the Australian EESL program have not been reviewed or updated since the introduction of these overseas requirements, and therefore may not have kept pace with technological improvements. </w:t>
      </w:r>
    </w:p>
    <w:p w14:paraId="08B26C65" w14:textId="77777777" w:rsidR="003E593E" w:rsidRPr="003E593E" w:rsidRDefault="003E593E" w:rsidP="00CE06D9">
      <w:pPr>
        <w:spacing w:after="0"/>
        <w:ind w:left="720"/>
        <w:rPr>
          <w:rFonts w:eastAsia="Calibri"/>
          <w:szCs w:val="22"/>
          <w:lang w:val="en-AU" w:eastAsia="en-US"/>
        </w:rPr>
      </w:pPr>
    </w:p>
    <w:p w14:paraId="3FF513D1" w14:textId="77777777" w:rsidR="003E593E" w:rsidRPr="003E593E" w:rsidRDefault="003E593E" w:rsidP="00CE06D9">
      <w:pPr>
        <w:spacing w:after="0"/>
        <w:ind w:left="720"/>
        <w:rPr>
          <w:rFonts w:eastAsia="Calibri"/>
          <w:szCs w:val="22"/>
          <w:lang w:val="en-AU" w:eastAsia="en-US"/>
        </w:rPr>
      </w:pPr>
      <w:r w:rsidRPr="003E593E">
        <w:rPr>
          <w:rFonts w:eastAsia="Calibri"/>
          <w:szCs w:val="22"/>
          <w:lang w:val="en-AU" w:eastAsia="en-US"/>
        </w:rPr>
        <w:t>It is also true that the development cycles for EESL programs around the world are not synchronised and as a result there tends to be a ‘leapfrogging’ effect.  The performance standards adopted by one country or region at a certain time may be overtaken by another’s when they come to review their standards one or two years later (due to the continuous improvement in product performance noted above).  Therefore, at any one time, there may be a certain lack of consistency amongst performance requirements in different regions depending on where they are in their development cycle.</w:t>
      </w:r>
    </w:p>
    <w:p w14:paraId="38060A73" w14:textId="77777777" w:rsidR="003E593E" w:rsidRPr="003E593E" w:rsidRDefault="003E593E" w:rsidP="00CE06D9">
      <w:pPr>
        <w:spacing w:after="0"/>
        <w:ind w:left="720"/>
        <w:rPr>
          <w:rFonts w:eastAsia="Calibri"/>
          <w:szCs w:val="22"/>
          <w:lang w:val="en-AU" w:eastAsia="en-US"/>
        </w:rPr>
      </w:pPr>
    </w:p>
    <w:p w14:paraId="5ACBA93B" w14:textId="77777777" w:rsidR="003E593E" w:rsidRPr="003E593E" w:rsidRDefault="003E593E" w:rsidP="00CE06D9">
      <w:pPr>
        <w:spacing w:after="0"/>
        <w:ind w:left="720"/>
        <w:rPr>
          <w:rFonts w:eastAsia="Calibri"/>
          <w:szCs w:val="22"/>
          <w:lang w:val="en-AU" w:eastAsia="en-US"/>
        </w:rPr>
      </w:pPr>
      <w:r w:rsidRPr="003E593E">
        <w:rPr>
          <w:rFonts w:eastAsia="Calibri"/>
          <w:szCs w:val="22"/>
          <w:lang w:val="en-AU" w:eastAsia="en-US"/>
        </w:rPr>
        <w:t>b) Life-cycle analysis: Performance requirements in EESL programs tend to be informed by least-life-cycle cost analysis, either formally or informally.  The varying national inputs for this type of analysis will differ and therefore change the determination of the economically efficient energy performance level.  For example, the relative cost of energy and different usage patterns vary by region and are likely to have an impact on the life-cycle analysis.</w:t>
      </w:r>
    </w:p>
    <w:p w14:paraId="522812E6" w14:textId="77777777" w:rsidR="003E593E" w:rsidRDefault="003E593E" w:rsidP="009F4031">
      <w:pPr>
        <w:pStyle w:val="ColorfulList-Accent12"/>
        <w:ind w:left="0"/>
      </w:pPr>
    </w:p>
    <w:p w14:paraId="6669F2EB" w14:textId="77777777" w:rsidR="00C6702F" w:rsidRDefault="00CE06D9" w:rsidP="009F4031">
      <w:pPr>
        <w:pStyle w:val="ColorfulList-Accent12"/>
        <w:ind w:left="0"/>
      </w:pPr>
      <w:r>
        <w:t xml:space="preserve">The products for which Australian performance standards lag behind other countries’ </w:t>
      </w:r>
      <w:r w:rsidR="00C6702F">
        <w:t>includ</w:t>
      </w:r>
      <w:r>
        <w:t>e</w:t>
      </w:r>
      <w:r w:rsidR="00C6702F">
        <w:t xml:space="preserve"> </w:t>
      </w:r>
      <w:r>
        <w:t xml:space="preserve"> </w:t>
      </w:r>
      <w:r w:rsidR="00C6702F">
        <w:t>refrigerators, lamps, air conditioners, commercial refrigeration</w:t>
      </w:r>
      <w:r w:rsidR="00733E07">
        <w:t>, electric motors</w:t>
      </w:r>
      <w:r w:rsidR="00C6702F">
        <w:t xml:space="preserve"> and standby power</w:t>
      </w:r>
      <w:r w:rsidR="00C6702F">
        <w:rPr>
          <w:rStyle w:val="FootnoteReference"/>
        </w:rPr>
        <w:footnoteReference w:id="119"/>
      </w:r>
      <w:r w:rsidR="00C6702F">
        <w:t xml:space="preserve">. </w:t>
      </w:r>
      <w:r w:rsidR="008877F3">
        <w:t xml:space="preserve"> </w:t>
      </w:r>
      <w:r w:rsidR="00C6702F">
        <w:t xml:space="preserve">These areas should be reviewed to assess the potential in Australia, especially in light of the stakeholder feedback demonstrating industry’s preference to align with international standards where appropriate. </w:t>
      </w:r>
    </w:p>
    <w:p w14:paraId="09991AC2" w14:textId="77777777" w:rsidR="00C6702F" w:rsidRDefault="00D536A2" w:rsidP="009F4031">
      <w:r w:rsidRPr="00C6702F">
        <w:rPr>
          <w:u w:val="single"/>
        </w:rPr>
        <w:t>Stakeholder views</w:t>
      </w:r>
    </w:p>
    <w:p w14:paraId="51A441D8" w14:textId="77777777" w:rsidR="00D536A2" w:rsidRPr="00C6702F" w:rsidRDefault="00C6702F" w:rsidP="009F4031">
      <w:r w:rsidRPr="00C6702F">
        <w:t>Stakeholders were asked whether the right number and types of product groups were covered and whether there should be greater or less coverage and why.</w:t>
      </w:r>
      <w:r w:rsidRPr="00C6702F">
        <w:rPr>
          <w:i/>
        </w:rPr>
        <w:t xml:space="preserve">  </w:t>
      </w:r>
      <w:r w:rsidRPr="00C6702F">
        <w:t xml:space="preserve">They were also asked about stringency, although many found this harder to respond to due to a lack of awareness of how GEMS compares internationally.  </w:t>
      </w:r>
    </w:p>
    <w:p w14:paraId="257ECC3E" w14:textId="77777777" w:rsidR="00C6702F" w:rsidRPr="00D43E1C" w:rsidRDefault="00C6702F" w:rsidP="009F4031">
      <w:r w:rsidRPr="00D43E1C">
        <w:t>M</w:t>
      </w:r>
      <w:r w:rsidR="000D7837" w:rsidRPr="00D43E1C">
        <w:t>ost</w:t>
      </w:r>
      <w:r w:rsidRPr="00D43E1C">
        <w:t xml:space="preserve"> industry respondents</w:t>
      </w:r>
      <w:r w:rsidR="000D7837" w:rsidRPr="00D43E1C">
        <w:t xml:space="preserve"> were only able to talk in detail about the product groups they represented, however most stated that coverage was ‘about right’. </w:t>
      </w:r>
      <w:r w:rsidR="00CC2994">
        <w:t xml:space="preserve"> </w:t>
      </w:r>
      <w:r w:rsidR="00D43E1C" w:rsidRPr="00D43E1C">
        <w:t xml:space="preserve">Some (approximately equal numbers) also stated that there should be greater or less coverage than currently.  </w:t>
      </w:r>
    </w:p>
    <w:p w14:paraId="0C6E3906" w14:textId="77777777" w:rsidR="00D43E1C" w:rsidRPr="00D43E1C" w:rsidRDefault="00D43E1C" w:rsidP="009F4031">
      <w:r w:rsidRPr="00D43E1C">
        <w:rPr>
          <w:i/>
        </w:rPr>
        <w:t>“They have taken the low hanging fruit first; any further changes would add enormous costs without adding gains.”</w:t>
      </w:r>
      <w:r w:rsidR="00314807">
        <w:t xml:space="preserve"> (Industry respondent)</w:t>
      </w:r>
    </w:p>
    <w:p w14:paraId="7B8E4E21" w14:textId="77777777" w:rsidR="00D43E1C" w:rsidRPr="00D43E1C" w:rsidRDefault="00D43E1C" w:rsidP="009F4031">
      <w:pPr>
        <w:rPr>
          <w:i/>
        </w:rPr>
      </w:pPr>
      <w:r w:rsidRPr="00D43E1C">
        <w:rPr>
          <w:i/>
        </w:rPr>
        <w:t xml:space="preserve">“Just about anything that uses electricity should be able to be ranked. </w:t>
      </w:r>
      <w:r w:rsidR="00CC2994">
        <w:rPr>
          <w:i/>
        </w:rPr>
        <w:t xml:space="preserve"> </w:t>
      </w:r>
      <w:r w:rsidRPr="00D43E1C">
        <w:rPr>
          <w:i/>
        </w:rPr>
        <w:t>We are trying to reduce energy usage overall, need a simple scheme that tells people exactly what people use</w:t>
      </w:r>
      <w:r w:rsidR="00CC2994">
        <w:rPr>
          <w:i/>
        </w:rPr>
        <w:t xml:space="preserve"> s</w:t>
      </w:r>
      <w:r w:rsidRPr="00D43E1C">
        <w:rPr>
          <w:i/>
        </w:rPr>
        <w:t xml:space="preserve">o they can make a judgement call.” </w:t>
      </w:r>
      <w:r w:rsidRPr="00D43E1C">
        <w:t>(Industry respondent)</w:t>
      </w:r>
    </w:p>
    <w:p w14:paraId="1D58359C" w14:textId="77777777" w:rsidR="00D43E1C" w:rsidRPr="00D43E1C" w:rsidRDefault="00D43E1C" w:rsidP="009F4031">
      <w:r w:rsidRPr="00D43E1C">
        <w:lastRenderedPageBreak/>
        <w:t>Government respondents (</w:t>
      </w:r>
      <w:r w:rsidR="00377DD5">
        <w:t>s</w:t>
      </w:r>
      <w:r w:rsidRPr="00D43E1C">
        <w:t xml:space="preserve">tate and Commonwealth) </w:t>
      </w:r>
      <w:r w:rsidR="00C92F8C">
        <w:t xml:space="preserve">and energy experts </w:t>
      </w:r>
      <w:r w:rsidRPr="00D43E1C">
        <w:t xml:space="preserve">also tended to state that coverage was broadly sufficient, but there was recognition that more could and should be done.  </w:t>
      </w:r>
    </w:p>
    <w:p w14:paraId="5C0D719E" w14:textId="77777777" w:rsidR="00D43E1C" w:rsidRPr="00C92F8C" w:rsidRDefault="00D43E1C" w:rsidP="009F4031">
      <w:pPr>
        <w:rPr>
          <w:i/>
        </w:rPr>
      </w:pPr>
      <w:r w:rsidRPr="00D43E1C">
        <w:rPr>
          <w:i/>
        </w:rPr>
        <w:t xml:space="preserve">“Australia is not leading - rather moving where the international position and industry is moving. </w:t>
      </w:r>
      <w:r w:rsidR="00CC2994">
        <w:rPr>
          <w:i/>
        </w:rPr>
        <w:t xml:space="preserve"> </w:t>
      </w:r>
      <w:r w:rsidRPr="00D43E1C">
        <w:rPr>
          <w:i/>
        </w:rPr>
        <w:t xml:space="preserve">It </w:t>
      </w:r>
      <w:r w:rsidRPr="00C92F8C">
        <w:rPr>
          <w:i/>
        </w:rPr>
        <w:t xml:space="preserve">could take a more strategic view.” </w:t>
      </w:r>
      <w:r w:rsidR="00314807">
        <w:t>(</w:t>
      </w:r>
      <w:r w:rsidR="00202EA9">
        <w:t>S</w:t>
      </w:r>
      <w:r w:rsidR="00314807">
        <w:t xml:space="preserve">tate </w:t>
      </w:r>
      <w:r w:rsidR="00377DD5">
        <w:t>g</w:t>
      </w:r>
      <w:r w:rsidR="00314807">
        <w:t>overnment respondent)</w:t>
      </w:r>
      <w:r w:rsidRPr="00C92F8C">
        <w:rPr>
          <w:i/>
        </w:rPr>
        <w:t xml:space="preserve"> </w:t>
      </w:r>
    </w:p>
    <w:p w14:paraId="0ACCB356" w14:textId="77777777" w:rsidR="00C92F8C" w:rsidRPr="00C92F8C" w:rsidRDefault="00C92F8C" w:rsidP="009F4031">
      <w:r w:rsidRPr="00C92F8C">
        <w:t xml:space="preserve">Consumer and environmental groups were more in support of extending the program to cover more product groups. </w:t>
      </w:r>
    </w:p>
    <w:p w14:paraId="6A08A429" w14:textId="77777777" w:rsidR="00D43E1C" w:rsidRDefault="00C92F8C" w:rsidP="009F4031">
      <w:r w:rsidRPr="00C92F8C">
        <w:rPr>
          <w:i/>
        </w:rPr>
        <w:t xml:space="preserve">“It is also right that there has been an extension in the scope and that new products are being included.” </w:t>
      </w:r>
      <w:r>
        <w:t>(</w:t>
      </w:r>
      <w:r w:rsidRPr="00C92F8C">
        <w:t>Consumer representative</w:t>
      </w:r>
      <w:r>
        <w:t>)</w:t>
      </w:r>
    </w:p>
    <w:p w14:paraId="688EA264" w14:textId="77777777" w:rsidR="002E6ECE" w:rsidRPr="002E6ECE" w:rsidRDefault="002E6ECE" w:rsidP="009F4031">
      <w:pPr>
        <w:rPr>
          <w:b/>
        </w:rPr>
      </w:pPr>
      <w:r w:rsidRPr="002E6ECE">
        <w:rPr>
          <w:b/>
        </w:rPr>
        <w:t>Additional policy measures</w:t>
      </w:r>
    </w:p>
    <w:p w14:paraId="42F8CCF1" w14:textId="77777777" w:rsidR="002E6ECE" w:rsidRDefault="002E6ECE" w:rsidP="009F4031">
      <w:r>
        <w:t xml:space="preserve">As described </w:t>
      </w:r>
      <w:r w:rsidR="005A5A9F">
        <w:t xml:space="preserve">in </w:t>
      </w:r>
      <w:r w:rsidR="00605607">
        <w:t>S</w:t>
      </w:r>
      <w:r w:rsidR="005A5A9F">
        <w:t xml:space="preserve">ection </w:t>
      </w:r>
      <w:r w:rsidR="005A5A9F">
        <w:fldChar w:fldCharType="begin"/>
      </w:r>
      <w:r w:rsidR="005A5A9F">
        <w:instrText xml:space="preserve"> REF _Ref409212876 \r \h </w:instrText>
      </w:r>
      <w:r w:rsidR="009F4031">
        <w:instrText xml:space="preserve"> \* MERGEFORMAT </w:instrText>
      </w:r>
      <w:r w:rsidR="005A5A9F">
        <w:fldChar w:fldCharType="separate"/>
      </w:r>
      <w:r w:rsidR="00BE13BF">
        <w:t>3.2.1</w:t>
      </w:r>
      <w:r w:rsidR="005A5A9F">
        <w:fldChar w:fldCharType="end"/>
      </w:r>
      <w:r>
        <w:t xml:space="preserve">, exploration of other policy measures was limited to those discussed by stakeholders.  One or two stakeholders noted Australia’s lack of significant support of endorsement </w:t>
      </w:r>
      <w:r w:rsidR="005A5A9F">
        <w:t xml:space="preserve">labelling schemes and pointed out that this is an additional measure which </w:t>
      </w:r>
      <w:r w:rsidR="00A60AF3">
        <w:t xml:space="preserve">could </w:t>
      </w:r>
      <w:r w:rsidR="005A5A9F">
        <w:t xml:space="preserve">help market ‘pull’ towards very energy efficient products. </w:t>
      </w:r>
    </w:p>
    <w:p w14:paraId="5DDB01A1" w14:textId="77777777" w:rsidR="00C92F8C" w:rsidRPr="00C92F8C" w:rsidRDefault="0022272C" w:rsidP="009F4031">
      <w:pPr>
        <w:pStyle w:val="Heading2"/>
        <w:rPr>
          <w:color w:val="auto"/>
        </w:rPr>
      </w:pPr>
      <w:bookmarkStart w:id="74" w:name="_Toc422298395"/>
      <w:r>
        <w:t>Conclusions and recommendations</w:t>
      </w:r>
      <w:bookmarkEnd w:id="74"/>
    </w:p>
    <w:p w14:paraId="35DA73A7" w14:textId="77777777" w:rsidR="00F07537" w:rsidRPr="00EC4D28" w:rsidRDefault="00F07537" w:rsidP="009F4031">
      <w:pPr>
        <w:pStyle w:val="Heading3"/>
      </w:pPr>
      <w:bookmarkStart w:id="75" w:name="_Toc422298396"/>
      <w:r w:rsidRPr="00EC4D28">
        <w:t>Conclusions</w:t>
      </w:r>
      <w:bookmarkEnd w:id="75"/>
    </w:p>
    <w:p w14:paraId="1893924E" w14:textId="77777777" w:rsidR="00F63619" w:rsidRDefault="00F63619" w:rsidP="00F63619">
      <w:r>
        <w:rPr>
          <w:b/>
        </w:rPr>
        <w:t>Program outcomes</w:t>
      </w:r>
      <w:r>
        <w:t xml:space="preserve">:  </w:t>
      </w:r>
      <w:r w:rsidR="004D32B9">
        <w:t>DoIS</w:t>
      </w:r>
      <w:r w:rsidR="00882DA9">
        <w:t>’s</w:t>
      </w:r>
      <w:r w:rsidR="004D32B9">
        <w:t xml:space="preserve"> </w:t>
      </w:r>
      <w:r w:rsidR="00882DA9">
        <w:t>impact analysis</w:t>
      </w:r>
      <w:r w:rsidR="004D32B9">
        <w:t xml:space="preserve"> indicate that </w:t>
      </w:r>
      <w:r w:rsidRPr="000E6047">
        <w:t xml:space="preserve">significant </w:t>
      </w:r>
      <w:r>
        <w:t xml:space="preserve">and cost effective </w:t>
      </w:r>
      <w:r w:rsidRPr="000E6047">
        <w:t xml:space="preserve">savings have been achieved </w:t>
      </w:r>
      <w:r>
        <w:t xml:space="preserve">by the program, saving </w:t>
      </w:r>
      <w:r w:rsidRPr="000E6047">
        <w:t>householders and businesses</w:t>
      </w:r>
      <w:r>
        <w:t xml:space="preserve"> money</w:t>
      </w:r>
      <w:r>
        <w:rPr>
          <w:rStyle w:val="FootnoteReference"/>
        </w:rPr>
        <w:footnoteReference w:id="120"/>
      </w:r>
      <w:r w:rsidRPr="000E6047">
        <w:t xml:space="preserve">. </w:t>
      </w:r>
      <w:r>
        <w:t xml:space="preserve"> The majority of savings are likely to have been delivered by MEPS (and associated compliance activities).  Whilst it is challenging to find useful comparators, GEMS savings compare reasonably well to other schemes.  Notwithstanding this, the review found opportunities for the program to achieve further savings, by extending the range of products covered and/or setting more stringent standards for currently regulated products.  </w:t>
      </w:r>
    </w:p>
    <w:p w14:paraId="70607C7F" w14:textId="77777777" w:rsidR="00F63619" w:rsidRDefault="00F63619" w:rsidP="00F63619">
      <w:r w:rsidRPr="00B21DA9">
        <w:rPr>
          <w:b/>
        </w:rPr>
        <w:t>Impact on consumers and industry</w:t>
      </w:r>
      <w:r>
        <w:t xml:space="preserve">:  </w:t>
      </w:r>
      <w:r w:rsidR="00363E40">
        <w:t xml:space="preserve">There is evidence that consumers use the information provided in the form of energy labels on appliances.  </w:t>
      </w:r>
      <w:r>
        <w:t>There is l</w:t>
      </w:r>
      <w:r w:rsidRPr="00B21DA9">
        <w:t xml:space="preserve">ittle evidence to suggest that </w:t>
      </w:r>
      <w:r>
        <w:t>consumers h</w:t>
      </w:r>
      <w:r w:rsidRPr="00B21DA9">
        <w:t>ave been significantly negatively impacted by increased product prices and/or reduced choice as a result of the program</w:t>
      </w:r>
      <w:r>
        <w:t xml:space="preserve">.  </w:t>
      </w:r>
      <w:r w:rsidRPr="003730E7">
        <w:t>There are costs to industry in delivering the program, however only a minor proportion is born by domestic industry.  Overall the costs are significantly outweighed by energy bill savings, experienced by consumers and businesses.</w:t>
      </w:r>
    </w:p>
    <w:p w14:paraId="4094FCE3" w14:textId="77777777" w:rsidR="00F07537" w:rsidRPr="00EC4D28" w:rsidRDefault="00F07537" w:rsidP="009F4031">
      <w:pPr>
        <w:pStyle w:val="Heading3"/>
      </w:pPr>
      <w:bookmarkStart w:id="76" w:name="_Toc412881302"/>
      <w:bookmarkStart w:id="77" w:name="_Toc422298397"/>
      <w:bookmarkEnd w:id="76"/>
      <w:r w:rsidRPr="00EC4D28">
        <w:t>Recommendations</w:t>
      </w:r>
      <w:bookmarkEnd w:id="77"/>
    </w:p>
    <w:p w14:paraId="2EB667E8" w14:textId="77777777" w:rsidR="00363E40" w:rsidRPr="00363E40" w:rsidRDefault="00363E40" w:rsidP="00363E40">
      <w:pPr>
        <w:spacing w:after="0"/>
        <w:rPr>
          <w:rFonts w:cs="Calibri"/>
          <w:szCs w:val="24"/>
        </w:rPr>
      </w:pPr>
      <w:r w:rsidRPr="00363E40">
        <w:rPr>
          <w:rFonts w:cs="Calibri"/>
          <w:szCs w:val="24"/>
        </w:rPr>
        <w:t>Existing product specific work should continue but areas for improvement include</w:t>
      </w:r>
      <w:r w:rsidR="00CC2994">
        <w:rPr>
          <w:rFonts w:cs="Calibri"/>
          <w:szCs w:val="24"/>
        </w:rPr>
        <w:t>:</w:t>
      </w:r>
    </w:p>
    <w:p w14:paraId="26BD0826" w14:textId="77777777" w:rsidR="00363E40" w:rsidRPr="00363E40" w:rsidRDefault="00363E40" w:rsidP="00F73404">
      <w:pPr>
        <w:pStyle w:val="ListParagraph"/>
        <w:numPr>
          <w:ilvl w:val="0"/>
          <w:numId w:val="67"/>
        </w:numPr>
        <w:spacing w:after="0"/>
        <w:rPr>
          <w:rFonts w:cs="Calibri"/>
          <w:szCs w:val="24"/>
        </w:rPr>
      </w:pPr>
      <w:r w:rsidRPr="00363E40">
        <w:rPr>
          <w:rFonts w:cs="Calibri"/>
          <w:szCs w:val="24"/>
          <w:u w:val="single"/>
        </w:rPr>
        <w:t>Improving the evidence base</w:t>
      </w:r>
      <w:r w:rsidRPr="00363E40">
        <w:rPr>
          <w:rFonts w:cs="Calibri"/>
          <w:szCs w:val="24"/>
        </w:rPr>
        <w:t>:  The program should undertake further outcome evaluation studies to improve the evidence on program savings and cost effectiveness.</w:t>
      </w:r>
      <w:r w:rsidR="00CC2994">
        <w:rPr>
          <w:rFonts w:cs="Calibri"/>
          <w:szCs w:val="24"/>
        </w:rPr>
        <w:t xml:space="preserve"> </w:t>
      </w:r>
      <w:r w:rsidRPr="00363E40">
        <w:rPr>
          <w:rFonts w:cs="Calibri"/>
          <w:szCs w:val="24"/>
        </w:rPr>
        <w:t xml:space="preserve"> In particular, this should continue to focus on actual market impacts rather than projections and isolating the impact of the program from other factors.  Furthermore, it would be useful to better understand the impacts of labelling through further research in order to help understand the costs and benefits of labelling vs. MEPS.</w:t>
      </w:r>
    </w:p>
    <w:p w14:paraId="3CEE5D9E" w14:textId="77777777" w:rsidR="00363E40" w:rsidRPr="00363E40" w:rsidRDefault="00363E40" w:rsidP="00363E40">
      <w:pPr>
        <w:pStyle w:val="ListParagraph"/>
        <w:spacing w:after="0"/>
        <w:rPr>
          <w:rFonts w:cs="Calibri"/>
          <w:szCs w:val="24"/>
        </w:rPr>
      </w:pPr>
    </w:p>
    <w:p w14:paraId="1F8A38A3" w14:textId="77777777" w:rsidR="00363E40" w:rsidRPr="00363E40" w:rsidRDefault="00363E40" w:rsidP="00F73404">
      <w:pPr>
        <w:pStyle w:val="ListParagraph"/>
        <w:numPr>
          <w:ilvl w:val="0"/>
          <w:numId w:val="67"/>
        </w:numPr>
        <w:spacing w:after="0"/>
        <w:rPr>
          <w:rFonts w:cs="Calibri"/>
          <w:szCs w:val="24"/>
        </w:rPr>
      </w:pPr>
      <w:r w:rsidRPr="00363E40">
        <w:rPr>
          <w:rFonts w:cs="Calibri"/>
          <w:szCs w:val="24"/>
          <w:u w:val="single"/>
        </w:rPr>
        <w:t>Increasing impacts</w:t>
      </w:r>
      <w:r w:rsidRPr="00363E40">
        <w:rPr>
          <w:rFonts w:cs="Calibri"/>
          <w:szCs w:val="24"/>
        </w:rPr>
        <w:t>:  The program should:</w:t>
      </w:r>
    </w:p>
    <w:p w14:paraId="14AB8E93" w14:textId="77777777" w:rsidR="00363E40" w:rsidRPr="00363E40" w:rsidRDefault="00363E40" w:rsidP="00F73404">
      <w:pPr>
        <w:pStyle w:val="ListParagraph"/>
        <w:numPr>
          <w:ilvl w:val="1"/>
          <w:numId w:val="67"/>
        </w:numPr>
        <w:spacing w:after="0"/>
        <w:rPr>
          <w:rFonts w:cs="Calibri"/>
          <w:szCs w:val="24"/>
        </w:rPr>
      </w:pPr>
      <w:r w:rsidRPr="00363E40">
        <w:rPr>
          <w:rFonts w:cs="Calibri"/>
          <w:szCs w:val="24"/>
        </w:rPr>
        <w:t>Implement MEPS and labelling for planned products groups and consider further broadening coverage of product groups</w:t>
      </w:r>
      <w:r w:rsidR="00377DD5">
        <w:rPr>
          <w:rFonts w:cs="Calibri"/>
          <w:szCs w:val="24"/>
        </w:rPr>
        <w:t>;</w:t>
      </w:r>
      <w:r w:rsidRPr="00363E40">
        <w:rPr>
          <w:rFonts w:cs="Calibri"/>
          <w:szCs w:val="24"/>
        </w:rPr>
        <w:t xml:space="preserve"> </w:t>
      </w:r>
    </w:p>
    <w:p w14:paraId="14894A36" w14:textId="77777777" w:rsidR="00363E40" w:rsidRPr="00363E40" w:rsidRDefault="00363E40" w:rsidP="00F73404">
      <w:pPr>
        <w:pStyle w:val="ListParagraph"/>
        <w:numPr>
          <w:ilvl w:val="1"/>
          <w:numId w:val="67"/>
        </w:numPr>
        <w:spacing w:after="0"/>
        <w:rPr>
          <w:rFonts w:cs="Calibri"/>
          <w:szCs w:val="24"/>
        </w:rPr>
      </w:pPr>
      <w:r w:rsidRPr="00363E40">
        <w:rPr>
          <w:rFonts w:cs="Calibri"/>
          <w:szCs w:val="24"/>
        </w:rPr>
        <w:t>Increase the stringency of standards for existing product groups</w:t>
      </w:r>
      <w:r w:rsidR="00377DD5">
        <w:rPr>
          <w:rFonts w:cs="Calibri"/>
          <w:szCs w:val="24"/>
        </w:rPr>
        <w:t>; and</w:t>
      </w:r>
      <w:r w:rsidRPr="00363E40">
        <w:rPr>
          <w:rFonts w:cs="Calibri"/>
          <w:szCs w:val="24"/>
        </w:rPr>
        <w:t xml:space="preserve">  </w:t>
      </w:r>
    </w:p>
    <w:p w14:paraId="71F0C4EB" w14:textId="77777777" w:rsidR="00363E40" w:rsidRPr="008308DA" w:rsidRDefault="00363E40" w:rsidP="00F73404">
      <w:pPr>
        <w:pStyle w:val="ListParagraph"/>
        <w:numPr>
          <w:ilvl w:val="1"/>
          <w:numId w:val="63"/>
        </w:numPr>
        <w:spacing w:after="0"/>
        <w:rPr>
          <w:rFonts w:cs="Calibri"/>
          <w:szCs w:val="24"/>
        </w:rPr>
      </w:pPr>
      <w:r w:rsidRPr="00363E40">
        <w:rPr>
          <w:rFonts w:cs="Calibri"/>
          <w:szCs w:val="24"/>
        </w:rPr>
        <w:t>Give consideration to the further use of endorsement labelling</w:t>
      </w:r>
      <w:r w:rsidR="006518FA">
        <w:rPr>
          <w:rFonts w:cs="Calibri"/>
          <w:szCs w:val="24"/>
        </w:rPr>
        <w:t>,</w:t>
      </w:r>
      <w:r w:rsidR="008308DA" w:rsidRPr="008308DA">
        <w:rPr>
          <w:rFonts w:cs="Calibri"/>
          <w:szCs w:val="24"/>
        </w:rPr>
        <w:t xml:space="preserve"> </w:t>
      </w:r>
      <w:r w:rsidR="008308DA">
        <w:rPr>
          <w:rFonts w:cs="Calibri"/>
          <w:szCs w:val="24"/>
        </w:rPr>
        <w:t>where it can be demonstrated that this would add value to the Program.</w:t>
      </w:r>
      <w:r w:rsidR="00534202">
        <w:rPr>
          <w:rFonts w:cs="Calibri"/>
          <w:szCs w:val="24"/>
        </w:rPr>
        <w:t xml:space="preserve"> </w:t>
      </w:r>
    </w:p>
    <w:p w14:paraId="3CBF5A44" w14:textId="77777777" w:rsidR="00363E40" w:rsidRPr="00363E40" w:rsidRDefault="00363E40" w:rsidP="00363E40">
      <w:pPr>
        <w:spacing w:after="0"/>
        <w:rPr>
          <w:rFonts w:cs="Calibri"/>
          <w:i/>
          <w:szCs w:val="24"/>
        </w:rPr>
      </w:pPr>
    </w:p>
    <w:p w14:paraId="13F6B5F4" w14:textId="77777777" w:rsidR="00785249" w:rsidRDefault="005F0778" w:rsidP="00565E13">
      <w:pPr>
        <w:pStyle w:val="Heading1"/>
      </w:pPr>
      <w:bookmarkStart w:id="78" w:name="_Ref405711113"/>
      <w:r>
        <w:br w:type="page"/>
      </w:r>
      <w:bookmarkStart w:id="79" w:name="_Ref409209302"/>
      <w:bookmarkStart w:id="80" w:name="_Toc422298398"/>
      <w:r w:rsidR="001754B8">
        <w:rPr>
          <w:lang w:val="en-GB"/>
        </w:rPr>
        <w:lastRenderedPageBreak/>
        <w:t xml:space="preserve">Findings:  </w:t>
      </w:r>
      <w:r w:rsidR="00785249" w:rsidRPr="00D22E8A">
        <w:t xml:space="preserve">How could the existing process be made more </w:t>
      </w:r>
      <w:r w:rsidR="002108E0">
        <w:t>efficient</w:t>
      </w:r>
      <w:r w:rsidR="00785249" w:rsidRPr="00D22E8A">
        <w:t>, whilst maintaining an even market for all competitors and achieving an appropriate level of risk control?</w:t>
      </w:r>
      <w:bookmarkEnd w:id="78"/>
      <w:bookmarkEnd w:id="79"/>
      <w:bookmarkEnd w:id="80"/>
      <w:r w:rsidR="00E0169F">
        <w:t xml:space="preserve"> </w:t>
      </w:r>
    </w:p>
    <w:p w14:paraId="7AAEFD8C" w14:textId="77777777" w:rsidR="00144C04" w:rsidRPr="008271BB" w:rsidRDefault="00F47E10" w:rsidP="009F4031">
      <w:pPr>
        <w:spacing w:after="0"/>
      </w:pPr>
      <w:r w:rsidRPr="008271BB">
        <w:t xml:space="preserve">This section considers </w:t>
      </w:r>
      <w:r w:rsidR="00144C04" w:rsidRPr="008271BB">
        <w:t>each major element of the program as it curr</w:t>
      </w:r>
      <w:r w:rsidRPr="008271BB">
        <w:t>ently operates</w:t>
      </w:r>
      <w:r w:rsidR="002F5F05">
        <w:t xml:space="preserve"> (IGA, </w:t>
      </w:r>
      <w:r w:rsidR="006518FA">
        <w:t xml:space="preserve">the </w:t>
      </w:r>
      <w:r w:rsidR="002F5F05">
        <w:t>Act and Program Administration)</w:t>
      </w:r>
      <w:r w:rsidR="00377DD5">
        <w:t>,</w:t>
      </w:r>
      <w:r w:rsidRPr="008271BB">
        <w:t xml:space="preserve"> and explores</w:t>
      </w:r>
      <w:r w:rsidR="006659DC" w:rsidRPr="008271BB">
        <w:t>:</w:t>
      </w:r>
    </w:p>
    <w:p w14:paraId="2641CEA2" w14:textId="77777777" w:rsidR="00144C04" w:rsidRPr="008271BB" w:rsidRDefault="00F47E10" w:rsidP="00320FDC">
      <w:pPr>
        <w:numPr>
          <w:ilvl w:val="0"/>
          <w:numId w:val="58"/>
        </w:numPr>
        <w:spacing w:after="0"/>
        <w:ind w:left="426"/>
      </w:pPr>
      <w:r w:rsidRPr="008271BB">
        <w:t xml:space="preserve">The </w:t>
      </w:r>
      <w:r w:rsidR="00144C04" w:rsidRPr="008271BB">
        <w:t>effectiveness</w:t>
      </w:r>
      <w:r w:rsidRPr="008271BB">
        <w:t xml:space="preserve"> of the program – </w:t>
      </w:r>
      <w:r w:rsidR="00CC2994">
        <w:t>considering</w:t>
      </w:r>
      <w:r w:rsidR="00CC2994" w:rsidRPr="008271BB">
        <w:t xml:space="preserve"> </w:t>
      </w:r>
      <w:r w:rsidRPr="008271BB">
        <w:t xml:space="preserve">how well outcomes are achieved through </w:t>
      </w:r>
      <w:r w:rsidR="00FC1094" w:rsidRPr="008271BB">
        <w:t>the current framework and implementation process</w:t>
      </w:r>
      <w:r w:rsidR="00534202">
        <w:t>;</w:t>
      </w:r>
    </w:p>
    <w:p w14:paraId="45A0F08C" w14:textId="77777777" w:rsidR="00FC1094" w:rsidRPr="008271BB" w:rsidRDefault="00377DD5" w:rsidP="00320FDC">
      <w:pPr>
        <w:numPr>
          <w:ilvl w:val="0"/>
          <w:numId w:val="58"/>
        </w:numPr>
        <w:spacing w:after="0"/>
        <w:ind w:left="426"/>
      </w:pPr>
      <w:r>
        <w:t>O</w:t>
      </w:r>
      <w:r w:rsidR="00144C04" w:rsidRPr="008271BB">
        <w:t xml:space="preserve">pportunities to improve efficiency – </w:t>
      </w:r>
      <w:r w:rsidR="00FC1094" w:rsidRPr="008271BB">
        <w:t xml:space="preserve">including </w:t>
      </w:r>
      <w:r w:rsidR="00144C04" w:rsidRPr="008271BB">
        <w:t>reducing regulatory burden without compromising key fundamental criteria, such as retaining an even market for all and an appropriate level of risk control</w:t>
      </w:r>
      <w:r>
        <w:t>; and</w:t>
      </w:r>
    </w:p>
    <w:p w14:paraId="4A390094" w14:textId="77777777" w:rsidR="00F47E10" w:rsidRPr="008271BB" w:rsidRDefault="00377DD5" w:rsidP="00421924">
      <w:pPr>
        <w:spacing w:after="0"/>
        <w:ind w:left="66"/>
      </w:pPr>
      <w:r>
        <w:t>3. O</w:t>
      </w:r>
      <w:r w:rsidR="00F47E10" w:rsidRPr="008271BB">
        <w:t>pportunities to improve effectiveness which could lead to improved outcomes.</w:t>
      </w:r>
    </w:p>
    <w:p w14:paraId="07D7FFD1" w14:textId="77777777" w:rsidR="006326E2" w:rsidRDefault="006326E2" w:rsidP="009F4031">
      <w:pPr>
        <w:spacing w:after="0"/>
      </w:pPr>
    </w:p>
    <w:p w14:paraId="047DA46F" w14:textId="77777777" w:rsidR="00F47E10" w:rsidRPr="008271BB" w:rsidRDefault="00144C04" w:rsidP="009F4031">
      <w:pPr>
        <w:spacing w:after="0"/>
      </w:pPr>
      <w:r w:rsidRPr="006326E2">
        <w:t>Th</w:t>
      </w:r>
      <w:r w:rsidR="006659DC" w:rsidRPr="006326E2">
        <w:t>is</w:t>
      </w:r>
      <w:r w:rsidRPr="006326E2">
        <w:t xml:space="preserve"> section is split into </w:t>
      </w:r>
      <w:r w:rsidR="00F47E10" w:rsidRPr="006326E2">
        <w:t>three</w:t>
      </w:r>
      <w:r w:rsidRPr="006326E2">
        <w:t xml:space="preserve"> sub-sections</w:t>
      </w:r>
      <w:r w:rsidR="00CC2994">
        <w:t xml:space="preserve">: </w:t>
      </w:r>
      <w:r w:rsidRPr="006326E2">
        <w:t xml:space="preserve"> </w:t>
      </w:r>
      <w:r w:rsidR="00CC2994">
        <w:t>t</w:t>
      </w:r>
      <w:r w:rsidRPr="006326E2">
        <w:t xml:space="preserve">he first </w:t>
      </w:r>
      <w:r w:rsidR="00F47E10" w:rsidRPr="006326E2">
        <w:t xml:space="preserve">reviews </w:t>
      </w:r>
      <w:r w:rsidRPr="006326E2">
        <w:t xml:space="preserve">the </w:t>
      </w:r>
      <w:r w:rsidR="0082004D" w:rsidRPr="00202EA9">
        <w:t xml:space="preserve">IGA, </w:t>
      </w:r>
      <w:r w:rsidR="00F47E10" w:rsidRPr="00202EA9">
        <w:t>followed by the Regulations (the Act</w:t>
      </w:r>
      <w:r w:rsidR="00F47E10" w:rsidRPr="006326E2">
        <w:t>) and finally, the administration</w:t>
      </w:r>
      <w:r w:rsidR="00F47E10" w:rsidRPr="008271BB">
        <w:t xml:space="preserve"> of the E3 program.  </w:t>
      </w:r>
      <w:r w:rsidR="00C8132C" w:rsidRPr="008271BB">
        <w:t xml:space="preserve">Each section explores each of the three areas above, drawing on both primary and secondary evidence (both national and international) to inform conclusions and recommendations relevant for GEMS.  As these sections focus on more detailed aspects of the scheme, the review draws more on national evidence than the preceding sections.  </w:t>
      </w:r>
    </w:p>
    <w:p w14:paraId="6319EFF1" w14:textId="77777777" w:rsidR="00C54252" w:rsidRPr="00202EA9" w:rsidRDefault="00C54252" w:rsidP="00903EE2">
      <w:pPr>
        <w:pStyle w:val="Heading2"/>
        <w:ind w:left="431" w:hanging="578"/>
      </w:pPr>
      <w:bookmarkStart w:id="81" w:name="_Toc422298399"/>
      <w:bookmarkStart w:id="82" w:name="_Ref409337818"/>
      <w:bookmarkStart w:id="83" w:name="_Ref405384480"/>
      <w:r w:rsidRPr="00202EA9">
        <w:t>The IGA</w:t>
      </w:r>
      <w:bookmarkEnd w:id="81"/>
    </w:p>
    <w:p w14:paraId="7516E489" w14:textId="77777777" w:rsidR="003A2871" w:rsidRPr="00377DD5" w:rsidRDefault="00377DD5" w:rsidP="003A2871">
      <w:bookmarkStart w:id="84" w:name="_Toc412881311"/>
      <w:bookmarkStart w:id="85" w:name="_Toc412881312"/>
      <w:bookmarkStart w:id="86" w:name="_Ref409255044"/>
      <w:bookmarkEnd w:id="82"/>
      <w:bookmarkEnd w:id="84"/>
      <w:bookmarkEnd w:id="85"/>
      <w:r w:rsidRPr="00377DD5">
        <w:t>This section explores key aspects of the IGA, drawing on evidence from the agreement itself, discussions with stakeholders involved, in particular those on the E3 Committee and DoIS</w:t>
      </w:r>
      <w:r w:rsidR="00CC2994">
        <w:t>,</w:t>
      </w:r>
      <w:r w:rsidRPr="00377DD5">
        <w:t xml:space="preserve"> and review of international schemes.  </w:t>
      </w:r>
      <w:r w:rsidR="00EC23DC">
        <w:t>It explores the g</w:t>
      </w:r>
      <w:r w:rsidR="00EC23DC" w:rsidRPr="00377DD5">
        <w:t>overnance structures in place, decision making processes and their effectiveness</w:t>
      </w:r>
      <w:r w:rsidR="00EC23DC">
        <w:t>.  F</w:t>
      </w:r>
      <w:r w:rsidR="00EC23DC" w:rsidRPr="00377DD5">
        <w:t xml:space="preserve">unding and administration are </w:t>
      </w:r>
      <w:r w:rsidR="00EC23DC">
        <w:t xml:space="preserve">not included here as they are </w:t>
      </w:r>
      <w:r w:rsidR="00EC23DC" w:rsidRPr="00377DD5">
        <w:t xml:space="preserve">covered </w:t>
      </w:r>
      <w:r w:rsidR="00EC23DC">
        <w:t>in Section 7.3 and 7</w:t>
      </w:r>
      <w:r w:rsidR="003A2871">
        <w:t>.4.</w:t>
      </w:r>
    </w:p>
    <w:p w14:paraId="0A4A62DE" w14:textId="77777777" w:rsidR="001F2AF0" w:rsidRDefault="00377DD5" w:rsidP="003A2871">
      <w:r w:rsidRPr="00377DD5">
        <w:t xml:space="preserve">As described in </w:t>
      </w:r>
      <w:r w:rsidR="00202EA9">
        <w:t>S</w:t>
      </w:r>
      <w:r w:rsidRPr="00377DD5">
        <w:t>ection</w:t>
      </w:r>
      <w:r w:rsidR="006326E2">
        <w:t xml:space="preserve"> </w:t>
      </w:r>
      <w:r w:rsidR="006326E2">
        <w:fldChar w:fldCharType="begin"/>
      </w:r>
      <w:r w:rsidR="006326E2">
        <w:instrText xml:space="preserve"> REF _Ref413349207 \r \h </w:instrText>
      </w:r>
      <w:r w:rsidR="006326E2">
        <w:fldChar w:fldCharType="separate"/>
      </w:r>
      <w:r w:rsidR="00BE13BF">
        <w:t>3</w:t>
      </w:r>
      <w:r w:rsidR="006326E2">
        <w:fldChar w:fldCharType="end"/>
      </w:r>
      <w:r w:rsidRPr="00377DD5">
        <w:t>, the IGA forms the basis for a Commonwealth</w:t>
      </w:r>
      <w:r w:rsidR="00CC2994">
        <w:t>-</w:t>
      </w:r>
      <w:r w:rsidRPr="00377DD5">
        <w:t>led appliance energy efficiency standards and labelling program in A</w:t>
      </w:r>
      <w:r w:rsidR="00BA2352">
        <w:t xml:space="preserve">ustralia. </w:t>
      </w:r>
      <w:r w:rsidR="00CC2994">
        <w:t xml:space="preserve"> </w:t>
      </w:r>
      <w:r w:rsidR="00BA2352">
        <w:t>The IGA sets out the g</w:t>
      </w:r>
      <w:r w:rsidRPr="00377DD5">
        <w:t xml:space="preserve">overnance structures, principles for developing new or revised GEMS requirements, funding and administrative arrangements on which the program is based.  </w:t>
      </w:r>
    </w:p>
    <w:p w14:paraId="62BFA54E" w14:textId="77777777" w:rsidR="00BA2352" w:rsidRDefault="00BA2352" w:rsidP="001F2AF0">
      <w:pPr>
        <w:pStyle w:val="Heading3"/>
      </w:pPr>
      <w:bookmarkStart w:id="87" w:name="_Toc422298400"/>
      <w:r>
        <w:t>Limitations</w:t>
      </w:r>
      <w:bookmarkEnd w:id="87"/>
    </w:p>
    <w:p w14:paraId="6D358630" w14:textId="77777777" w:rsidR="00BA2352" w:rsidRPr="00251EC8" w:rsidRDefault="00BA2352" w:rsidP="00DB5AA0">
      <w:pPr>
        <w:rPr>
          <w:b/>
          <w:bCs/>
          <w:color w:val="BE78E6"/>
          <w:sz w:val="24"/>
        </w:rPr>
      </w:pPr>
      <w:r w:rsidRPr="00377DD5">
        <w:rPr>
          <w:u w:val="single"/>
        </w:rPr>
        <w:t>Reliance on a limited range of stakeholder views</w:t>
      </w:r>
      <w:r w:rsidRPr="00377DD5">
        <w:t>:  Whilst some ev</w:t>
      </w:r>
      <w:r>
        <w:t xml:space="preserve">idence and insight can be drawn </w:t>
      </w:r>
      <w:r w:rsidRPr="00377DD5">
        <w:t xml:space="preserve">from experience of </w:t>
      </w:r>
      <w:r w:rsidR="00CC2994">
        <w:t>g</w:t>
      </w:r>
      <w:r w:rsidRPr="00377DD5">
        <w:t xml:space="preserve">overnance structures of other schemes, the issues discussed are very specific to GEMS, so rely heavily on </w:t>
      </w:r>
      <w:r w:rsidR="00EC23DC">
        <w:t xml:space="preserve">the </w:t>
      </w:r>
      <w:r w:rsidRPr="00377DD5">
        <w:t xml:space="preserve">views of stakeholders.  There are risks associated with this as stakeholder responses are limited by their knowledge and awareness, and also have the potential to be affected by bias.  </w:t>
      </w:r>
      <w:r w:rsidR="00EC23DC">
        <w:t xml:space="preserve">In this case, </w:t>
      </w:r>
      <w:r w:rsidRPr="00377DD5">
        <w:t>only a relatively limited sub-set of the stakeholders interviewed within the review had the necessary awareness knowledge, experience to discuss the IGA and governance structures in depth</w:t>
      </w:r>
      <w:r w:rsidR="00EC23DC">
        <w:t xml:space="preserve">.  </w:t>
      </w:r>
      <w:r w:rsidRPr="00377DD5">
        <w:t>It was also not possible to discuss the views of the Northern Territory (which has not signed the IGA), as it did not participate in the review.</w:t>
      </w:r>
    </w:p>
    <w:p w14:paraId="3969CC02" w14:textId="77777777" w:rsidR="00377DD5" w:rsidRPr="00377DD5" w:rsidRDefault="00377DD5" w:rsidP="00202EA9">
      <w:pPr>
        <w:pStyle w:val="Heading3"/>
      </w:pPr>
      <w:bookmarkStart w:id="88" w:name="_Toc409466377"/>
      <w:bookmarkStart w:id="89" w:name="_Toc422298401"/>
      <w:r w:rsidRPr="00377DD5">
        <w:lastRenderedPageBreak/>
        <w:t>Governance</w:t>
      </w:r>
      <w:bookmarkEnd w:id="88"/>
      <w:bookmarkEnd w:id="89"/>
    </w:p>
    <w:p w14:paraId="2AC44A36" w14:textId="77777777" w:rsidR="00377DD5" w:rsidRPr="00377DD5" w:rsidRDefault="00377DD5" w:rsidP="00377DD5">
      <w:r w:rsidRPr="00377DD5">
        <w:t>Is</w:t>
      </w:r>
      <w:r w:rsidR="00BA2352">
        <w:t>sues discussed with regards to g</w:t>
      </w:r>
      <w:r w:rsidRPr="00377DD5">
        <w:t xml:space="preserve">overnance of the program were set within the context of international good practice </w:t>
      </w:r>
      <w:r w:rsidR="00BA2352">
        <w:t>guidance on g</w:t>
      </w:r>
      <w:r w:rsidRPr="00377DD5">
        <w:t xml:space="preserve">overnance of standards and labelling programs, discussed in </w:t>
      </w:r>
      <w:r w:rsidR="00300314">
        <w:t>S</w:t>
      </w:r>
      <w:r w:rsidRPr="00377DD5">
        <w:t>ection</w:t>
      </w:r>
      <w:r w:rsidR="006326E2">
        <w:t xml:space="preserve"> </w:t>
      </w:r>
      <w:r w:rsidR="006326E2">
        <w:fldChar w:fldCharType="begin"/>
      </w:r>
      <w:r w:rsidR="006326E2">
        <w:instrText xml:space="preserve"> REF _Ref405384733 \r \h </w:instrText>
      </w:r>
      <w:r w:rsidR="006326E2">
        <w:fldChar w:fldCharType="separate"/>
      </w:r>
      <w:r w:rsidR="00BE13BF">
        <w:t>5.3</w:t>
      </w:r>
      <w:r w:rsidR="006326E2">
        <w:fldChar w:fldCharType="end"/>
      </w:r>
      <w:r w:rsidRPr="00377DD5">
        <w:t>, in particular the invol</w:t>
      </w:r>
      <w:r w:rsidR="00BA2352">
        <w:t>vement of different ‘levels of g</w:t>
      </w:r>
      <w:r w:rsidRPr="00377DD5">
        <w:t xml:space="preserve">overnment’ in design and administration. </w:t>
      </w:r>
      <w:r w:rsidR="00CC2994">
        <w:t xml:space="preserve"> </w:t>
      </w:r>
      <w:r w:rsidRPr="00377DD5">
        <w:t>In this context, the IGA is the agreement which sets out the change from a multi-jurisdiction (nationally co-ordinated) program to a Commonwealth-led program, with decision making and funding from the Commonwealth,</w:t>
      </w:r>
      <w:r w:rsidR="00967DB5">
        <w:t xml:space="preserve"> and participating</w:t>
      </w:r>
      <w:r w:rsidRPr="00377DD5">
        <w:t xml:space="preserve"> states and territories.</w:t>
      </w:r>
    </w:p>
    <w:p w14:paraId="475FB928" w14:textId="77777777" w:rsidR="00377DD5" w:rsidRPr="00377DD5" w:rsidRDefault="00377DD5" w:rsidP="00377DD5">
      <w:pPr>
        <w:rPr>
          <w:b/>
        </w:rPr>
      </w:pPr>
      <w:r w:rsidRPr="00377DD5">
        <w:rPr>
          <w:b/>
        </w:rPr>
        <w:t>Inter-Jurisdictional Advisory Committee (E3 Committee)</w:t>
      </w:r>
    </w:p>
    <w:p w14:paraId="3E4F0E92" w14:textId="77777777" w:rsidR="00377DD5" w:rsidRPr="00377DD5" w:rsidRDefault="00377DD5" w:rsidP="00377DD5">
      <w:r w:rsidRPr="00377DD5">
        <w:t>The majority of representatives on the committee were supportive of the E3 Committee, operating under the IGA and expressed that it was an effective structure and better than the previous scheme, for a variety of reasons.</w:t>
      </w:r>
    </w:p>
    <w:p w14:paraId="79EEC51C" w14:textId="77777777" w:rsidR="00377DD5" w:rsidRPr="00377DD5" w:rsidRDefault="00377DD5" w:rsidP="00377DD5">
      <w:pPr>
        <w:rPr>
          <w:i/>
        </w:rPr>
      </w:pPr>
      <w:r w:rsidRPr="00377DD5">
        <w:rPr>
          <w:i/>
        </w:rPr>
        <w:t xml:space="preserve">“It has improved - there is only one law and only one date of implementation. </w:t>
      </w:r>
      <w:r w:rsidR="00CC2994">
        <w:rPr>
          <w:i/>
        </w:rPr>
        <w:t xml:space="preserve"> </w:t>
      </w:r>
      <w:r w:rsidRPr="00377DD5">
        <w:rPr>
          <w:i/>
        </w:rPr>
        <w:t>Legislation allows us to do more - but they haven't taken up the options yet (not seeing more products or more compliance, which may be affected by deregulation or budgets)”</w:t>
      </w:r>
      <w:r w:rsidRPr="00377DD5">
        <w:t xml:space="preserve"> (E3 representative)</w:t>
      </w:r>
    </w:p>
    <w:p w14:paraId="580CCDB7" w14:textId="77777777" w:rsidR="00D77EA5" w:rsidRPr="00377DD5" w:rsidRDefault="00377DD5" w:rsidP="00377DD5">
      <w:r w:rsidRPr="00377DD5">
        <w:t xml:space="preserve">However, as shown above there was some mention of the scheme not having taken advantage of the broadened scope the regulations provide for as yet.  </w:t>
      </w:r>
      <w:r w:rsidR="00A33A1B">
        <w:t xml:space="preserve">One example of this is the head of power to require industry to provide sales data for regulated products.  </w:t>
      </w:r>
      <w:r w:rsidR="00882DA9">
        <w:t>A voluntary approach to collecting this information is currently being trialled, whereby industry has agreed to provide it on an ‘as needed’, rather than regular, basis.  If this approach is not successful, data could either be purchased or this provision could be brought into effect</w:t>
      </w:r>
      <w:r w:rsidR="00882DA9" w:rsidRPr="00D1360D">
        <w:rPr>
          <w:rStyle w:val="FootnoteReference"/>
        </w:rPr>
        <w:footnoteReference w:id="121"/>
      </w:r>
      <w:r w:rsidR="00882DA9">
        <w:t xml:space="preserve">.  If this approach does prove successful, then this provision in the Act could be removed.  </w:t>
      </w:r>
    </w:p>
    <w:p w14:paraId="7E3CB9C5" w14:textId="77777777" w:rsidR="00377DD5" w:rsidRPr="00377DD5" w:rsidRDefault="00377DD5" w:rsidP="00377DD5">
      <w:pPr>
        <w:rPr>
          <w:highlight w:val="yellow"/>
        </w:rPr>
      </w:pPr>
      <w:r w:rsidRPr="00377DD5">
        <w:t xml:space="preserve">Some discussed specific aspects of the program and process which were perceived to have become more rigorous as a result of the structure in place.  </w:t>
      </w:r>
    </w:p>
    <w:p w14:paraId="7AAFC807" w14:textId="77777777" w:rsidR="00377DD5" w:rsidRPr="00377DD5" w:rsidRDefault="00377DD5" w:rsidP="00377DD5">
      <w:pPr>
        <w:rPr>
          <w:highlight w:val="yellow"/>
        </w:rPr>
      </w:pPr>
      <w:r w:rsidRPr="00377DD5">
        <w:rPr>
          <w:i/>
        </w:rPr>
        <w:t xml:space="preserve">“The regulatory impact statement is a </w:t>
      </w:r>
      <w:r w:rsidR="00D77EA5">
        <w:rPr>
          <w:i/>
        </w:rPr>
        <w:t>COAG</w:t>
      </w:r>
      <w:r w:rsidR="00CC2994">
        <w:rPr>
          <w:i/>
        </w:rPr>
        <w:t>-</w:t>
      </w:r>
      <w:r w:rsidRPr="00377DD5">
        <w:rPr>
          <w:i/>
        </w:rPr>
        <w:t xml:space="preserve">defined process, and is not defined by the </w:t>
      </w:r>
      <w:r w:rsidR="00BA2352">
        <w:rPr>
          <w:i/>
        </w:rPr>
        <w:t>s</w:t>
      </w:r>
      <w:r w:rsidRPr="00377DD5">
        <w:rPr>
          <w:i/>
        </w:rPr>
        <w:t xml:space="preserve">tates. </w:t>
      </w:r>
      <w:r w:rsidR="00CC2994">
        <w:rPr>
          <w:i/>
        </w:rPr>
        <w:t xml:space="preserve"> </w:t>
      </w:r>
      <w:r w:rsidRPr="00377DD5">
        <w:rPr>
          <w:i/>
        </w:rPr>
        <w:t xml:space="preserve">It is overseen by the Office of Best Practice Regulation - which aims to make sure that the process is rigorous”. </w:t>
      </w:r>
      <w:r w:rsidRPr="00377DD5">
        <w:t xml:space="preserve">(E3 representative)  </w:t>
      </w:r>
    </w:p>
    <w:p w14:paraId="4499B259" w14:textId="77777777" w:rsidR="00377DD5" w:rsidRPr="00377DD5" w:rsidRDefault="00377DD5" w:rsidP="00377DD5">
      <w:r w:rsidRPr="00377DD5">
        <w:t>It was clear</w:t>
      </w:r>
      <w:r w:rsidR="00BA2352">
        <w:t xml:space="preserve"> from the interviews that some s</w:t>
      </w:r>
      <w:r w:rsidRPr="00377DD5">
        <w:t xml:space="preserve">tates and </w:t>
      </w:r>
      <w:r w:rsidR="00BA2352">
        <w:t>t</w:t>
      </w:r>
      <w:r w:rsidRPr="00377DD5">
        <w:t>erritories were more active than others in the program</w:t>
      </w:r>
      <w:r w:rsidR="00BA2352">
        <w:t>.</w:t>
      </w:r>
    </w:p>
    <w:p w14:paraId="575BD945" w14:textId="77777777" w:rsidR="00377DD5" w:rsidRPr="00377DD5" w:rsidRDefault="002373A3" w:rsidP="00377DD5">
      <w:r>
        <w:rPr>
          <w:i/>
        </w:rPr>
        <w:t>“The transition to the f</w:t>
      </w:r>
      <w:r w:rsidR="00377DD5" w:rsidRPr="00377DD5">
        <w:rPr>
          <w:i/>
        </w:rPr>
        <w:t xml:space="preserve">ederal program wasn't a significant change for us.  We haven’t been especially active in GEMS and haven't seen much change” </w:t>
      </w:r>
      <w:r w:rsidR="00377DD5" w:rsidRPr="00377DD5">
        <w:t xml:space="preserve">(E3 representative)  </w:t>
      </w:r>
    </w:p>
    <w:p w14:paraId="79AB1D34" w14:textId="77777777" w:rsidR="00377DD5" w:rsidRPr="00377DD5" w:rsidRDefault="00377DD5" w:rsidP="00377DD5">
      <w:pPr>
        <w:rPr>
          <w:u w:val="single"/>
        </w:rPr>
      </w:pPr>
      <w:r w:rsidRPr="00377DD5">
        <w:rPr>
          <w:u w:val="single"/>
        </w:rPr>
        <w:t>Issues</w:t>
      </w:r>
    </w:p>
    <w:p w14:paraId="348C5EBC" w14:textId="77777777" w:rsidR="00377DD5" w:rsidRPr="00377DD5" w:rsidRDefault="00377DD5" w:rsidP="00377DD5">
      <w:r w:rsidRPr="00377DD5">
        <w:t>Two key issues were raised by stakeholders</w:t>
      </w:r>
      <w:r w:rsidR="00385606">
        <w:t>,</w:t>
      </w:r>
      <w:r w:rsidRPr="00377DD5">
        <w:t xml:space="preserve"> which were impacting the effectiveness of the E3</w:t>
      </w:r>
      <w:r w:rsidR="00CC2994">
        <w:t> </w:t>
      </w:r>
      <w:r w:rsidRPr="00377DD5">
        <w:t xml:space="preserve">Committee in delivering its functions.  </w:t>
      </w:r>
    </w:p>
    <w:p w14:paraId="081B1C1B" w14:textId="77777777" w:rsidR="00377DD5" w:rsidRPr="00377DD5" w:rsidRDefault="00377DD5" w:rsidP="007049A0">
      <w:pPr>
        <w:numPr>
          <w:ilvl w:val="0"/>
          <w:numId w:val="76"/>
        </w:numPr>
        <w:ind w:left="426" w:hanging="426"/>
        <w:rPr>
          <w:u w:val="single"/>
        </w:rPr>
      </w:pPr>
      <w:r w:rsidRPr="00377DD5">
        <w:rPr>
          <w:u w:val="single"/>
        </w:rPr>
        <w:t>Differences in jurisdictional priorities:</w:t>
      </w:r>
      <w:r w:rsidRPr="00377DD5">
        <w:t xml:space="preserve">  The energy efficiency agenda is the</w:t>
      </w:r>
      <w:r w:rsidR="00BA2352">
        <w:t xml:space="preserve"> ‘common currency’ between all states and t</w:t>
      </w:r>
      <w:r w:rsidRPr="00377DD5">
        <w:t xml:space="preserve">erritories, as this was supported by all as a fundamental reason for the existence of the program and its actions.  Beyond this however, there are differences in the </w:t>
      </w:r>
      <w:r w:rsidRPr="00377DD5">
        <w:lastRenderedPageBreak/>
        <w:t xml:space="preserve">relative priorities of different states, territories and the Commonwealth. </w:t>
      </w:r>
      <w:r w:rsidR="00CC2994">
        <w:t xml:space="preserve"> </w:t>
      </w:r>
      <w:r w:rsidRPr="00377DD5">
        <w:t>Some have more of a climate change/ greenhouse gas emissions focus than others, which doesn’t cause major issues as this can and was described as an additional benefit of the program (over energy efficiency). However, it does mean for some that if this agenda is not supported by all, it limits the potential benefits</w:t>
      </w:r>
      <w:r w:rsidR="00BA2352">
        <w:t>,</w:t>
      </w:r>
      <w:r w:rsidRPr="00377DD5">
        <w:t xml:space="preserve"> meaning that the program cannot be as ambitious as it otherwise could be.</w:t>
      </w:r>
    </w:p>
    <w:p w14:paraId="1311E811" w14:textId="77777777" w:rsidR="007049A0" w:rsidRDefault="00377DD5" w:rsidP="00377DD5">
      <w:pPr>
        <w:ind w:left="426"/>
      </w:pPr>
      <w:r w:rsidRPr="00377DD5">
        <w:t xml:space="preserve">However, as with any initiative being implemented by a number of jurisdictions, each will have their own priorities and will seek to prosecute them within the governance framework of the initiative. </w:t>
      </w:r>
      <w:r w:rsidR="00CC2994">
        <w:t xml:space="preserve"> </w:t>
      </w:r>
      <w:r w:rsidRPr="00377DD5">
        <w:t xml:space="preserve">In the case of the program, there is a solid base of cooperation between all jurisdictions party to the IGA. </w:t>
      </w:r>
      <w:r w:rsidR="00CC2994">
        <w:t xml:space="preserve"> </w:t>
      </w:r>
      <w:r w:rsidRPr="00377DD5">
        <w:t xml:space="preserve">They all support the objectives of the program and the best practice principles relating to the development of regulations. </w:t>
      </w:r>
      <w:r w:rsidR="00CC2994">
        <w:t xml:space="preserve"> </w:t>
      </w:r>
      <w:r w:rsidRPr="00377DD5">
        <w:t>But from time to time each jurisdiction may have differing priorities in relation to which products are more important than others in setting new or improved standards and or labelling, and other aspects of government administration such as regulation reform.</w:t>
      </w:r>
      <w:r w:rsidR="00F61F55">
        <w:t xml:space="preserve">  </w:t>
      </w:r>
    </w:p>
    <w:p w14:paraId="310086C1" w14:textId="77777777" w:rsidR="007049A0" w:rsidRPr="007F1F4F" w:rsidRDefault="0080683E" w:rsidP="0080683E">
      <w:pPr>
        <w:ind w:left="426" w:hanging="426"/>
        <w:rPr>
          <w:u w:val="single"/>
        </w:rPr>
      </w:pPr>
      <w:r w:rsidRPr="007F1F4F">
        <w:t xml:space="preserve">2. </w:t>
      </w:r>
      <w:r w:rsidRPr="007F1F4F">
        <w:tab/>
      </w:r>
      <w:r w:rsidRPr="0080683E">
        <w:rPr>
          <w:u w:val="single"/>
        </w:rPr>
        <w:t>Regulation reform</w:t>
      </w:r>
      <w:r>
        <w:rPr>
          <w:u w:val="single"/>
        </w:rPr>
        <w:t xml:space="preserve">:  </w:t>
      </w:r>
      <w:r>
        <w:t>s</w:t>
      </w:r>
      <w:r w:rsidR="00F61F55">
        <w:t xml:space="preserve">ome states expressed concern that the Commonwealth-driven COAG regulation reform agenda could </w:t>
      </w:r>
      <w:r w:rsidR="00257472">
        <w:t xml:space="preserve">impact on and/or </w:t>
      </w:r>
      <w:r w:rsidR="00F61F55">
        <w:t>slow progress with the implementation of the program.</w:t>
      </w:r>
      <w:r w:rsidR="007049A0" w:rsidRPr="00874302">
        <w:rPr>
          <w:rFonts w:eastAsia="Calibri"/>
          <w:szCs w:val="22"/>
          <w:lang w:val="en-AU" w:eastAsia="en-US"/>
        </w:rPr>
        <w:t xml:space="preserve"> </w:t>
      </w:r>
      <w:r w:rsidR="007049A0" w:rsidRPr="007049A0">
        <w:rPr>
          <w:rFonts w:eastAsia="Calibri"/>
          <w:szCs w:val="22"/>
          <w:lang w:val="en-AU" w:eastAsia="en-US"/>
        </w:rPr>
        <w:t>On 13 December 2013, COAG issued a communique stating that, “</w:t>
      </w:r>
      <w:r w:rsidR="007049A0" w:rsidRPr="007049A0">
        <w:rPr>
          <w:rFonts w:eastAsia="Calibri"/>
          <w:i/>
          <w:iCs/>
          <w:szCs w:val="22"/>
          <w:lang w:val="en-AU" w:eastAsia="en-US"/>
        </w:rPr>
        <w:t>The Commonwealth has set itself a target of reducing the red tape which impacts on business, individuals and the community by at least $1 billion per year. This complements existing State deregulation activity. All governments agreed to work in their own jurisdictions to improve regulation and remove unnecessary red tape. …  All governments acknowledged (…) that collective action is needed to remove the excessive burden currently placed on small business</w:t>
      </w:r>
      <w:r w:rsidR="007049A0" w:rsidRPr="007049A0">
        <w:rPr>
          <w:rFonts w:eastAsia="Calibri"/>
          <w:szCs w:val="22"/>
          <w:lang w:val="en-AU" w:eastAsia="en-US"/>
        </w:rPr>
        <w:t>.</w:t>
      </w:r>
      <w:r w:rsidR="00243E2E">
        <w:rPr>
          <w:rStyle w:val="FootnoteReference"/>
          <w:rFonts w:eastAsia="Calibri"/>
          <w:szCs w:val="22"/>
          <w:lang w:val="en-AU" w:eastAsia="en-US"/>
        </w:rPr>
        <w:footnoteReference w:id="122"/>
      </w:r>
      <w:r w:rsidR="007049A0" w:rsidRPr="007049A0">
        <w:rPr>
          <w:rFonts w:eastAsia="Calibri"/>
          <w:szCs w:val="22"/>
          <w:lang w:val="en-AU" w:eastAsia="en-US"/>
        </w:rPr>
        <w:t>”</w:t>
      </w:r>
    </w:p>
    <w:p w14:paraId="7C3E64E3" w14:textId="77777777" w:rsidR="007049A0" w:rsidRPr="007049A0" w:rsidRDefault="007049A0" w:rsidP="00C02B94">
      <w:pPr>
        <w:spacing w:after="0" w:line="240" w:lineRule="auto"/>
        <w:ind w:left="426"/>
        <w:rPr>
          <w:rFonts w:eastAsia="Calibri"/>
          <w:szCs w:val="22"/>
          <w:lang w:val="en-AU" w:eastAsia="en-US"/>
        </w:rPr>
      </w:pPr>
    </w:p>
    <w:p w14:paraId="00B16350" w14:textId="77777777" w:rsidR="007049A0" w:rsidRPr="007049A0" w:rsidRDefault="007049A0" w:rsidP="00C02B94">
      <w:pPr>
        <w:spacing w:after="0" w:line="240" w:lineRule="auto"/>
        <w:ind w:left="426"/>
        <w:rPr>
          <w:rFonts w:eastAsia="Calibri"/>
          <w:szCs w:val="22"/>
          <w:lang w:val="en-AU" w:eastAsia="en-US"/>
        </w:rPr>
      </w:pPr>
      <w:r w:rsidRPr="007049A0">
        <w:rPr>
          <w:rFonts w:eastAsia="Calibri"/>
          <w:szCs w:val="22"/>
          <w:lang w:val="en-AU" w:eastAsia="en-US"/>
        </w:rPr>
        <w:t>In addition to the COAG announcement, many state and territory governments have made public statements regarding their commitment to regulatory burden reduction and, in the case of Victoria and New South Wales, have even nominated their own annual reduction targets.</w:t>
      </w:r>
    </w:p>
    <w:p w14:paraId="303B9781" w14:textId="77777777" w:rsidR="007049A0" w:rsidRPr="007049A0" w:rsidRDefault="007049A0" w:rsidP="00C02B94">
      <w:pPr>
        <w:spacing w:after="0" w:line="240" w:lineRule="auto"/>
        <w:ind w:left="426"/>
        <w:rPr>
          <w:rFonts w:eastAsia="Calibri"/>
          <w:szCs w:val="22"/>
          <w:lang w:val="en-AU" w:eastAsia="en-US"/>
        </w:rPr>
      </w:pPr>
    </w:p>
    <w:p w14:paraId="7930067A" w14:textId="77777777" w:rsidR="007049A0" w:rsidRPr="007049A0" w:rsidRDefault="007049A0" w:rsidP="00C02B94">
      <w:pPr>
        <w:spacing w:after="0" w:line="240" w:lineRule="auto"/>
        <w:ind w:left="426"/>
        <w:rPr>
          <w:rFonts w:eastAsia="Calibri"/>
          <w:szCs w:val="22"/>
          <w:lang w:val="en-AU" w:eastAsia="en-US"/>
        </w:rPr>
      </w:pPr>
      <w:r w:rsidRPr="007049A0">
        <w:rPr>
          <w:rFonts w:eastAsia="Calibri"/>
          <w:szCs w:val="22"/>
          <w:lang w:val="en-AU" w:eastAsia="en-US"/>
        </w:rPr>
        <w:t xml:space="preserve">This focus for the work of the E3 Program, to review and evaluate the burden placed on industry by the GEMS compliance requirements and to identify potential opportunities for reducing red tape, is not to remove regulations wholesale, but places a renewed emphasis on the first principles and best practices of policy development. </w:t>
      </w:r>
      <w:r w:rsidR="00847DE0">
        <w:rPr>
          <w:rFonts w:eastAsia="Calibri"/>
          <w:szCs w:val="22"/>
          <w:lang w:val="en-AU" w:eastAsia="en-US"/>
        </w:rPr>
        <w:t xml:space="preserve">The concern of some states is that the Commonwealth’s policy requiring that the costs of new or changed regulation be offset before the regulation can come into effect, may block new regulations coming into force. </w:t>
      </w:r>
      <w:r w:rsidR="00B578A8">
        <w:rPr>
          <w:rFonts w:eastAsia="Calibri"/>
          <w:szCs w:val="22"/>
          <w:lang w:val="en-AU" w:eastAsia="en-US"/>
        </w:rPr>
        <w:t>A</w:t>
      </w:r>
      <w:r w:rsidR="00847DE0">
        <w:rPr>
          <w:rFonts w:eastAsia="Calibri"/>
          <w:szCs w:val="22"/>
          <w:lang w:val="en-AU" w:eastAsia="en-US"/>
        </w:rPr>
        <w:t>s no new regulations have been put to the Energy Council for decision since this policy came into effect, its impact has not been tested in relation to the E3 Program.</w:t>
      </w:r>
    </w:p>
    <w:p w14:paraId="42758120" w14:textId="77777777" w:rsidR="00377DD5" w:rsidRPr="00377DD5" w:rsidRDefault="00377DD5" w:rsidP="00C02B94">
      <w:pPr>
        <w:ind w:left="426"/>
      </w:pPr>
    </w:p>
    <w:p w14:paraId="30E7822A" w14:textId="77777777" w:rsidR="00377DD5" w:rsidRPr="00377DD5" w:rsidRDefault="00377DD5" w:rsidP="00377DD5">
      <w:pPr>
        <w:ind w:left="426"/>
      </w:pPr>
      <w:r w:rsidRPr="00377DD5">
        <w:t xml:space="preserve">The E3 Committee operates at the coal face where these potentially differing policy priorities are discussed and resolved. </w:t>
      </w:r>
      <w:r w:rsidR="00CC2994">
        <w:t xml:space="preserve"> </w:t>
      </w:r>
      <w:r w:rsidRPr="00377DD5">
        <w:t xml:space="preserve">This may create some tensions, </w:t>
      </w:r>
      <w:r w:rsidR="00537095">
        <w:t>and a number of E3 Committee members expressed frustration at the slow rate of progress with GEMS initiatives</w:t>
      </w:r>
      <w:r w:rsidR="00537095">
        <w:rPr>
          <w:rStyle w:val="FootnoteReference"/>
        </w:rPr>
        <w:footnoteReference w:id="123"/>
      </w:r>
      <w:r w:rsidR="00537095">
        <w:t xml:space="preserve">.  However, </w:t>
      </w:r>
      <w:r w:rsidRPr="00377DD5">
        <w:t xml:space="preserve">the IGA governance framework has proved to be robust. </w:t>
      </w:r>
      <w:r w:rsidR="00CC2994">
        <w:t xml:space="preserve"> </w:t>
      </w:r>
      <w:r w:rsidRPr="00377DD5">
        <w:t xml:space="preserve">Program decisions have been taken by consensus, but voting processes are specified in the IGA should they be needed. Should the E3 Committee not be able to reach a decision on any matter, it can be escalated to more senior </w:t>
      </w:r>
      <w:r w:rsidRPr="00377DD5">
        <w:lastRenderedPageBreak/>
        <w:t>committees of officials for decision. If senior officials are not able to reach agreemen</w:t>
      </w:r>
      <w:r w:rsidR="005544D3">
        <w:t>t, matters will then be put to m</w:t>
      </w:r>
      <w:r w:rsidRPr="00377DD5">
        <w:t xml:space="preserve">inisters for decision. </w:t>
      </w:r>
      <w:r w:rsidR="00CC2994">
        <w:t xml:space="preserve"> </w:t>
      </w:r>
      <w:r w:rsidRPr="00377DD5">
        <w:t>Since the implementation of the IGA, the E3 Committee has resolved all matters within the committee.</w:t>
      </w:r>
    </w:p>
    <w:p w14:paraId="3C79616C" w14:textId="77777777" w:rsidR="00377DD5" w:rsidRPr="00377DD5" w:rsidRDefault="0080683E" w:rsidP="0080683E">
      <w:pPr>
        <w:ind w:left="426" w:hanging="426"/>
      </w:pPr>
      <w:r w:rsidRPr="007F1F4F">
        <w:t xml:space="preserve">3. </w:t>
      </w:r>
      <w:r w:rsidRPr="007F1F4F">
        <w:tab/>
      </w:r>
      <w:r w:rsidR="00377DD5" w:rsidRPr="00377DD5">
        <w:rPr>
          <w:u w:val="single"/>
        </w:rPr>
        <w:t>Timescales and resources</w:t>
      </w:r>
      <w:r w:rsidR="00377DD5" w:rsidRPr="00377DD5">
        <w:t xml:space="preserve">:  A few states raised concerns that states occasionally hold up decision-making mainly due to lack of resource to undertake work rather than reservations about the subject. </w:t>
      </w:r>
      <w:r>
        <w:t xml:space="preserve">  </w:t>
      </w:r>
      <w:r w:rsidR="00377DD5" w:rsidRPr="00377DD5">
        <w:t xml:space="preserve">Furthermore, a few stakeholders noted that the process of achieving agreement from all parties makes the process laborious and contributes to delays, as some parties are more able to engage than others. </w:t>
      </w:r>
    </w:p>
    <w:p w14:paraId="179B2FBF" w14:textId="77777777" w:rsidR="00377DD5" w:rsidRPr="00377DD5" w:rsidRDefault="00377DD5" w:rsidP="00377DD5">
      <w:r w:rsidRPr="00377DD5">
        <w:rPr>
          <w:u w:val="single"/>
        </w:rPr>
        <w:t>Industry, consumer groups and other stakeholder views</w:t>
      </w:r>
    </w:p>
    <w:p w14:paraId="37837F1D" w14:textId="77777777" w:rsidR="00377DD5" w:rsidRPr="00377DD5" w:rsidRDefault="00377DD5" w:rsidP="00377DD5">
      <w:r w:rsidRPr="00377DD5">
        <w:t>Other stakeholder views were sought to explore their perceptions of the effectiveness of the E3</w:t>
      </w:r>
      <w:r w:rsidR="00CC2994">
        <w:t> </w:t>
      </w:r>
      <w:r w:rsidR="00D03755">
        <w:t>program</w:t>
      </w:r>
      <w:r w:rsidRPr="00377DD5">
        <w:t xml:space="preserve"> operating under the IGA.  </w:t>
      </w:r>
    </w:p>
    <w:p w14:paraId="4AB05560" w14:textId="77777777" w:rsidR="00377DD5" w:rsidRPr="00377DD5" w:rsidRDefault="00377DD5" w:rsidP="00377DD5">
      <w:pPr>
        <w:ind w:left="360"/>
        <w:rPr>
          <w:i/>
          <w:highlight w:val="yellow"/>
        </w:rPr>
      </w:pPr>
      <w:r w:rsidRPr="00377DD5">
        <w:rPr>
          <w:i/>
        </w:rPr>
        <w:t xml:space="preserve">“Very happy generally with the dialogue, especially recently. </w:t>
      </w:r>
      <w:r w:rsidR="00CC2994">
        <w:rPr>
          <w:i/>
        </w:rPr>
        <w:t xml:space="preserve"> </w:t>
      </w:r>
      <w:r w:rsidRPr="00377DD5">
        <w:rPr>
          <w:i/>
        </w:rPr>
        <w:t>The energy efficiency regime has pushed suppliers into making more energy efficient products”.</w:t>
      </w:r>
    </w:p>
    <w:p w14:paraId="69C8158B" w14:textId="77777777" w:rsidR="00377DD5" w:rsidRPr="00377DD5" w:rsidRDefault="00377DD5" w:rsidP="00377DD5">
      <w:pPr>
        <w:ind w:left="360"/>
        <w:rPr>
          <w:highlight w:val="yellow"/>
        </w:rPr>
      </w:pPr>
      <w:r w:rsidRPr="00377DD5">
        <w:rPr>
          <w:i/>
        </w:rPr>
        <w:t>“[My] First exp</w:t>
      </w:r>
      <w:r w:rsidR="00D03755">
        <w:rPr>
          <w:i/>
        </w:rPr>
        <w:t>erience with GEMS was when the g</w:t>
      </w:r>
      <w:r w:rsidRPr="00377DD5">
        <w:rPr>
          <w:i/>
        </w:rPr>
        <w:t>overnmen</w:t>
      </w:r>
      <w:r w:rsidR="00D03755">
        <w:rPr>
          <w:i/>
        </w:rPr>
        <w:t>t tried to implement a program</w:t>
      </w:r>
      <w:r w:rsidRPr="00377DD5">
        <w:rPr>
          <w:i/>
        </w:rPr>
        <w:t xml:space="preserve"> without consultatio</w:t>
      </w:r>
      <w:r w:rsidR="00D03755">
        <w:rPr>
          <w:i/>
        </w:rPr>
        <w:t>n with industry - this program</w:t>
      </w:r>
      <w:r w:rsidRPr="00377DD5">
        <w:rPr>
          <w:i/>
        </w:rPr>
        <w:t xml:space="preserve"> then went on to take over 10 years to implement. </w:t>
      </w:r>
      <w:r w:rsidR="00CC2994">
        <w:rPr>
          <w:i/>
        </w:rPr>
        <w:t xml:space="preserve"> </w:t>
      </w:r>
      <w:r w:rsidRPr="00377DD5">
        <w:rPr>
          <w:i/>
        </w:rPr>
        <w:t xml:space="preserve">The industry did not want to be dictated to or dealt with like that, but it has changed greatly since then with </w:t>
      </w:r>
      <w:r w:rsidR="00D03755">
        <w:rPr>
          <w:i/>
        </w:rPr>
        <w:t xml:space="preserve">a much more cooperative program. </w:t>
      </w:r>
      <w:r w:rsidR="00CC2994">
        <w:rPr>
          <w:i/>
        </w:rPr>
        <w:t xml:space="preserve"> </w:t>
      </w:r>
      <w:r w:rsidRPr="00377DD5">
        <w:rPr>
          <w:i/>
        </w:rPr>
        <w:t xml:space="preserve">Just the fact that you're talking to us is a reflection of that”. </w:t>
      </w:r>
      <w:r w:rsidRPr="00377DD5">
        <w:t xml:space="preserve">(Industry representative)  </w:t>
      </w:r>
    </w:p>
    <w:p w14:paraId="3BEF7540" w14:textId="77777777" w:rsidR="00377DD5" w:rsidRPr="00377DD5" w:rsidRDefault="00377DD5" w:rsidP="00202EA9">
      <w:pPr>
        <w:pStyle w:val="Heading3"/>
      </w:pPr>
      <w:bookmarkStart w:id="90" w:name="_Toc409466378"/>
      <w:bookmarkStart w:id="91" w:name="_Toc422298402"/>
      <w:r w:rsidRPr="00377DD5">
        <w:t>Development of GEMS requirements and administration</w:t>
      </w:r>
      <w:bookmarkEnd w:id="90"/>
      <w:bookmarkEnd w:id="91"/>
    </w:p>
    <w:p w14:paraId="6C71E679" w14:textId="77777777" w:rsidR="00377DD5" w:rsidRPr="00377DD5" w:rsidRDefault="00377DD5" w:rsidP="00377DD5">
      <w:pPr>
        <w:rPr>
          <w:lang w:eastAsia="x-none"/>
        </w:rPr>
      </w:pPr>
      <w:r w:rsidRPr="00377DD5">
        <w:rPr>
          <w:lang w:eastAsia="x-none"/>
        </w:rPr>
        <w:t xml:space="preserve">The IGA sets out the principles by which the program will interact with the Act and principles by which new and revised GEMS requirements are developed, including the process and administration.  These relate to the effectiveness of the regulations and program administration, which are explored in </w:t>
      </w:r>
      <w:r w:rsidR="00605607">
        <w:rPr>
          <w:lang w:eastAsia="x-none"/>
        </w:rPr>
        <w:t>S</w:t>
      </w:r>
      <w:r w:rsidRPr="00377DD5">
        <w:rPr>
          <w:lang w:eastAsia="x-none"/>
        </w:rPr>
        <w:t>ection</w:t>
      </w:r>
      <w:r w:rsidR="00605607">
        <w:rPr>
          <w:lang w:eastAsia="x-none"/>
        </w:rPr>
        <w:t xml:space="preserve">s </w:t>
      </w:r>
      <w:r w:rsidR="00385606">
        <w:rPr>
          <w:lang w:eastAsia="x-none"/>
        </w:rPr>
        <w:fldChar w:fldCharType="begin"/>
      </w:r>
      <w:r w:rsidR="00385606">
        <w:rPr>
          <w:lang w:eastAsia="x-none"/>
        </w:rPr>
        <w:instrText xml:space="preserve"> REF _Ref413349827 \r \h </w:instrText>
      </w:r>
      <w:r w:rsidR="00385606">
        <w:rPr>
          <w:lang w:eastAsia="x-none"/>
        </w:rPr>
      </w:r>
      <w:r w:rsidR="00385606">
        <w:rPr>
          <w:lang w:eastAsia="x-none"/>
        </w:rPr>
        <w:fldChar w:fldCharType="separate"/>
      </w:r>
      <w:r w:rsidR="00BE13BF">
        <w:rPr>
          <w:lang w:eastAsia="x-none"/>
        </w:rPr>
        <w:t>7.2</w:t>
      </w:r>
      <w:r w:rsidR="00385606">
        <w:rPr>
          <w:lang w:eastAsia="x-none"/>
        </w:rPr>
        <w:fldChar w:fldCharType="end"/>
      </w:r>
      <w:r w:rsidR="00385606">
        <w:rPr>
          <w:lang w:eastAsia="x-none"/>
        </w:rPr>
        <w:t xml:space="preserve"> and </w:t>
      </w:r>
      <w:r w:rsidR="00385606">
        <w:rPr>
          <w:lang w:eastAsia="x-none"/>
        </w:rPr>
        <w:fldChar w:fldCharType="begin"/>
      </w:r>
      <w:r w:rsidR="00385606">
        <w:rPr>
          <w:lang w:eastAsia="x-none"/>
        </w:rPr>
        <w:instrText xml:space="preserve"> REF _Ref409255047 \r \h </w:instrText>
      </w:r>
      <w:r w:rsidR="00385606">
        <w:rPr>
          <w:lang w:eastAsia="x-none"/>
        </w:rPr>
      </w:r>
      <w:r w:rsidR="00385606">
        <w:rPr>
          <w:lang w:eastAsia="x-none"/>
        </w:rPr>
        <w:fldChar w:fldCharType="separate"/>
      </w:r>
      <w:r w:rsidR="00BE13BF">
        <w:rPr>
          <w:lang w:eastAsia="x-none"/>
        </w:rPr>
        <w:t>7.3</w:t>
      </w:r>
      <w:r w:rsidR="00385606">
        <w:rPr>
          <w:lang w:eastAsia="x-none"/>
        </w:rPr>
        <w:fldChar w:fldCharType="end"/>
      </w:r>
      <w:r w:rsidR="00385606">
        <w:rPr>
          <w:lang w:eastAsia="x-none"/>
        </w:rPr>
        <w:t>.</w:t>
      </w:r>
      <w:r w:rsidRPr="00377DD5">
        <w:rPr>
          <w:lang w:eastAsia="x-none"/>
        </w:rPr>
        <w:t xml:space="preserve"> </w:t>
      </w:r>
    </w:p>
    <w:p w14:paraId="68A3A212" w14:textId="77777777" w:rsidR="00377DD5" w:rsidRPr="00377DD5" w:rsidRDefault="00377DD5" w:rsidP="00377DD5">
      <w:pPr>
        <w:rPr>
          <w:b/>
        </w:rPr>
      </w:pPr>
      <w:bookmarkStart w:id="92" w:name="_Toc409466379"/>
      <w:r w:rsidRPr="00377DD5">
        <w:rPr>
          <w:b/>
        </w:rPr>
        <w:t>Development of GEMS requirements</w:t>
      </w:r>
    </w:p>
    <w:p w14:paraId="688D7EF4" w14:textId="77777777" w:rsidR="00377DD5" w:rsidRPr="00377DD5" w:rsidRDefault="00377DD5" w:rsidP="00377DD5">
      <w:pPr>
        <w:rPr>
          <w:lang w:eastAsia="x-none"/>
        </w:rPr>
      </w:pPr>
      <w:r w:rsidRPr="00377DD5">
        <w:rPr>
          <w:lang w:eastAsia="x-none"/>
        </w:rPr>
        <w:t>The IGA specifies that the ‘development of proposals for new or revised GEMS requirements must undergo Regulation Impact Analysis (RIA) as required by COAG’s ‘Best Practice Regulation: A Guide for Ministerial Councils and Na</w:t>
      </w:r>
      <w:r w:rsidR="00D03755">
        <w:rPr>
          <w:lang w:eastAsia="x-none"/>
        </w:rPr>
        <w:t>tional Standard Setting Bodies’</w:t>
      </w:r>
      <w:r w:rsidRPr="00377DD5">
        <w:rPr>
          <w:lang w:eastAsia="x-none"/>
        </w:rPr>
        <w:t xml:space="preserve">. </w:t>
      </w:r>
      <w:r w:rsidR="00CC2994">
        <w:rPr>
          <w:lang w:eastAsia="x-none"/>
        </w:rPr>
        <w:t xml:space="preserve"> </w:t>
      </w:r>
      <w:r w:rsidRPr="00377DD5">
        <w:rPr>
          <w:lang w:eastAsia="x-none"/>
        </w:rPr>
        <w:t xml:space="preserve">This remains </w:t>
      </w:r>
      <w:r w:rsidR="00D03755">
        <w:rPr>
          <w:lang w:eastAsia="x-none"/>
        </w:rPr>
        <w:t xml:space="preserve">the </w:t>
      </w:r>
      <w:r w:rsidRPr="00377DD5">
        <w:rPr>
          <w:lang w:eastAsia="x-none"/>
        </w:rPr>
        <w:t>best practice approach and should therefore remain the basis for new or revised GEMS requirements.</w:t>
      </w:r>
    </w:p>
    <w:p w14:paraId="174C3E7E" w14:textId="77777777" w:rsidR="00377DD5" w:rsidRPr="00377DD5" w:rsidRDefault="00377DD5" w:rsidP="00377DD5">
      <w:pPr>
        <w:rPr>
          <w:b/>
        </w:rPr>
      </w:pPr>
      <w:r w:rsidRPr="00377DD5">
        <w:rPr>
          <w:b/>
        </w:rPr>
        <w:t>Financial arrangements</w:t>
      </w:r>
      <w:bookmarkEnd w:id="92"/>
    </w:p>
    <w:p w14:paraId="6306382B" w14:textId="77777777" w:rsidR="002373A3" w:rsidRDefault="00882DA9" w:rsidP="002373A3">
      <w:r>
        <w:t xml:space="preserve">As a party to the IGA, all jurisdictions have agreed to make annual </w:t>
      </w:r>
      <w:r w:rsidR="002373A3">
        <w:t xml:space="preserve">funding contributions </w:t>
      </w:r>
      <w:r>
        <w:t xml:space="preserve">as </w:t>
      </w:r>
      <w:r w:rsidR="002373A3">
        <w:t xml:space="preserve">set out in </w:t>
      </w:r>
      <w:r w:rsidR="00300314">
        <w:t>S</w:t>
      </w:r>
      <w:r w:rsidR="002373A3">
        <w:t>ection</w:t>
      </w:r>
      <w:r w:rsidR="00202EA9">
        <w:t xml:space="preserve"> </w:t>
      </w:r>
      <w:r w:rsidR="00385606">
        <w:fldChar w:fldCharType="begin"/>
      </w:r>
      <w:r w:rsidR="00385606">
        <w:instrText xml:space="preserve"> REF _Ref409255108 \r \h </w:instrText>
      </w:r>
      <w:r w:rsidR="00385606">
        <w:fldChar w:fldCharType="separate"/>
      </w:r>
      <w:r w:rsidR="00BE13BF">
        <w:t>3.1.3</w:t>
      </w:r>
      <w:r w:rsidR="00385606">
        <w:fldChar w:fldCharType="end"/>
      </w:r>
      <w:r w:rsidR="00385606">
        <w:t>.</w:t>
      </w:r>
      <w:r w:rsidR="002373A3">
        <w:rPr>
          <w:b/>
          <w:bCs/>
          <w:lang w:val="en-US"/>
        </w:rPr>
        <w:t xml:space="preserve"> </w:t>
      </w:r>
      <w:r w:rsidR="00CC2994">
        <w:rPr>
          <w:b/>
          <w:bCs/>
          <w:lang w:val="en-US"/>
        </w:rPr>
        <w:t xml:space="preserve"> </w:t>
      </w:r>
      <w:r w:rsidR="002373A3">
        <w:rPr>
          <w:lang w:val="en-US"/>
        </w:rPr>
        <w:t>T</w:t>
      </w:r>
      <w:r w:rsidR="002373A3">
        <w:t xml:space="preserve">o our knowledge, all </w:t>
      </w:r>
      <w:r w:rsidR="00750FF2">
        <w:t xml:space="preserve">participating </w:t>
      </w:r>
      <w:r w:rsidR="002373A3">
        <w:t xml:space="preserve">jurisdictions have paid their annual contributions although, in the early years of the program, some were late which resulted in delays with some activities progressing. </w:t>
      </w:r>
    </w:p>
    <w:p w14:paraId="00A5C602" w14:textId="77777777" w:rsidR="00377DD5" w:rsidRPr="00377DD5" w:rsidRDefault="00377DD5" w:rsidP="00377DD5">
      <w:r w:rsidRPr="00377DD5">
        <w:t xml:space="preserve">The indicative budget for work funded under the IGA is identified up to financial year 2015-16. </w:t>
      </w:r>
      <w:r w:rsidR="00CC2994">
        <w:t xml:space="preserve"> </w:t>
      </w:r>
      <w:r w:rsidRPr="00377DD5">
        <w:t xml:space="preserve">The IGA specifies that the Energy Council must unanimously agree to proposed budgets. </w:t>
      </w:r>
      <w:r w:rsidR="00CC2994">
        <w:t xml:space="preserve"> </w:t>
      </w:r>
      <w:r w:rsidRPr="00377DD5">
        <w:t xml:space="preserve">For 2016-17 onwards, while an indicative budget has not been specified in the IGA, jurisdictions will need to continue to agree to the work plan and budget for each successive financial year. </w:t>
      </w:r>
      <w:r w:rsidR="00CC2994">
        <w:t xml:space="preserve"> </w:t>
      </w:r>
      <w:r w:rsidRPr="00377DD5">
        <w:t>.</w:t>
      </w:r>
    </w:p>
    <w:p w14:paraId="72A9DBEB" w14:textId="77777777" w:rsidR="00377DD5" w:rsidRPr="00377DD5" w:rsidRDefault="00377DD5" w:rsidP="00377DD5">
      <w:pPr>
        <w:rPr>
          <w:b/>
        </w:rPr>
      </w:pPr>
      <w:bookmarkStart w:id="93" w:name="_Toc409466380"/>
      <w:r w:rsidRPr="00377DD5">
        <w:rPr>
          <w:b/>
        </w:rPr>
        <w:lastRenderedPageBreak/>
        <w:t>Dispute resolution, withdrawal and termination</w:t>
      </w:r>
      <w:bookmarkEnd w:id="93"/>
    </w:p>
    <w:p w14:paraId="7966B21E" w14:textId="77777777" w:rsidR="00377DD5" w:rsidRPr="00377DD5" w:rsidRDefault="00377DD5" w:rsidP="00377DD5">
      <w:r w:rsidRPr="00377DD5">
        <w:t xml:space="preserve">Throughout the interviews, and as noted above, no specific examples were provided which required the dispute resolution process (e.g. referral to the Ministerial Council) to be used. </w:t>
      </w:r>
      <w:r w:rsidR="00CC2994">
        <w:t xml:space="preserve"> </w:t>
      </w:r>
      <w:r w:rsidRPr="00377DD5">
        <w:t xml:space="preserve">This is not unexpected as all jurisdictions support the policy approach, and have shared interests in its successful implementation. </w:t>
      </w:r>
      <w:r w:rsidR="00CC2994">
        <w:t xml:space="preserve"> </w:t>
      </w:r>
      <w:r w:rsidRPr="00377DD5">
        <w:t xml:space="preserve">While there has been robust debate about the merit of different aspects of the work plan, these have been resolved within the E3 Committee. </w:t>
      </w:r>
      <w:r w:rsidR="00CC2994">
        <w:t xml:space="preserve"> </w:t>
      </w:r>
      <w:r w:rsidRPr="00377DD5">
        <w:t xml:space="preserve">There is therefore no reason to believe that the dispute resolution provisions in the IGA would not be effective if needed. </w:t>
      </w:r>
    </w:p>
    <w:p w14:paraId="73CC15EB" w14:textId="77777777" w:rsidR="00377DD5" w:rsidRPr="00377DD5" w:rsidRDefault="002373A3" w:rsidP="00377DD5">
      <w:r>
        <w:t>As there has</w:t>
      </w:r>
      <w:r w:rsidR="00377DD5" w:rsidRPr="00377DD5">
        <w:t xml:space="preserve"> been no case of a jurisdiction withdrawing from the IGA or seeking to terminate the IGA, the effectiveness of these provision have not been tested. </w:t>
      </w:r>
      <w:r w:rsidR="00CC2994">
        <w:t xml:space="preserve"> </w:t>
      </w:r>
      <w:r w:rsidR="00377DD5" w:rsidRPr="00377DD5">
        <w:t xml:space="preserve">However, the provisions in the IGA set out in a very clear manner how a withdrawal and termination is to be actioned if needed. </w:t>
      </w:r>
      <w:r w:rsidR="00CC2994">
        <w:t xml:space="preserve"> </w:t>
      </w:r>
      <w:r w:rsidR="00377DD5" w:rsidRPr="00377DD5">
        <w:t>These provisions therefore appear suitable and there is no reason to doubt that they would be effective. For the above reasons, t</w:t>
      </w:r>
      <w:r>
        <w:t>hese provisions of the IGA have</w:t>
      </w:r>
      <w:r w:rsidR="00377DD5" w:rsidRPr="00377DD5">
        <w:t xml:space="preserve"> not explored in further depth</w:t>
      </w:r>
    </w:p>
    <w:p w14:paraId="7771BD4C" w14:textId="77777777" w:rsidR="00377DD5" w:rsidRPr="00377DD5" w:rsidRDefault="00377DD5" w:rsidP="00202EA9">
      <w:pPr>
        <w:pStyle w:val="Heading3"/>
      </w:pPr>
      <w:bookmarkStart w:id="94" w:name="_Toc422298403"/>
      <w:r w:rsidRPr="00377DD5">
        <w:t>Conclusions</w:t>
      </w:r>
      <w:bookmarkEnd w:id="94"/>
    </w:p>
    <w:p w14:paraId="61780039" w14:textId="77777777" w:rsidR="00377DD5" w:rsidRPr="00D678C2" w:rsidRDefault="002373A3" w:rsidP="00377DD5">
      <w:pPr>
        <w:numPr>
          <w:ilvl w:val="3"/>
          <w:numId w:val="22"/>
        </w:numPr>
        <w:ind w:left="426" w:hanging="426"/>
        <w:rPr>
          <w:lang w:eastAsia="x-none"/>
        </w:rPr>
      </w:pPr>
      <w:r w:rsidRPr="00D678C2">
        <w:rPr>
          <w:lang w:eastAsia="x-none"/>
        </w:rPr>
        <w:t>The IGA provides a sound g</w:t>
      </w:r>
      <w:r w:rsidR="00377DD5" w:rsidRPr="00D678C2">
        <w:rPr>
          <w:lang w:eastAsia="x-none"/>
        </w:rPr>
        <w:t xml:space="preserve">overnance structure, which is good practice as it formally involves all jurisdictions in the policy process, bringing them together to deliver a national program led by the Commonwealth. </w:t>
      </w:r>
      <w:r w:rsidR="00CC2994" w:rsidRPr="00D678C2">
        <w:rPr>
          <w:lang w:eastAsia="x-none"/>
        </w:rPr>
        <w:t xml:space="preserve"> </w:t>
      </w:r>
      <w:r w:rsidR="00377DD5" w:rsidRPr="00D678C2">
        <w:rPr>
          <w:lang w:eastAsia="x-none"/>
        </w:rPr>
        <w:t xml:space="preserve">It also allows a pooling of resources and expertise to help deliver greater outcomes more effectively than would be achieved otherwise. </w:t>
      </w:r>
      <w:r w:rsidR="00CC2994" w:rsidRPr="00D678C2">
        <w:rPr>
          <w:lang w:eastAsia="x-none"/>
        </w:rPr>
        <w:t xml:space="preserve"> </w:t>
      </w:r>
      <w:r w:rsidR="00377DD5" w:rsidRPr="00D678C2">
        <w:rPr>
          <w:lang w:eastAsia="x-none"/>
        </w:rPr>
        <w:t xml:space="preserve">This is in general supported by members of the E3 Committee who recognise key advantages over the previous state and territory run scheme.  </w:t>
      </w:r>
    </w:p>
    <w:p w14:paraId="53AD6F09" w14:textId="77777777" w:rsidR="00377DD5" w:rsidRPr="00377DD5" w:rsidRDefault="00377DD5" w:rsidP="00377DD5">
      <w:pPr>
        <w:numPr>
          <w:ilvl w:val="3"/>
          <w:numId w:val="22"/>
        </w:numPr>
        <w:ind w:left="426" w:hanging="426"/>
        <w:rPr>
          <w:lang w:eastAsia="x-none"/>
        </w:rPr>
      </w:pPr>
      <w:r w:rsidRPr="00377DD5">
        <w:rPr>
          <w:lang w:eastAsia="x-none"/>
        </w:rPr>
        <w:t xml:space="preserve">However, there are issues in practice, which </w:t>
      </w:r>
      <w:r w:rsidR="00E21A39">
        <w:rPr>
          <w:lang w:eastAsia="x-none"/>
        </w:rPr>
        <w:t xml:space="preserve">are discussed in further detail in Section 7.3.1.2  These </w:t>
      </w:r>
      <w:r w:rsidRPr="00377DD5">
        <w:rPr>
          <w:lang w:eastAsia="x-none"/>
        </w:rPr>
        <w:t>include</w:t>
      </w:r>
    </w:p>
    <w:p w14:paraId="3F898E6D" w14:textId="77777777" w:rsidR="00377DD5" w:rsidRPr="00377DD5" w:rsidRDefault="00377DD5" w:rsidP="00377DD5">
      <w:pPr>
        <w:numPr>
          <w:ilvl w:val="4"/>
          <w:numId w:val="22"/>
        </w:numPr>
        <w:ind w:left="993"/>
        <w:rPr>
          <w:lang w:eastAsia="x-none"/>
        </w:rPr>
      </w:pPr>
      <w:r w:rsidRPr="00377DD5">
        <w:rPr>
          <w:lang w:eastAsia="x-none"/>
        </w:rPr>
        <w:t xml:space="preserve">Differences of priorities between jurisdictions which can create some tension, </w:t>
      </w:r>
      <w:r w:rsidR="00F051D8">
        <w:rPr>
          <w:lang w:eastAsia="x-none"/>
        </w:rPr>
        <w:t xml:space="preserve">such as the concern some states have in relation to Commonwealth’s offsetting policy, </w:t>
      </w:r>
      <w:r w:rsidRPr="00377DD5">
        <w:rPr>
          <w:lang w:eastAsia="x-none"/>
        </w:rPr>
        <w:t>but these matters have been resolved through</w:t>
      </w:r>
      <w:r w:rsidR="002373A3">
        <w:rPr>
          <w:lang w:eastAsia="x-none"/>
        </w:rPr>
        <w:t xml:space="preserve"> discussion in the E3 Committee;</w:t>
      </w:r>
    </w:p>
    <w:p w14:paraId="1B29C37E" w14:textId="77777777" w:rsidR="00377DD5" w:rsidRPr="00377DD5" w:rsidRDefault="00377DD5" w:rsidP="00377DD5">
      <w:pPr>
        <w:numPr>
          <w:ilvl w:val="4"/>
          <w:numId w:val="22"/>
        </w:numPr>
        <w:ind w:left="993"/>
        <w:rPr>
          <w:lang w:eastAsia="x-none"/>
        </w:rPr>
      </w:pPr>
      <w:r w:rsidRPr="00377DD5">
        <w:rPr>
          <w:lang w:eastAsia="x-none"/>
        </w:rPr>
        <w:t>Lack of active involvement f</w:t>
      </w:r>
      <w:r w:rsidR="002373A3">
        <w:rPr>
          <w:lang w:eastAsia="x-none"/>
        </w:rPr>
        <w:t>rom some states and territories</w:t>
      </w:r>
      <w:r w:rsidR="00E21A39">
        <w:rPr>
          <w:lang w:eastAsia="x-none"/>
        </w:rPr>
        <w:t>, both in the work of the E3 Committee and in managing E3 projects on behalf of the program</w:t>
      </w:r>
      <w:r w:rsidR="002373A3">
        <w:rPr>
          <w:lang w:eastAsia="x-none"/>
        </w:rPr>
        <w:t>; and</w:t>
      </w:r>
    </w:p>
    <w:p w14:paraId="2C3D6EB9" w14:textId="77777777" w:rsidR="002373A3" w:rsidRDefault="00377DD5" w:rsidP="002373A3">
      <w:pPr>
        <w:numPr>
          <w:ilvl w:val="4"/>
          <w:numId w:val="22"/>
        </w:numPr>
        <w:ind w:left="993"/>
        <w:rPr>
          <w:lang w:eastAsia="x-none"/>
        </w:rPr>
      </w:pPr>
      <w:r w:rsidRPr="00377DD5">
        <w:rPr>
          <w:lang w:eastAsia="x-none"/>
        </w:rPr>
        <w:t>Some perceptions that the structure holds up the process</w:t>
      </w:r>
      <w:r w:rsidR="007C4E77">
        <w:rPr>
          <w:lang w:eastAsia="x-none"/>
        </w:rPr>
        <w:t>,</w:t>
      </w:r>
      <w:r w:rsidRPr="00377DD5">
        <w:rPr>
          <w:lang w:eastAsia="x-none"/>
        </w:rPr>
        <w:t xml:space="preserve"> as many parties need to be brought up to speed i</w:t>
      </w:r>
      <w:r w:rsidR="002373A3">
        <w:rPr>
          <w:lang w:eastAsia="x-none"/>
        </w:rPr>
        <w:t xml:space="preserve">n order </w:t>
      </w:r>
      <w:r w:rsidR="00882DA9">
        <w:rPr>
          <w:lang w:eastAsia="x-none"/>
        </w:rPr>
        <w:t>to have the same understanding necessary to provide input.</w:t>
      </w:r>
    </w:p>
    <w:p w14:paraId="4BCD80A7" w14:textId="77777777" w:rsidR="00377DD5" w:rsidRDefault="00377DD5" w:rsidP="00385606">
      <w:pPr>
        <w:rPr>
          <w:lang w:eastAsia="x-none"/>
        </w:rPr>
      </w:pPr>
      <w:r w:rsidRPr="00377DD5">
        <w:rPr>
          <w:lang w:eastAsia="x-none"/>
        </w:rPr>
        <w:t xml:space="preserve">Despite these issues, wider stakeholders are supportive of the E3 Committee and its work and perceive benefits over the previous scheme. </w:t>
      </w:r>
    </w:p>
    <w:p w14:paraId="25CD7185" w14:textId="77777777" w:rsidR="00235B8C" w:rsidRPr="00377DD5" w:rsidRDefault="00235B8C" w:rsidP="00235B8C">
      <w:r w:rsidRPr="00377DD5">
        <w:t xml:space="preserve">The review concludes that the IGA provides a strong framework for national cooperation in implementing GEMS and the E3 Program. </w:t>
      </w:r>
      <w:r w:rsidR="00CC2994">
        <w:t xml:space="preserve"> </w:t>
      </w:r>
      <w:r w:rsidRPr="00377DD5">
        <w:t xml:space="preserve">However, should any party to the IGA decide not to meet their obligation to provide annual funding to the program, </w:t>
      </w:r>
      <w:r w:rsidR="009E4D2F">
        <w:t xml:space="preserve">provisions allowing </w:t>
      </w:r>
      <w:r w:rsidRPr="00377DD5">
        <w:t xml:space="preserve">only those jurisdictions </w:t>
      </w:r>
      <w:r w:rsidR="009E4D2F">
        <w:t xml:space="preserve">that </w:t>
      </w:r>
      <w:r w:rsidRPr="00377DD5">
        <w:t>contribut</w:t>
      </w:r>
      <w:r w:rsidR="009E4D2F">
        <w:t>e</w:t>
      </w:r>
      <w:r w:rsidRPr="00377DD5">
        <w:t xml:space="preserve"> funding </w:t>
      </w:r>
      <w:r w:rsidR="009E4D2F">
        <w:t xml:space="preserve">to </w:t>
      </w:r>
      <w:r w:rsidRPr="00377DD5">
        <w:t>participate in decision making</w:t>
      </w:r>
      <w:r w:rsidR="009E4D2F">
        <w:t xml:space="preserve"> should be </w:t>
      </w:r>
      <w:r w:rsidR="007C4E77">
        <w:t>applied</w:t>
      </w:r>
      <w:r w:rsidRPr="00377DD5">
        <w:t>.</w:t>
      </w:r>
    </w:p>
    <w:p w14:paraId="5588AF8A" w14:textId="77777777" w:rsidR="00377DD5" w:rsidRPr="00377DD5" w:rsidRDefault="00377DD5" w:rsidP="00385606">
      <w:pPr>
        <w:pStyle w:val="Heading3"/>
      </w:pPr>
      <w:bookmarkStart w:id="95" w:name="_Toc422298404"/>
      <w:r w:rsidRPr="00377DD5">
        <w:t>Recommendation</w:t>
      </w:r>
      <w:bookmarkEnd w:id="95"/>
    </w:p>
    <w:p w14:paraId="77C3321F" w14:textId="77777777" w:rsidR="00385606" w:rsidRDefault="00385606" w:rsidP="00385606">
      <w:pPr>
        <w:spacing w:after="0"/>
      </w:pPr>
    </w:p>
    <w:p w14:paraId="1666CC2C" w14:textId="77777777" w:rsidR="00385606" w:rsidRDefault="00377DD5" w:rsidP="00385606">
      <w:r w:rsidRPr="00377DD5">
        <w:t>Retain the IGA in its current form as it represents good practice, providing a strong framework for the governance of the program.</w:t>
      </w:r>
    </w:p>
    <w:p w14:paraId="00B35FAC" w14:textId="77777777" w:rsidR="0082004D" w:rsidRPr="002F2289" w:rsidRDefault="0082004D" w:rsidP="00903EE2">
      <w:pPr>
        <w:pStyle w:val="Heading2"/>
        <w:ind w:left="431" w:hanging="578"/>
      </w:pPr>
      <w:bookmarkStart w:id="96" w:name="_Ref413349827"/>
      <w:bookmarkStart w:id="97" w:name="_Toc422298405"/>
      <w:r w:rsidRPr="002F2289">
        <w:lastRenderedPageBreak/>
        <w:t xml:space="preserve">The </w:t>
      </w:r>
      <w:r w:rsidR="00144C04" w:rsidRPr="002F2289">
        <w:t>G</w:t>
      </w:r>
      <w:r w:rsidR="002F23B5" w:rsidRPr="002F2289">
        <w:t>EMS</w:t>
      </w:r>
      <w:r w:rsidR="00144C04" w:rsidRPr="002F2289">
        <w:t xml:space="preserve"> Act 2012</w:t>
      </w:r>
      <w:bookmarkEnd w:id="83"/>
      <w:bookmarkEnd w:id="86"/>
      <w:bookmarkEnd w:id="96"/>
      <w:bookmarkEnd w:id="97"/>
    </w:p>
    <w:p w14:paraId="7C69F8FC" w14:textId="77777777" w:rsidR="00A91513" w:rsidRDefault="002F2289" w:rsidP="009F4031">
      <w:r w:rsidRPr="002F2289">
        <w:rPr>
          <w:lang w:eastAsia="x-none"/>
        </w:rPr>
        <w:t>This section explore</w:t>
      </w:r>
      <w:r w:rsidR="00C55477">
        <w:rPr>
          <w:lang w:eastAsia="x-none"/>
        </w:rPr>
        <w:t>s</w:t>
      </w:r>
      <w:r w:rsidRPr="002F2289">
        <w:rPr>
          <w:lang w:eastAsia="x-none"/>
        </w:rPr>
        <w:t xml:space="preserve"> the GEMS Act, </w:t>
      </w:r>
      <w:r w:rsidRPr="002F2289">
        <w:t xml:space="preserve">drawing on evidence from review of the Act itself, the Regulatory Impact Statement underpinning the Act, program documentation, wider literature and stakeholder feedback.  </w:t>
      </w:r>
    </w:p>
    <w:p w14:paraId="0881E1E6" w14:textId="77777777" w:rsidR="00F33AC7" w:rsidRDefault="002C52E7" w:rsidP="009F4031">
      <w:r>
        <w:t>A</w:t>
      </w:r>
      <w:r w:rsidR="00F54A80">
        <w:t>n explanatory memorandum was published</w:t>
      </w:r>
      <w:r>
        <w:t xml:space="preserve"> alongside the Act</w:t>
      </w:r>
      <w:r w:rsidR="00F54A80">
        <w:t xml:space="preserve"> which provides a</w:t>
      </w:r>
      <w:r>
        <w:t xml:space="preserve"> useful</w:t>
      </w:r>
      <w:r w:rsidR="00F54A80">
        <w:t xml:space="preserve"> overview</w:t>
      </w:r>
      <w:r w:rsidR="00702BFA">
        <w:t xml:space="preserve"> </w:t>
      </w:r>
      <w:r w:rsidR="00F54A80">
        <w:t xml:space="preserve">and explains each clause </w:t>
      </w:r>
      <w:r w:rsidR="00605724">
        <w:t>within it</w:t>
      </w:r>
      <w:r w:rsidR="00F54A80">
        <w:rPr>
          <w:rStyle w:val="FootnoteReference"/>
        </w:rPr>
        <w:footnoteReference w:id="124"/>
      </w:r>
      <w:r w:rsidR="00F54A80">
        <w:t xml:space="preserve">. </w:t>
      </w:r>
      <w:r>
        <w:t xml:space="preserve"> Each key area of the Act was reviewed using this </w:t>
      </w:r>
      <w:r w:rsidR="00605724">
        <w:t>explanatory memorandum</w:t>
      </w:r>
      <w:r w:rsidR="00A91513">
        <w:t xml:space="preserve">.  This would be too detailed to set out within this report, </w:t>
      </w:r>
      <w:r w:rsidR="00F33AC7">
        <w:t xml:space="preserve">so it </w:t>
      </w:r>
      <w:r w:rsidR="00A91513">
        <w:t xml:space="preserve">is provided in </w:t>
      </w:r>
      <w:r w:rsidR="00C66089">
        <w:t xml:space="preserve">Section 9 of </w:t>
      </w:r>
      <w:r w:rsidR="00A91513">
        <w:t xml:space="preserve">the </w:t>
      </w:r>
      <w:r w:rsidR="007D55B8">
        <w:t>A</w:t>
      </w:r>
      <w:r w:rsidR="00A91513">
        <w:t>ppendix</w:t>
      </w:r>
      <w:r>
        <w:t>.  A</w:t>
      </w:r>
      <w:r w:rsidR="00A91513">
        <w:t xml:space="preserve"> summary of key outputs is provided below. </w:t>
      </w:r>
    </w:p>
    <w:p w14:paraId="79C3E76E" w14:textId="77777777" w:rsidR="00F33AC7" w:rsidRDefault="00F33AC7" w:rsidP="002C52E7">
      <w:pPr>
        <w:rPr>
          <w:lang w:eastAsia="x-none"/>
        </w:rPr>
      </w:pPr>
      <w:r w:rsidRPr="009C37B6">
        <w:rPr>
          <w:lang w:eastAsia="x-none"/>
        </w:rPr>
        <w:t xml:space="preserve">The effectiveness of the Act </w:t>
      </w:r>
      <w:r w:rsidR="007F63D3">
        <w:rPr>
          <w:lang w:eastAsia="x-none"/>
        </w:rPr>
        <w:t>wa</w:t>
      </w:r>
      <w:r w:rsidRPr="009C37B6">
        <w:rPr>
          <w:lang w:eastAsia="x-none"/>
        </w:rPr>
        <w:t xml:space="preserve">s assessed by considering the outcomes delivered by the scheme, comparing the regulations with the previous state based legislation and discussing these further within stakeholder interviews. </w:t>
      </w:r>
      <w:r>
        <w:rPr>
          <w:lang w:eastAsia="x-none"/>
        </w:rPr>
        <w:t xml:space="preserve"> Furthermore, </w:t>
      </w:r>
      <w:r w:rsidR="002C52E7">
        <w:rPr>
          <w:lang w:eastAsia="x-none"/>
        </w:rPr>
        <w:t xml:space="preserve">the review included consideration of </w:t>
      </w:r>
      <w:r>
        <w:rPr>
          <w:lang w:eastAsia="x-none"/>
        </w:rPr>
        <w:t xml:space="preserve">whether each major element </w:t>
      </w:r>
      <w:r w:rsidR="002C52E7">
        <w:rPr>
          <w:lang w:eastAsia="x-none"/>
        </w:rPr>
        <w:t xml:space="preserve">of the Act </w:t>
      </w:r>
      <w:r>
        <w:rPr>
          <w:lang w:eastAsia="x-none"/>
        </w:rPr>
        <w:t>was necessary and/or efficient</w:t>
      </w:r>
      <w:r w:rsidR="002D1B06">
        <w:rPr>
          <w:lang w:eastAsia="x-none"/>
        </w:rPr>
        <w:t>, informed by evidence from other schemes and discussions with experts</w:t>
      </w:r>
      <w:r>
        <w:rPr>
          <w:lang w:eastAsia="x-none"/>
        </w:rPr>
        <w:t xml:space="preserve"> (</w:t>
      </w:r>
      <w:r w:rsidR="00300314">
        <w:rPr>
          <w:lang w:eastAsia="x-none"/>
        </w:rPr>
        <w:t>S</w:t>
      </w:r>
      <w:r>
        <w:rPr>
          <w:lang w:eastAsia="x-none"/>
        </w:rPr>
        <w:t xml:space="preserve">ection </w:t>
      </w:r>
      <w:r>
        <w:rPr>
          <w:lang w:eastAsia="x-none"/>
        </w:rPr>
        <w:fldChar w:fldCharType="begin"/>
      </w:r>
      <w:r>
        <w:rPr>
          <w:lang w:eastAsia="x-none"/>
        </w:rPr>
        <w:instrText xml:space="preserve"> REF _Ref409267970 \r \h </w:instrText>
      </w:r>
      <w:r w:rsidR="009F4031">
        <w:rPr>
          <w:lang w:eastAsia="x-none"/>
        </w:rPr>
        <w:instrText xml:space="preserve"> \* MERGEFORMAT </w:instrText>
      </w:r>
      <w:r>
        <w:rPr>
          <w:lang w:eastAsia="x-none"/>
        </w:rPr>
      </w:r>
      <w:r>
        <w:rPr>
          <w:lang w:eastAsia="x-none"/>
        </w:rPr>
        <w:fldChar w:fldCharType="separate"/>
      </w:r>
      <w:r w:rsidR="00BE13BF">
        <w:rPr>
          <w:lang w:eastAsia="x-none"/>
        </w:rPr>
        <w:t>7.2.2</w:t>
      </w:r>
      <w:r>
        <w:rPr>
          <w:lang w:eastAsia="x-none"/>
        </w:rPr>
        <w:fldChar w:fldCharType="end"/>
      </w:r>
      <w:r>
        <w:rPr>
          <w:lang w:eastAsia="x-none"/>
        </w:rPr>
        <w:t xml:space="preserve">).  </w:t>
      </w:r>
      <w:r w:rsidRPr="00F33AC7">
        <w:rPr>
          <w:lang w:eastAsia="x-none"/>
        </w:rPr>
        <w:t xml:space="preserve">In doing so, potential opportunities to improve efficiency and effectiveness were identified (detailed in </w:t>
      </w:r>
      <w:r w:rsidR="00300314">
        <w:rPr>
          <w:lang w:eastAsia="x-none"/>
        </w:rPr>
        <w:t>S</w:t>
      </w:r>
      <w:r w:rsidRPr="00F33AC7">
        <w:rPr>
          <w:lang w:eastAsia="x-none"/>
        </w:rPr>
        <w:t xml:space="preserve">ections </w:t>
      </w:r>
      <w:r w:rsidRPr="00F33AC7">
        <w:rPr>
          <w:lang w:eastAsia="x-none"/>
        </w:rPr>
        <w:fldChar w:fldCharType="begin"/>
      </w:r>
      <w:r w:rsidRPr="00F33AC7">
        <w:rPr>
          <w:lang w:eastAsia="x-none"/>
        </w:rPr>
        <w:instrText xml:space="preserve"> REF _Ref409267981 \r \h </w:instrText>
      </w:r>
      <w:r>
        <w:rPr>
          <w:lang w:eastAsia="x-none"/>
        </w:rPr>
        <w:instrText xml:space="preserve"> \* MERGEFORMAT </w:instrText>
      </w:r>
      <w:r w:rsidRPr="00F33AC7">
        <w:rPr>
          <w:lang w:eastAsia="x-none"/>
        </w:rPr>
      </w:r>
      <w:r w:rsidRPr="00F33AC7">
        <w:rPr>
          <w:lang w:eastAsia="x-none"/>
        </w:rPr>
        <w:fldChar w:fldCharType="separate"/>
      </w:r>
      <w:r w:rsidR="00BE13BF">
        <w:rPr>
          <w:lang w:eastAsia="x-none"/>
        </w:rPr>
        <w:t>7.2.3</w:t>
      </w:r>
      <w:r w:rsidRPr="00F33AC7">
        <w:rPr>
          <w:lang w:eastAsia="x-none"/>
        </w:rPr>
        <w:fldChar w:fldCharType="end"/>
      </w:r>
      <w:r w:rsidRPr="00F33AC7">
        <w:rPr>
          <w:lang w:eastAsia="x-none"/>
        </w:rPr>
        <w:t xml:space="preserve"> and </w:t>
      </w:r>
      <w:r w:rsidRPr="00F33AC7">
        <w:rPr>
          <w:lang w:eastAsia="x-none"/>
        </w:rPr>
        <w:fldChar w:fldCharType="begin"/>
      </w:r>
      <w:r w:rsidRPr="00F33AC7">
        <w:rPr>
          <w:lang w:eastAsia="x-none"/>
        </w:rPr>
        <w:instrText xml:space="preserve"> REF _Ref409267994 \r \h </w:instrText>
      </w:r>
      <w:r>
        <w:rPr>
          <w:lang w:eastAsia="x-none"/>
        </w:rPr>
        <w:instrText xml:space="preserve"> \* MERGEFORMAT </w:instrText>
      </w:r>
      <w:r w:rsidRPr="00F33AC7">
        <w:rPr>
          <w:lang w:eastAsia="x-none"/>
        </w:rPr>
      </w:r>
      <w:r w:rsidRPr="00F33AC7">
        <w:rPr>
          <w:lang w:eastAsia="x-none"/>
        </w:rPr>
        <w:fldChar w:fldCharType="separate"/>
      </w:r>
      <w:r w:rsidR="00BE13BF">
        <w:rPr>
          <w:lang w:eastAsia="x-none"/>
        </w:rPr>
        <w:t>7.2.4</w:t>
      </w:r>
      <w:r w:rsidRPr="00F33AC7">
        <w:rPr>
          <w:lang w:eastAsia="x-none"/>
        </w:rPr>
        <w:fldChar w:fldCharType="end"/>
      </w:r>
      <w:r w:rsidRPr="00F33AC7">
        <w:rPr>
          <w:lang w:eastAsia="x-none"/>
        </w:rPr>
        <w:t>).</w:t>
      </w:r>
      <w:r>
        <w:rPr>
          <w:lang w:eastAsia="x-none"/>
        </w:rPr>
        <w:t xml:space="preserve"> </w:t>
      </w:r>
    </w:p>
    <w:p w14:paraId="6B924D9C" w14:textId="77777777" w:rsidR="00A91513" w:rsidRDefault="00447CE4" w:rsidP="009F4031">
      <w:pPr>
        <w:pStyle w:val="Heading3"/>
      </w:pPr>
      <w:bookmarkStart w:id="98" w:name="_Toc422298406"/>
      <w:r>
        <w:t xml:space="preserve">Effectiveness of the </w:t>
      </w:r>
      <w:r w:rsidR="002C52E7">
        <w:t>Act</w:t>
      </w:r>
      <w:bookmarkEnd w:id="98"/>
    </w:p>
    <w:p w14:paraId="66B8542D" w14:textId="77777777" w:rsidR="00DD7C8B" w:rsidRPr="00DD7C8B" w:rsidRDefault="00DD7C8B" w:rsidP="009F4031">
      <w:pPr>
        <w:rPr>
          <w:b/>
          <w:lang w:eastAsia="x-none"/>
        </w:rPr>
      </w:pPr>
      <w:r w:rsidRPr="00DD7C8B">
        <w:rPr>
          <w:b/>
          <w:lang w:eastAsia="x-none"/>
        </w:rPr>
        <w:t>Delivery of outcomes</w:t>
      </w:r>
    </w:p>
    <w:p w14:paraId="488241F3" w14:textId="77777777" w:rsidR="00447CE4" w:rsidRPr="009C37B6" w:rsidRDefault="00447CE4" w:rsidP="000A5806">
      <w:pPr>
        <w:rPr>
          <w:lang w:eastAsia="x-none"/>
        </w:rPr>
      </w:pPr>
      <w:r w:rsidRPr="009C37B6">
        <w:rPr>
          <w:lang w:eastAsia="x-none"/>
        </w:rPr>
        <w:t xml:space="preserve">The evidence presented in </w:t>
      </w:r>
      <w:r w:rsidR="00300314">
        <w:rPr>
          <w:lang w:eastAsia="x-none"/>
        </w:rPr>
        <w:t>S</w:t>
      </w:r>
      <w:r w:rsidRPr="009C37B6">
        <w:rPr>
          <w:lang w:eastAsia="x-none"/>
        </w:rPr>
        <w:t xml:space="preserve">ection </w:t>
      </w:r>
      <w:r w:rsidRPr="009C37B6">
        <w:rPr>
          <w:lang w:eastAsia="x-none"/>
        </w:rPr>
        <w:fldChar w:fldCharType="begin"/>
      </w:r>
      <w:r w:rsidRPr="009C37B6">
        <w:rPr>
          <w:lang w:eastAsia="x-none"/>
        </w:rPr>
        <w:instrText xml:space="preserve"> REF _Ref409258084 \r \h </w:instrText>
      </w:r>
      <w:r w:rsidR="009C37B6">
        <w:rPr>
          <w:lang w:eastAsia="x-none"/>
        </w:rPr>
        <w:instrText xml:space="preserve"> \* MERGEFORMAT </w:instrText>
      </w:r>
      <w:r w:rsidRPr="009C37B6">
        <w:rPr>
          <w:lang w:eastAsia="x-none"/>
        </w:rPr>
      </w:r>
      <w:r w:rsidRPr="009C37B6">
        <w:rPr>
          <w:lang w:eastAsia="x-none"/>
        </w:rPr>
        <w:fldChar w:fldCharType="separate"/>
      </w:r>
      <w:r w:rsidR="00BE13BF">
        <w:rPr>
          <w:lang w:eastAsia="x-none"/>
        </w:rPr>
        <w:t>6</w:t>
      </w:r>
      <w:r w:rsidRPr="009C37B6">
        <w:rPr>
          <w:lang w:eastAsia="x-none"/>
        </w:rPr>
        <w:fldChar w:fldCharType="end"/>
      </w:r>
      <w:r w:rsidRPr="009C37B6">
        <w:rPr>
          <w:lang w:eastAsia="x-none"/>
        </w:rPr>
        <w:t xml:space="preserve"> provides a clear indication that the Act is supporting delivery of significant</w:t>
      </w:r>
      <w:r w:rsidR="002C52E7">
        <w:rPr>
          <w:lang w:eastAsia="x-none"/>
        </w:rPr>
        <w:t>, beneficial</w:t>
      </w:r>
      <w:r w:rsidRPr="009C37B6">
        <w:rPr>
          <w:lang w:eastAsia="x-none"/>
        </w:rPr>
        <w:t xml:space="preserve"> outcomes.  </w:t>
      </w:r>
      <w:r w:rsidR="009C37B6" w:rsidRPr="009C37B6">
        <w:rPr>
          <w:lang w:eastAsia="x-none"/>
        </w:rPr>
        <w:t>As</w:t>
      </w:r>
      <w:r w:rsidRPr="009C37B6">
        <w:rPr>
          <w:lang w:eastAsia="x-none"/>
        </w:rPr>
        <w:t xml:space="preserve"> discussed </w:t>
      </w:r>
      <w:r w:rsidR="009C37B6" w:rsidRPr="009C37B6">
        <w:rPr>
          <w:lang w:eastAsia="x-none"/>
        </w:rPr>
        <w:t xml:space="preserve">in </w:t>
      </w:r>
      <w:r w:rsidR="00300314">
        <w:rPr>
          <w:lang w:eastAsia="x-none"/>
        </w:rPr>
        <w:t>S</w:t>
      </w:r>
      <w:r w:rsidR="009C37B6" w:rsidRPr="009C37B6">
        <w:rPr>
          <w:lang w:eastAsia="x-none"/>
        </w:rPr>
        <w:t xml:space="preserve">ection </w:t>
      </w:r>
      <w:r w:rsidR="009C37B6" w:rsidRPr="009C37B6">
        <w:rPr>
          <w:lang w:eastAsia="x-none"/>
        </w:rPr>
        <w:fldChar w:fldCharType="begin"/>
      </w:r>
      <w:r w:rsidR="009C37B6" w:rsidRPr="009C37B6">
        <w:rPr>
          <w:lang w:eastAsia="x-none"/>
        </w:rPr>
        <w:instrText xml:space="preserve"> REF _Ref409258494 \r \h </w:instrText>
      </w:r>
      <w:r w:rsidR="009C37B6">
        <w:rPr>
          <w:lang w:eastAsia="x-none"/>
        </w:rPr>
        <w:instrText xml:space="preserve"> \* MERGEFORMAT </w:instrText>
      </w:r>
      <w:r w:rsidR="009C37B6" w:rsidRPr="009C37B6">
        <w:rPr>
          <w:lang w:eastAsia="x-none"/>
        </w:rPr>
      </w:r>
      <w:r w:rsidR="009C37B6" w:rsidRPr="009C37B6">
        <w:rPr>
          <w:lang w:eastAsia="x-none"/>
        </w:rPr>
        <w:fldChar w:fldCharType="separate"/>
      </w:r>
      <w:r w:rsidR="00BE13BF">
        <w:rPr>
          <w:lang w:eastAsia="x-none"/>
        </w:rPr>
        <w:t>6</w:t>
      </w:r>
      <w:r w:rsidR="009C37B6" w:rsidRPr="009C37B6">
        <w:rPr>
          <w:lang w:eastAsia="x-none"/>
        </w:rPr>
        <w:fldChar w:fldCharType="end"/>
      </w:r>
      <w:r w:rsidR="009C37B6" w:rsidRPr="009C37B6">
        <w:rPr>
          <w:lang w:eastAsia="x-none"/>
        </w:rPr>
        <w:t xml:space="preserve">, </w:t>
      </w:r>
      <w:r w:rsidRPr="009C37B6">
        <w:rPr>
          <w:lang w:eastAsia="x-none"/>
        </w:rPr>
        <w:t xml:space="preserve">it is not possible to </w:t>
      </w:r>
      <w:r w:rsidR="002C52E7">
        <w:rPr>
          <w:lang w:eastAsia="x-none"/>
        </w:rPr>
        <w:t>quantify</w:t>
      </w:r>
      <w:r w:rsidR="002C52E7" w:rsidRPr="009C37B6">
        <w:rPr>
          <w:lang w:eastAsia="x-none"/>
        </w:rPr>
        <w:t xml:space="preserve"> </w:t>
      </w:r>
      <w:r w:rsidRPr="009C37B6">
        <w:rPr>
          <w:lang w:eastAsia="x-none"/>
        </w:rPr>
        <w:t xml:space="preserve">the impact on </w:t>
      </w:r>
      <w:r w:rsidR="009C37B6" w:rsidRPr="009C37B6">
        <w:rPr>
          <w:lang w:eastAsia="x-none"/>
        </w:rPr>
        <w:t xml:space="preserve">program </w:t>
      </w:r>
      <w:r w:rsidRPr="009C37B6">
        <w:rPr>
          <w:lang w:eastAsia="x-none"/>
        </w:rPr>
        <w:t xml:space="preserve">outcomes achieved </w:t>
      </w:r>
      <w:r w:rsidR="00314807">
        <w:rPr>
          <w:lang w:eastAsia="x-none"/>
        </w:rPr>
        <w:t>by</w:t>
      </w:r>
      <w:r w:rsidRPr="009C37B6">
        <w:rPr>
          <w:lang w:eastAsia="x-none"/>
        </w:rPr>
        <w:t xml:space="preserve"> the transition from the previous multi-jurisdictional scheme to GEMS</w:t>
      </w:r>
      <w:r w:rsidR="009C37B6" w:rsidRPr="009C37B6">
        <w:rPr>
          <w:lang w:eastAsia="x-none"/>
        </w:rPr>
        <w:t xml:space="preserve">.  However, </w:t>
      </w:r>
      <w:r w:rsidR="007B3B3E">
        <w:rPr>
          <w:lang w:eastAsia="x-none"/>
        </w:rPr>
        <w:t xml:space="preserve">as discussed further below, </w:t>
      </w:r>
      <w:r w:rsidR="009C37B6" w:rsidRPr="009C37B6">
        <w:rPr>
          <w:lang w:eastAsia="x-none"/>
        </w:rPr>
        <w:t>detailed review of the Act has not unearthed any significant issue</w:t>
      </w:r>
      <w:r w:rsidR="000A5806">
        <w:rPr>
          <w:lang w:eastAsia="x-none"/>
        </w:rPr>
        <w:t>s</w:t>
      </w:r>
      <w:r w:rsidR="009C37B6" w:rsidRPr="009C37B6">
        <w:rPr>
          <w:lang w:eastAsia="x-none"/>
        </w:rPr>
        <w:t xml:space="preserve"> which results in concerns that the Act would </w:t>
      </w:r>
      <w:r w:rsidR="000A5806">
        <w:rPr>
          <w:lang w:eastAsia="x-none"/>
        </w:rPr>
        <w:t xml:space="preserve">be delivering lesser outcomes. </w:t>
      </w:r>
    </w:p>
    <w:p w14:paraId="4828EDEE" w14:textId="77777777" w:rsidR="00447CE4" w:rsidRPr="009C37B6" w:rsidRDefault="0067361B" w:rsidP="009F4031">
      <w:pPr>
        <w:rPr>
          <w:b/>
          <w:lang w:eastAsia="x-none"/>
        </w:rPr>
      </w:pPr>
      <w:r w:rsidRPr="009C37B6">
        <w:rPr>
          <w:b/>
          <w:lang w:eastAsia="x-none"/>
        </w:rPr>
        <w:t>Com</w:t>
      </w:r>
      <w:r w:rsidR="00447CE4" w:rsidRPr="009C37B6">
        <w:rPr>
          <w:b/>
          <w:lang w:eastAsia="x-none"/>
        </w:rPr>
        <w:t>parison</w:t>
      </w:r>
      <w:r w:rsidR="009C37B6" w:rsidRPr="009C37B6">
        <w:rPr>
          <w:b/>
          <w:lang w:eastAsia="x-none"/>
        </w:rPr>
        <w:t>s between the GEMS Act and the previous multi-jurisdictional</w:t>
      </w:r>
      <w:r w:rsidR="00447CE4" w:rsidRPr="009C37B6">
        <w:rPr>
          <w:b/>
          <w:lang w:eastAsia="x-none"/>
        </w:rPr>
        <w:t xml:space="preserve"> </w:t>
      </w:r>
      <w:r w:rsidR="009C37B6" w:rsidRPr="009C37B6">
        <w:rPr>
          <w:b/>
          <w:lang w:eastAsia="x-none"/>
        </w:rPr>
        <w:t>scheme regulatory framework</w:t>
      </w:r>
    </w:p>
    <w:p w14:paraId="653C9774" w14:textId="77777777" w:rsidR="00C91819" w:rsidRPr="00444AB0" w:rsidRDefault="009C37B6" w:rsidP="009F4031">
      <w:pPr>
        <w:spacing w:after="0"/>
        <w:rPr>
          <w:lang w:eastAsia="x-none"/>
        </w:rPr>
      </w:pPr>
      <w:r w:rsidRPr="009C37B6">
        <w:rPr>
          <w:lang w:eastAsia="x-none"/>
        </w:rPr>
        <w:t>I</w:t>
      </w:r>
      <w:r w:rsidR="0067361B" w:rsidRPr="009C37B6">
        <w:rPr>
          <w:lang w:eastAsia="x-none"/>
        </w:rPr>
        <w:t>t is challenging to make comparisons</w:t>
      </w:r>
      <w:r w:rsidRPr="009C37B6">
        <w:rPr>
          <w:lang w:eastAsia="x-none"/>
        </w:rPr>
        <w:t xml:space="preserve"> between the GEMS Act and the previous scheme </w:t>
      </w:r>
      <w:r w:rsidR="00DB2A55">
        <w:rPr>
          <w:lang w:eastAsia="x-none"/>
        </w:rPr>
        <w:t>because</w:t>
      </w:r>
      <w:r w:rsidR="00444AB0">
        <w:rPr>
          <w:lang w:eastAsia="x-none"/>
        </w:rPr>
        <w:t xml:space="preserve"> t</w:t>
      </w:r>
      <w:r w:rsidRPr="009C37B6">
        <w:rPr>
          <w:lang w:eastAsia="x-none"/>
        </w:rPr>
        <w:t>he GEMS Act was only implemented in October 2012 – which is a short time frame</w:t>
      </w:r>
      <w:r w:rsidR="001D188D">
        <w:rPr>
          <w:lang w:eastAsia="x-none"/>
        </w:rPr>
        <w:t xml:space="preserve"> in which</w:t>
      </w:r>
      <w:r w:rsidRPr="009C37B6">
        <w:rPr>
          <w:lang w:eastAsia="x-none"/>
        </w:rPr>
        <w:t xml:space="preserve"> to make useful comparisons</w:t>
      </w:r>
      <w:r w:rsidRPr="009C37B6">
        <w:rPr>
          <w:rStyle w:val="FootnoteReference"/>
          <w:lang w:eastAsia="x-none"/>
        </w:rPr>
        <w:footnoteReference w:id="125"/>
      </w:r>
      <w:r w:rsidRPr="009C37B6">
        <w:rPr>
          <w:lang w:eastAsia="x-none"/>
        </w:rPr>
        <w:t xml:space="preserve">. </w:t>
      </w:r>
      <w:r w:rsidR="00DB5415">
        <w:rPr>
          <w:lang w:eastAsia="x-none"/>
        </w:rPr>
        <w:t xml:space="preserve"> </w:t>
      </w:r>
      <w:r w:rsidR="00EA3749" w:rsidRPr="00444AB0">
        <w:rPr>
          <w:lang w:eastAsia="x-none"/>
        </w:rPr>
        <w:t>H</w:t>
      </w:r>
      <w:r w:rsidR="00DB2A55" w:rsidRPr="00444AB0">
        <w:rPr>
          <w:lang w:eastAsia="x-none"/>
        </w:rPr>
        <w:t xml:space="preserve">owever it </w:t>
      </w:r>
      <w:r w:rsidR="00DB5415">
        <w:rPr>
          <w:lang w:eastAsia="x-none"/>
        </w:rPr>
        <w:t>was</w:t>
      </w:r>
      <w:r w:rsidR="00DB2A55" w:rsidRPr="00444AB0">
        <w:rPr>
          <w:lang w:eastAsia="x-none"/>
        </w:rPr>
        <w:t xml:space="preserve"> possible to draw insights and evidence from some sources, </w:t>
      </w:r>
      <w:r w:rsidR="00DB5415">
        <w:rPr>
          <w:lang w:eastAsia="x-none"/>
        </w:rPr>
        <w:t>including</w:t>
      </w:r>
      <w:r w:rsidR="00DB2A55" w:rsidRPr="00444AB0">
        <w:rPr>
          <w:lang w:eastAsia="x-none"/>
        </w:rPr>
        <w:t>:</w:t>
      </w:r>
    </w:p>
    <w:p w14:paraId="608B2EBB" w14:textId="77777777" w:rsidR="00DB2A55" w:rsidRPr="00DB5415" w:rsidRDefault="0067361B" w:rsidP="00320FDC">
      <w:pPr>
        <w:numPr>
          <w:ilvl w:val="0"/>
          <w:numId w:val="37"/>
        </w:numPr>
        <w:spacing w:after="0"/>
        <w:ind w:left="426"/>
        <w:rPr>
          <w:lang w:eastAsia="x-none"/>
        </w:rPr>
      </w:pPr>
      <w:r w:rsidRPr="009D32BA">
        <w:rPr>
          <w:u w:val="single"/>
          <w:lang w:eastAsia="x-none"/>
        </w:rPr>
        <w:t xml:space="preserve">The </w:t>
      </w:r>
      <w:r w:rsidR="00DB2A55" w:rsidRPr="009D32BA">
        <w:rPr>
          <w:u w:val="single"/>
          <w:lang w:eastAsia="x-none"/>
        </w:rPr>
        <w:t>rationale</w:t>
      </w:r>
      <w:r w:rsidRPr="009D32BA">
        <w:rPr>
          <w:u w:val="single"/>
          <w:lang w:eastAsia="x-none"/>
        </w:rPr>
        <w:t xml:space="preserve"> </w:t>
      </w:r>
      <w:r w:rsidR="000A5806">
        <w:rPr>
          <w:u w:val="single"/>
          <w:lang w:eastAsia="x-none"/>
        </w:rPr>
        <w:t>up</w:t>
      </w:r>
      <w:r w:rsidRPr="009D32BA">
        <w:rPr>
          <w:u w:val="single"/>
          <w:lang w:eastAsia="x-none"/>
        </w:rPr>
        <w:t>on which the Act was based</w:t>
      </w:r>
      <w:r w:rsidR="00DB2A55" w:rsidRPr="009D32BA">
        <w:rPr>
          <w:u w:val="single"/>
          <w:lang w:eastAsia="x-none"/>
        </w:rPr>
        <w:t xml:space="preserve"> and evidence of inconsistencies in the application of standards and labelling schemes in Australia</w:t>
      </w:r>
      <w:r w:rsidR="00DB2A55" w:rsidRPr="00444AB0">
        <w:rPr>
          <w:lang w:eastAsia="x-none"/>
        </w:rPr>
        <w:t xml:space="preserve">.  </w:t>
      </w:r>
      <w:r w:rsidR="00444AB0" w:rsidRPr="00DB5415">
        <w:rPr>
          <w:lang w:eastAsia="x-none"/>
        </w:rPr>
        <w:t xml:space="preserve">As reported in </w:t>
      </w:r>
      <w:r w:rsidR="00300314">
        <w:rPr>
          <w:lang w:eastAsia="x-none"/>
        </w:rPr>
        <w:t>S</w:t>
      </w:r>
      <w:r w:rsidR="00E05DA7" w:rsidRPr="00DB5415">
        <w:rPr>
          <w:lang w:eastAsia="x-none"/>
        </w:rPr>
        <w:t xml:space="preserve">ection </w:t>
      </w:r>
      <w:r w:rsidR="00E05DA7" w:rsidRPr="00DB5415">
        <w:rPr>
          <w:lang w:eastAsia="x-none"/>
        </w:rPr>
        <w:fldChar w:fldCharType="begin"/>
      </w:r>
      <w:r w:rsidR="00E05DA7" w:rsidRPr="00DB5415">
        <w:rPr>
          <w:lang w:eastAsia="x-none"/>
        </w:rPr>
        <w:instrText xml:space="preserve"> REF _Ref409083289 \r \h </w:instrText>
      </w:r>
      <w:r w:rsidR="00DB5415" w:rsidRPr="00DB5415">
        <w:rPr>
          <w:lang w:eastAsia="x-none"/>
        </w:rPr>
        <w:instrText xml:space="preserve"> \* MERGEFORMAT </w:instrText>
      </w:r>
      <w:r w:rsidR="00E05DA7" w:rsidRPr="00DB5415">
        <w:rPr>
          <w:lang w:eastAsia="x-none"/>
        </w:rPr>
      </w:r>
      <w:r w:rsidR="00E05DA7" w:rsidRPr="00DB5415">
        <w:rPr>
          <w:lang w:eastAsia="x-none"/>
        </w:rPr>
        <w:fldChar w:fldCharType="separate"/>
      </w:r>
      <w:r w:rsidR="00BE13BF">
        <w:rPr>
          <w:lang w:eastAsia="x-none"/>
        </w:rPr>
        <w:t>3.1.2</w:t>
      </w:r>
      <w:r w:rsidR="00E05DA7" w:rsidRPr="00DB5415">
        <w:rPr>
          <w:lang w:eastAsia="x-none"/>
        </w:rPr>
        <w:fldChar w:fldCharType="end"/>
      </w:r>
      <w:r w:rsidR="00444AB0" w:rsidRPr="00DB5415">
        <w:rPr>
          <w:lang w:eastAsia="x-none"/>
        </w:rPr>
        <w:t xml:space="preserve">, there were two main issues which </w:t>
      </w:r>
      <w:r w:rsidR="00E05DA7" w:rsidRPr="00DB5415">
        <w:rPr>
          <w:lang w:eastAsia="x-none"/>
        </w:rPr>
        <w:t>drove the implementation of the GEMS Act</w:t>
      </w:r>
      <w:r w:rsidR="00444AB0" w:rsidRPr="00DB5415">
        <w:rPr>
          <w:lang w:eastAsia="x-none"/>
        </w:rPr>
        <w:t>:</w:t>
      </w:r>
    </w:p>
    <w:p w14:paraId="568CA3DC" w14:textId="77777777" w:rsidR="00444AB0" w:rsidRPr="00DB5415" w:rsidRDefault="00E05DA7" w:rsidP="00320FDC">
      <w:pPr>
        <w:pStyle w:val="CommentText"/>
        <w:numPr>
          <w:ilvl w:val="0"/>
          <w:numId w:val="38"/>
        </w:numPr>
        <w:spacing w:after="0" w:line="276" w:lineRule="auto"/>
        <w:rPr>
          <w:sz w:val="22"/>
        </w:rPr>
      </w:pPr>
      <w:r w:rsidRPr="00DB5415">
        <w:rPr>
          <w:sz w:val="22"/>
        </w:rPr>
        <w:t>J</w:t>
      </w:r>
      <w:r w:rsidR="00DB5415">
        <w:rPr>
          <w:sz w:val="22"/>
        </w:rPr>
        <w:t>urisdictions implemented</w:t>
      </w:r>
      <w:r w:rsidR="00444AB0" w:rsidRPr="00DB5415">
        <w:rPr>
          <w:sz w:val="22"/>
        </w:rPr>
        <w:t xml:space="preserve"> </w:t>
      </w:r>
      <w:r w:rsidR="00DB5415">
        <w:rPr>
          <w:sz w:val="22"/>
        </w:rPr>
        <w:t>regulations on different dates</w:t>
      </w:r>
      <w:r w:rsidR="001D188D">
        <w:rPr>
          <w:sz w:val="22"/>
        </w:rPr>
        <w:t>;</w:t>
      </w:r>
      <w:r w:rsidR="00702BFA">
        <w:rPr>
          <w:sz w:val="22"/>
        </w:rPr>
        <w:t xml:space="preserve"> and</w:t>
      </w:r>
    </w:p>
    <w:p w14:paraId="6C770649" w14:textId="77777777" w:rsidR="00444AB0" w:rsidRPr="00DB5415" w:rsidRDefault="00444AB0" w:rsidP="00320FDC">
      <w:pPr>
        <w:pStyle w:val="CommentText"/>
        <w:numPr>
          <w:ilvl w:val="0"/>
          <w:numId w:val="38"/>
        </w:numPr>
        <w:spacing w:after="0" w:line="276" w:lineRule="auto"/>
        <w:rPr>
          <w:sz w:val="22"/>
        </w:rPr>
      </w:pPr>
      <w:r w:rsidRPr="00DB5415">
        <w:rPr>
          <w:sz w:val="22"/>
        </w:rPr>
        <w:t xml:space="preserve">Some </w:t>
      </w:r>
      <w:r w:rsidR="00DB5415">
        <w:rPr>
          <w:sz w:val="22"/>
        </w:rPr>
        <w:t>jurisdictions</w:t>
      </w:r>
      <w:r w:rsidRPr="00DB5415">
        <w:rPr>
          <w:sz w:val="22"/>
        </w:rPr>
        <w:t xml:space="preserve"> implemented </w:t>
      </w:r>
      <w:r w:rsidR="00DB5415" w:rsidRPr="00DB5415">
        <w:rPr>
          <w:sz w:val="22"/>
        </w:rPr>
        <w:t xml:space="preserve">some classes of </w:t>
      </w:r>
      <w:r w:rsidRPr="00DB5415">
        <w:rPr>
          <w:sz w:val="22"/>
        </w:rPr>
        <w:t>air conditioning regulations which were more stringent than the nationally agreed levels.</w:t>
      </w:r>
    </w:p>
    <w:p w14:paraId="2D3916C8" w14:textId="77777777" w:rsidR="000A5806" w:rsidRDefault="000A5806" w:rsidP="00997283">
      <w:pPr>
        <w:spacing w:after="0"/>
        <w:ind w:left="426"/>
        <w:rPr>
          <w:lang w:eastAsia="x-none"/>
        </w:rPr>
      </w:pPr>
    </w:p>
    <w:p w14:paraId="022BBEAB" w14:textId="77777777" w:rsidR="009E6605" w:rsidRPr="00B56AC1" w:rsidRDefault="00E05DA7" w:rsidP="000A5806">
      <w:pPr>
        <w:spacing w:after="0"/>
        <w:ind w:left="426"/>
        <w:rPr>
          <w:lang w:eastAsia="x-none"/>
        </w:rPr>
      </w:pPr>
      <w:r w:rsidRPr="00DB5415">
        <w:rPr>
          <w:lang w:eastAsia="x-none"/>
        </w:rPr>
        <w:t xml:space="preserve">Both </w:t>
      </w:r>
      <w:r w:rsidR="000A5806">
        <w:rPr>
          <w:lang w:eastAsia="x-none"/>
        </w:rPr>
        <w:t xml:space="preserve">these issues </w:t>
      </w:r>
      <w:r w:rsidRPr="00DB5415">
        <w:rPr>
          <w:lang w:eastAsia="x-none"/>
        </w:rPr>
        <w:t>resulted in product suppliers needing to comply with</w:t>
      </w:r>
      <w:r w:rsidRPr="00DB5415">
        <w:rPr>
          <w:sz w:val="24"/>
          <w:lang w:eastAsia="x-none"/>
        </w:rPr>
        <w:t xml:space="preserve"> </w:t>
      </w:r>
      <w:r w:rsidRPr="00E05DA7">
        <w:rPr>
          <w:lang w:eastAsia="x-none"/>
        </w:rPr>
        <w:t xml:space="preserve">different standards in different jurisdictions, leading to increased regulatory burden.  </w:t>
      </w:r>
      <w:r w:rsidR="00314807">
        <w:rPr>
          <w:lang w:eastAsia="x-none"/>
        </w:rPr>
        <w:t xml:space="preserve">The </w:t>
      </w:r>
      <w:r w:rsidRPr="00B56AC1">
        <w:rPr>
          <w:lang w:eastAsia="x-none"/>
        </w:rPr>
        <w:t xml:space="preserve">RIS which underpins the Act </w:t>
      </w:r>
      <w:r w:rsidR="00314807">
        <w:rPr>
          <w:lang w:eastAsia="x-none"/>
        </w:rPr>
        <w:t xml:space="preserve">undertook a </w:t>
      </w:r>
      <w:r w:rsidR="000A5806">
        <w:rPr>
          <w:lang w:eastAsia="x-none"/>
        </w:rPr>
        <w:t>c</w:t>
      </w:r>
      <w:r w:rsidR="00DB5415" w:rsidRPr="00B56AC1">
        <w:rPr>
          <w:lang w:eastAsia="x-none"/>
        </w:rPr>
        <w:t xml:space="preserve">ost </w:t>
      </w:r>
      <w:r w:rsidR="000A5806">
        <w:rPr>
          <w:lang w:eastAsia="x-none"/>
        </w:rPr>
        <w:t>b</w:t>
      </w:r>
      <w:r w:rsidR="00DB5415" w:rsidRPr="00B56AC1">
        <w:rPr>
          <w:lang w:eastAsia="x-none"/>
        </w:rPr>
        <w:t xml:space="preserve">enefit </w:t>
      </w:r>
      <w:r w:rsidR="000A5806">
        <w:rPr>
          <w:lang w:eastAsia="x-none"/>
        </w:rPr>
        <w:t>a</w:t>
      </w:r>
      <w:r w:rsidR="00DB5415" w:rsidRPr="00B56AC1">
        <w:rPr>
          <w:lang w:eastAsia="x-none"/>
        </w:rPr>
        <w:t xml:space="preserve">nalysis (CBA) to estimate the impacts of moving to a national scheme.  As detailed in </w:t>
      </w:r>
      <w:r w:rsidR="00300314">
        <w:rPr>
          <w:lang w:eastAsia="x-none"/>
        </w:rPr>
        <w:t>S</w:t>
      </w:r>
      <w:r w:rsidR="00DB5415" w:rsidRPr="00B56AC1">
        <w:rPr>
          <w:lang w:eastAsia="x-none"/>
        </w:rPr>
        <w:t xml:space="preserve">ection </w:t>
      </w:r>
      <w:r w:rsidR="00DB5415" w:rsidRPr="00B56AC1">
        <w:rPr>
          <w:lang w:eastAsia="x-none"/>
        </w:rPr>
        <w:fldChar w:fldCharType="begin"/>
      </w:r>
      <w:r w:rsidR="00DB5415" w:rsidRPr="00B56AC1">
        <w:rPr>
          <w:lang w:eastAsia="x-none"/>
        </w:rPr>
        <w:instrText xml:space="preserve"> REF _Ref409083289 \r \h </w:instrText>
      </w:r>
      <w:r w:rsidR="00B56AC1">
        <w:rPr>
          <w:lang w:eastAsia="x-none"/>
        </w:rPr>
        <w:instrText xml:space="preserve"> \* MERGEFORMAT </w:instrText>
      </w:r>
      <w:r w:rsidR="00DB5415" w:rsidRPr="00B56AC1">
        <w:rPr>
          <w:lang w:eastAsia="x-none"/>
        </w:rPr>
      </w:r>
      <w:r w:rsidR="00DB5415" w:rsidRPr="00B56AC1">
        <w:rPr>
          <w:lang w:eastAsia="x-none"/>
        </w:rPr>
        <w:fldChar w:fldCharType="separate"/>
      </w:r>
      <w:r w:rsidR="00BE13BF">
        <w:rPr>
          <w:lang w:eastAsia="x-none"/>
        </w:rPr>
        <w:t>3.1.2</w:t>
      </w:r>
      <w:r w:rsidR="00DB5415" w:rsidRPr="00B56AC1">
        <w:rPr>
          <w:lang w:eastAsia="x-none"/>
        </w:rPr>
        <w:fldChar w:fldCharType="end"/>
      </w:r>
      <w:r w:rsidR="00DB5415" w:rsidRPr="00B56AC1">
        <w:rPr>
          <w:lang w:eastAsia="x-none"/>
        </w:rPr>
        <w:t xml:space="preserve">, </w:t>
      </w:r>
      <w:r w:rsidR="00B56AC1">
        <w:rPr>
          <w:lang w:eastAsia="x-none"/>
        </w:rPr>
        <w:t>the CBA</w:t>
      </w:r>
      <w:r w:rsidR="00DB5415" w:rsidRPr="00B56AC1">
        <w:rPr>
          <w:lang w:eastAsia="x-none"/>
        </w:rPr>
        <w:t xml:space="preserve"> estimated significant benefits would be derived as a result </w:t>
      </w:r>
      <w:r w:rsidR="00DB5415" w:rsidRPr="00B56AC1">
        <w:rPr>
          <w:lang w:eastAsia="x-none"/>
        </w:rPr>
        <w:lastRenderedPageBreak/>
        <w:t xml:space="preserve">of the transition.  </w:t>
      </w:r>
      <w:r w:rsidR="009E6605" w:rsidRPr="00B56AC1">
        <w:rPr>
          <w:lang w:eastAsia="x-none"/>
        </w:rPr>
        <w:t>The RIS uses estimates of benefits and costs, using OBPR guidance</w:t>
      </w:r>
      <w:r w:rsidR="001D188D">
        <w:rPr>
          <w:lang w:eastAsia="x-none"/>
        </w:rPr>
        <w:t>,</w:t>
      </w:r>
      <w:r w:rsidR="00B56AC1">
        <w:rPr>
          <w:lang w:eastAsia="x-none"/>
        </w:rPr>
        <w:t xml:space="preserve"> and undertook</w:t>
      </w:r>
      <w:r w:rsidR="009E6605" w:rsidRPr="00B56AC1">
        <w:rPr>
          <w:lang w:eastAsia="x-none"/>
        </w:rPr>
        <w:t xml:space="preserve"> analysis to assess the impact of</w:t>
      </w:r>
      <w:r w:rsidR="0092574F">
        <w:rPr>
          <w:lang w:eastAsia="x-none"/>
        </w:rPr>
        <w:t>:</w:t>
      </w:r>
    </w:p>
    <w:p w14:paraId="633E4896" w14:textId="77777777" w:rsidR="009E6605" w:rsidRPr="00B56AC1" w:rsidRDefault="0092574F" w:rsidP="00320FDC">
      <w:pPr>
        <w:numPr>
          <w:ilvl w:val="1"/>
          <w:numId w:val="39"/>
        </w:numPr>
        <w:spacing w:after="0"/>
        <w:rPr>
          <w:lang w:eastAsia="x-none"/>
        </w:rPr>
      </w:pPr>
      <w:r>
        <w:rPr>
          <w:lang w:eastAsia="x-none"/>
        </w:rPr>
        <w:t>R</w:t>
      </w:r>
      <w:r w:rsidR="009E6605" w:rsidRPr="00B56AC1">
        <w:rPr>
          <w:lang w:eastAsia="x-none"/>
        </w:rPr>
        <w:t>egulatory framework changes (e.g. the ability to achieve national consistency, and efficient and administrative arrangements including compliance)</w:t>
      </w:r>
      <w:r w:rsidR="001D188D">
        <w:rPr>
          <w:lang w:eastAsia="x-none"/>
        </w:rPr>
        <w:t>;</w:t>
      </w:r>
      <w:r w:rsidR="009E6605" w:rsidRPr="00B56AC1">
        <w:rPr>
          <w:lang w:eastAsia="x-none"/>
        </w:rPr>
        <w:t xml:space="preserve"> </w:t>
      </w:r>
    </w:p>
    <w:p w14:paraId="6773919C" w14:textId="77777777" w:rsidR="009E6605" w:rsidRPr="00B56AC1" w:rsidRDefault="009E6605" w:rsidP="00320FDC">
      <w:pPr>
        <w:numPr>
          <w:ilvl w:val="1"/>
          <w:numId w:val="39"/>
        </w:numPr>
        <w:spacing w:after="0"/>
        <w:rPr>
          <w:lang w:eastAsia="x-none"/>
        </w:rPr>
      </w:pPr>
      <w:r w:rsidRPr="00B56AC1">
        <w:rPr>
          <w:lang w:eastAsia="x-none"/>
        </w:rPr>
        <w:t>Changes in scope – such as regulating non-electricity using products such as gas water heaters</w:t>
      </w:r>
      <w:r w:rsidR="001D188D">
        <w:rPr>
          <w:lang w:eastAsia="x-none"/>
        </w:rPr>
        <w:t>; and</w:t>
      </w:r>
    </w:p>
    <w:p w14:paraId="57A60CD3" w14:textId="77777777" w:rsidR="00DD7C8B" w:rsidRPr="00B56AC1" w:rsidRDefault="00DD7C8B" w:rsidP="00320FDC">
      <w:pPr>
        <w:numPr>
          <w:ilvl w:val="1"/>
          <w:numId w:val="39"/>
        </w:numPr>
        <w:spacing w:after="0"/>
        <w:rPr>
          <w:lang w:eastAsia="x-none"/>
        </w:rPr>
      </w:pPr>
      <w:r w:rsidRPr="00B56AC1">
        <w:rPr>
          <w:lang w:eastAsia="x-none"/>
        </w:rPr>
        <w:t>Changes in compliance levels and the speed at which new determinations can be set.</w:t>
      </w:r>
    </w:p>
    <w:p w14:paraId="1846DDDC" w14:textId="77777777" w:rsidR="00314807" w:rsidRDefault="00314807" w:rsidP="00314807">
      <w:pPr>
        <w:spacing w:after="0"/>
        <w:ind w:left="426"/>
        <w:rPr>
          <w:lang w:eastAsia="x-none"/>
        </w:rPr>
      </w:pPr>
    </w:p>
    <w:p w14:paraId="71BA0747" w14:textId="77777777" w:rsidR="00DD7C8B" w:rsidRPr="00B56AC1" w:rsidRDefault="00DD7C8B" w:rsidP="009F4031">
      <w:pPr>
        <w:ind w:left="426"/>
        <w:rPr>
          <w:lang w:eastAsia="x-none"/>
        </w:rPr>
      </w:pPr>
      <w:r w:rsidRPr="00B56AC1">
        <w:rPr>
          <w:lang w:eastAsia="x-none"/>
        </w:rPr>
        <w:t xml:space="preserve">Each of these analyses presented significant benefits over the pre-existing scheme. </w:t>
      </w:r>
      <w:r w:rsidR="008841DA">
        <w:rPr>
          <w:lang w:eastAsia="x-none"/>
        </w:rPr>
        <w:t xml:space="preserve"> </w:t>
      </w:r>
      <w:r w:rsidRPr="00B56AC1">
        <w:rPr>
          <w:lang w:eastAsia="x-none"/>
        </w:rPr>
        <w:t xml:space="preserve">The RIS is helpful in understanding whether benefits could </w:t>
      </w:r>
      <w:r w:rsidR="001D188D">
        <w:rPr>
          <w:lang w:eastAsia="x-none"/>
        </w:rPr>
        <w:t>eventuate</w:t>
      </w:r>
      <w:r w:rsidRPr="00B56AC1">
        <w:rPr>
          <w:lang w:eastAsia="x-none"/>
        </w:rPr>
        <w:t xml:space="preserve">, and the assumptions made in the analysis appear plausible and sensible.  However, the analysis would need to be repeated and based on actual costs and benefits evidence in order to provide </w:t>
      </w:r>
      <w:r w:rsidR="007F63D3">
        <w:rPr>
          <w:lang w:eastAsia="x-none"/>
        </w:rPr>
        <w:t xml:space="preserve">increased </w:t>
      </w:r>
      <w:r w:rsidRPr="00B56AC1">
        <w:rPr>
          <w:lang w:eastAsia="x-none"/>
        </w:rPr>
        <w:t xml:space="preserve">confidence in the cost benefit figures.  </w:t>
      </w:r>
    </w:p>
    <w:p w14:paraId="08B61E24" w14:textId="77777777" w:rsidR="006C7F16" w:rsidRPr="006C7F16" w:rsidRDefault="006C7F16" w:rsidP="00320FDC">
      <w:pPr>
        <w:numPr>
          <w:ilvl w:val="0"/>
          <w:numId w:val="39"/>
        </w:numPr>
        <w:rPr>
          <w:lang w:eastAsia="x-none"/>
        </w:rPr>
      </w:pPr>
      <w:r w:rsidRPr="006C7F16">
        <w:rPr>
          <w:u w:val="single"/>
          <w:lang w:eastAsia="x-none"/>
        </w:rPr>
        <w:t>Stakeholder views</w:t>
      </w:r>
      <w:r w:rsidRPr="006C7F16">
        <w:rPr>
          <w:lang w:eastAsia="x-none"/>
        </w:rPr>
        <w:t xml:space="preserve">:  </w:t>
      </w:r>
      <w:r w:rsidR="0067361B" w:rsidRPr="006C7F16">
        <w:rPr>
          <w:lang w:eastAsia="x-none"/>
        </w:rPr>
        <w:t>Most industry stakeholders</w:t>
      </w:r>
      <w:r w:rsidR="00046382">
        <w:rPr>
          <w:lang w:eastAsia="x-none"/>
        </w:rPr>
        <w:t>,</w:t>
      </w:r>
      <w:r w:rsidR="0067361B" w:rsidRPr="006C7F16">
        <w:rPr>
          <w:lang w:eastAsia="x-none"/>
        </w:rPr>
        <w:t xml:space="preserve"> and in particular manufacturers</w:t>
      </w:r>
      <w:r w:rsidR="00046382">
        <w:rPr>
          <w:lang w:eastAsia="x-none"/>
        </w:rPr>
        <w:t>,</w:t>
      </w:r>
      <w:r w:rsidR="0067361B" w:rsidRPr="006C7F16">
        <w:rPr>
          <w:lang w:eastAsia="x-none"/>
        </w:rPr>
        <w:t xml:space="preserve"> </w:t>
      </w:r>
      <w:r w:rsidRPr="006C7F16">
        <w:rPr>
          <w:lang w:eastAsia="x-none"/>
        </w:rPr>
        <w:t xml:space="preserve">perceived that </w:t>
      </w:r>
      <w:r w:rsidR="001D188D">
        <w:rPr>
          <w:lang w:eastAsia="x-none"/>
        </w:rPr>
        <w:t xml:space="preserve">the </w:t>
      </w:r>
      <w:r w:rsidR="0067361B" w:rsidRPr="006C7F16">
        <w:rPr>
          <w:lang w:eastAsia="x-none"/>
        </w:rPr>
        <w:t xml:space="preserve">administrative burden had decreased as </w:t>
      </w:r>
      <w:r w:rsidRPr="006C7F16">
        <w:rPr>
          <w:lang w:eastAsia="x-none"/>
        </w:rPr>
        <w:t xml:space="preserve">a result of the transition to a national scheme.  </w:t>
      </w:r>
    </w:p>
    <w:p w14:paraId="4DAEFB8E" w14:textId="77777777" w:rsidR="006C7F16" w:rsidRPr="008E6F54" w:rsidRDefault="006C7F16" w:rsidP="009F4031">
      <w:pPr>
        <w:ind w:left="360"/>
        <w:rPr>
          <w:i/>
        </w:rPr>
      </w:pPr>
      <w:r w:rsidRPr="008E6F54">
        <w:rPr>
          <w:i/>
        </w:rPr>
        <w:t xml:space="preserve">“It’s very hard to produce something for one area and not another... it’s very, very hard, that was our biggest complaint in the past.” </w:t>
      </w:r>
      <w:r w:rsidRPr="00314807">
        <w:t>(Industry respondent)</w:t>
      </w:r>
    </w:p>
    <w:p w14:paraId="4CF5646E" w14:textId="77777777" w:rsidR="00B56AC1" w:rsidRPr="006C7F16" w:rsidRDefault="006C7F16" w:rsidP="009F4031">
      <w:pPr>
        <w:pStyle w:val="Heading3"/>
      </w:pPr>
      <w:bookmarkStart w:id="99" w:name="_Ref409267970"/>
      <w:bookmarkStart w:id="100" w:name="_Toc422298407"/>
      <w:r w:rsidRPr="006C7F16">
        <w:t>Detailed review of the Act</w:t>
      </w:r>
      <w:bookmarkEnd w:id="99"/>
      <w:r w:rsidR="00D7221A">
        <w:t xml:space="preserve"> - summary</w:t>
      </w:r>
      <w:bookmarkEnd w:id="100"/>
    </w:p>
    <w:p w14:paraId="7D1AB4BC" w14:textId="77777777" w:rsidR="004B393F" w:rsidRDefault="004B393F" w:rsidP="009F4031">
      <w:pPr>
        <w:pStyle w:val="ColorfulList-Accent12"/>
        <w:ind w:left="0"/>
        <w:rPr>
          <w:b/>
        </w:rPr>
      </w:pPr>
    </w:p>
    <w:p w14:paraId="04949C44" w14:textId="77777777" w:rsidR="00605724" w:rsidRDefault="004B393F" w:rsidP="009F4031">
      <w:pPr>
        <w:pStyle w:val="ColorfulList-Accent12"/>
        <w:ind w:left="0"/>
      </w:pPr>
      <w:r>
        <w:rPr>
          <w:b/>
        </w:rPr>
        <w:t xml:space="preserve">Key finding:  </w:t>
      </w:r>
      <w:r w:rsidR="00605724">
        <w:t xml:space="preserve">Overall the review revealed no fundamental gaps and/or opportunities to remove any major elements </w:t>
      </w:r>
      <w:r w:rsidR="00046382">
        <w:t xml:space="preserve">of the Act </w:t>
      </w:r>
      <w:r w:rsidR="00605724">
        <w:t>without fundamentally compromising delivery</w:t>
      </w:r>
      <w:r w:rsidR="00D7221A">
        <w:rPr>
          <w:rStyle w:val="FootnoteReference"/>
        </w:rPr>
        <w:footnoteReference w:id="126"/>
      </w:r>
      <w:r w:rsidR="00605724">
        <w:t xml:space="preserve">.  A summary of key aspects of the </w:t>
      </w:r>
      <w:r w:rsidR="00D7221A">
        <w:t xml:space="preserve">review of the Act, which </w:t>
      </w:r>
      <w:r w:rsidR="00605724">
        <w:t xml:space="preserve">support </w:t>
      </w:r>
      <w:r w:rsidR="00D7221A">
        <w:t xml:space="preserve">the </w:t>
      </w:r>
      <w:r w:rsidR="00605724">
        <w:t xml:space="preserve">conclusions and recommendations, is provided below. </w:t>
      </w:r>
    </w:p>
    <w:p w14:paraId="543B9BDE" w14:textId="77777777" w:rsidR="000603D1" w:rsidRPr="00F607F0" w:rsidRDefault="000603D1" w:rsidP="00320FDC">
      <w:pPr>
        <w:pStyle w:val="ColorfulList-Accent12"/>
        <w:numPr>
          <w:ilvl w:val="0"/>
          <w:numId w:val="40"/>
        </w:numPr>
        <w:ind w:left="284"/>
      </w:pPr>
      <w:r w:rsidRPr="00F607F0">
        <w:rPr>
          <w:b/>
        </w:rPr>
        <w:t>Scope</w:t>
      </w:r>
      <w:r w:rsidRPr="00F607F0">
        <w:t xml:space="preserve"> - the scope of the regulations allows coverage of residential, commercial and industrial equipment and both direct energy using (electricity and gas) and products which affect energy use (e.g. insulation, air conditioning ducting).  This covers a large proportion of overall energy use and is consistent with many international schemes</w:t>
      </w:r>
      <w:r w:rsidRPr="00F607F0">
        <w:rPr>
          <w:rStyle w:val="FootnoteReference"/>
        </w:rPr>
        <w:footnoteReference w:id="127"/>
      </w:r>
      <w:r w:rsidRPr="00F607F0">
        <w:t xml:space="preserve">. </w:t>
      </w:r>
      <w:r w:rsidR="00A93F12">
        <w:t xml:space="preserve"> </w:t>
      </w:r>
      <w:r w:rsidRPr="00F607F0">
        <w:t xml:space="preserve">A few stakeholders supported the removal of some product group areas (e.g. non-energy using products) on the basis that it could mean regulation in the future, but this was significantly outweighed by strong support for the inclusion of all product areas from </w:t>
      </w:r>
      <w:r w:rsidR="001D188D">
        <w:t>g</w:t>
      </w:r>
      <w:r w:rsidRPr="00F607F0">
        <w:t xml:space="preserve">overnment, consumer groups and most of industry.  </w:t>
      </w:r>
      <w:r w:rsidR="00863E59">
        <w:t>For example, e</w:t>
      </w:r>
      <w:r w:rsidRPr="00F607F0">
        <w:t>xpert energy efficiency stakeholders discussed that the previous schemes contained gaps (e.g. exclusion of products which influence energy use) which provided greater possibilities for achieving perverse outcomes (e.g. highly efficient heating and cooling systems, which need to work outside of their high efficiency ranges due to poor ducting or insulation)</w:t>
      </w:r>
      <w:r w:rsidR="00C66089">
        <w:t>.</w:t>
      </w:r>
      <w:r w:rsidRPr="00F607F0">
        <w:t xml:space="preserve"> </w:t>
      </w:r>
      <w:r w:rsidR="00C66089">
        <w:t xml:space="preserve"> The GEMS Act covers products that don’t use energy themselves but can impact on the efficiency of energy-using products.  </w:t>
      </w:r>
      <w:r w:rsidRPr="00F607F0">
        <w:t xml:space="preserve">In addition, the broad scope provided flexibility to allow scheme administrators to explore and assess which interventions would deliver the greatest benefit at least cost to industry and consumers.  The flexibility was also felt to be important as the cost effectiveness of taking action depends on fuel prices and technology costs, both of which can vary over time. </w:t>
      </w:r>
    </w:p>
    <w:p w14:paraId="0DD77236" w14:textId="77777777" w:rsidR="000603D1" w:rsidRPr="002D1B06" w:rsidRDefault="000603D1" w:rsidP="00320FDC">
      <w:pPr>
        <w:pStyle w:val="ColorfulList-Accent12"/>
        <w:numPr>
          <w:ilvl w:val="0"/>
          <w:numId w:val="40"/>
        </w:numPr>
        <w:ind w:left="284"/>
        <w:rPr>
          <w:i/>
        </w:rPr>
      </w:pPr>
      <w:r w:rsidRPr="00FC79E6">
        <w:rPr>
          <w:b/>
        </w:rPr>
        <w:lastRenderedPageBreak/>
        <w:t>Determinations process</w:t>
      </w:r>
      <w:r w:rsidR="00610D9F">
        <w:rPr>
          <w:rStyle w:val="FootnoteReference"/>
          <w:b/>
        </w:rPr>
        <w:footnoteReference w:id="128"/>
      </w:r>
      <w:r w:rsidRPr="00F607F0">
        <w:t xml:space="preserve"> - the </w:t>
      </w:r>
      <w:r w:rsidR="00D7221A">
        <w:t>Act</w:t>
      </w:r>
      <w:r w:rsidR="00D7221A" w:rsidRPr="00F607F0">
        <w:t xml:space="preserve"> </w:t>
      </w:r>
      <w:r w:rsidRPr="00F607F0">
        <w:t>require</w:t>
      </w:r>
      <w:r w:rsidR="00D7221A">
        <w:t>s</w:t>
      </w:r>
      <w:r w:rsidRPr="00F607F0">
        <w:t xml:space="preserve"> </w:t>
      </w:r>
      <w:r w:rsidR="001D188D">
        <w:t xml:space="preserve">a </w:t>
      </w:r>
      <w:r w:rsidRPr="00F607F0">
        <w:t>RIS</w:t>
      </w:r>
      <w:r w:rsidR="002D1B06">
        <w:t xml:space="preserve"> and preceding steps</w:t>
      </w:r>
      <w:r w:rsidRPr="00F607F0">
        <w:t xml:space="preserve"> to be developed and agreed as part of the determinations process</w:t>
      </w:r>
      <w:r w:rsidRPr="00F607F0">
        <w:rPr>
          <w:rStyle w:val="FootnoteReference"/>
        </w:rPr>
        <w:footnoteReference w:id="129"/>
      </w:r>
      <w:r w:rsidRPr="00F607F0">
        <w:t xml:space="preserve"> in order to ensure there is a robust case for intervention and that regulatory burden is assessed for each product group.  </w:t>
      </w:r>
      <w:r>
        <w:t xml:space="preserve">The RIS process follows </w:t>
      </w:r>
      <w:r w:rsidR="00D7221A">
        <w:t xml:space="preserve">OBPR </w:t>
      </w:r>
      <w:r>
        <w:t>guidance, which requires that regulation is a ‘policy of last resort’ and there is evidence from review of the RIS’s implemented since</w:t>
      </w:r>
      <w:r w:rsidR="00140725">
        <w:t xml:space="preserve"> (and prior to)</w:t>
      </w:r>
      <w:r>
        <w:t xml:space="preserve"> the introduction of GEMS that this has been followed.  </w:t>
      </w:r>
      <w:r w:rsidR="00863E59" w:rsidRPr="00863E59">
        <w:t xml:space="preserve">The RIS’s must </w:t>
      </w:r>
      <w:r w:rsidR="00863E59">
        <w:t xml:space="preserve">also </w:t>
      </w:r>
      <w:r w:rsidR="00863E59" w:rsidRPr="00863E59">
        <w:t>be signed off by OBPR to show that they comply with these requirements.</w:t>
      </w:r>
      <w:r w:rsidR="005A7BF1">
        <w:t xml:space="preserve"> </w:t>
      </w:r>
      <w:r w:rsidR="002D1B06">
        <w:t xml:space="preserve"> From a regulation development perspective, the process set out is similar to that of other schemes, for example that of the EU (</w:t>
      </w:r>
      <w:r w:rsidR="002D1B06">
        <w:fldChar w:fldCharType="begin"/>
      </w:r>
      <w:r w:rsidR="002D1B06">
        <w:instrText xml:space="preserve"> REF _Ref409268557 \h </w:instrText>
      </w:r>
      <w:r w:rsidR="009F4031">
        <w:instrText xml:space="preserve"> \* MERGEFORMAT </w:instrText>
      </w:r>
      <w:r w:rsidR="002D1B06">
        <w:fldChar w:fldCharType="separate"/>
      </w:r>
      <w:r w:rsidR="00BE13BF">
        <w:t xml:space="preserve">Figure </w:t>
      </w:r>
      <w:r w:rsidR="00BE13BF">
        <w:rPr>
          <w:noProof/>
        </w:rPr>
        <w:t>4</w:t>
      </w:r>
      <w:r w:rsidR="002D1B06">
        <w:fldChar w:fldCharType="end"/>
      </w:r>
      <w:r w:rsidR="002D1B06">
        <w:t xml:space="preserve">) and US schemes, </w:t>
      </w:r>
      <w:r w:rsidR="00610D9F">
        <w:t xml:space="preserve">which includes </w:t>
      </w:r>
      <w:r w:rsidR="002D1B06">
        <w:t>two consultation stages</w:t>
      </w:r>
      <w:r w:rsidR="005E01D6">
        <w:t>.</w:t>
      </w:r>
      <w:r w:rsidR="002D1B06">
        <w:t xml:space="preserve"> </w:t>
      </w:r>
    </w:p>
    <w:p w14:paraId="1D453DF0" w14:textId="77777777" w:rsidR="002D1B06" w:rsidRDefault="002D1B06" w:rsidP="00997283">
      <w:pPr>
        <w:pStyle w:val="Caption"/>
        <w:keepNext/>
        <w:spacing w:after="0" w:line="276" w:lineRule="auto"/>
      </w:pPr>
      <w:bookmarkStart w:id="101" w:name="_Ref409268557"/>
      <w:r>
        <w:t xml:space="preserve">Figure </w:t>
      </w:r>
      <w:r>
        <w:fldChar w:fldCharType="begin"/>
      </w:r>
      <w:r>
        <w:instrText xml:space="preserve"> SEQ Figure \* ARABIC </w:instrText>
      </w:r>
      <w:r>
        <w:fldChar w:fldCharType="separate"/>
      </w:r>
      <w:r w:rsidR="00BE13BF">
        <w:rPr>
          <w:noProof/>
        </w:rPr>
        <w:t>4</w:t>
      </w:r>
      <w:r>
        <w:fldChar w:fldCharType="end"/>
      </w:r>
      <w:bookmarkEnd w:id="101"/>
      <w:r>
        <w:t>:  EU Ecodesign determinations process overview</w:t>
      </w:r>
    </w:p>
    <w:p w14:paraId="0465DC22" w14:textId="77777777" w:rsidR="005A7BF1" w:rsidRDefault="008E332E" w:rsidP="009F4031">
      <w:pPr>
        <w:pStyle w:val="ColorfulList-Accent12"/>
        <w:ind w:left="0"/>
      </w:pPr>
      <w:r>
        <w:rPr>
          <w:noProof/>
          <w:lang w:val="en-AU" w:eastAsia="en-AU"/>
        </w:rPr>
        <w:drawing>
          <wp:inline distT="0" distB="0" distL="0" distR="0" wp14:anchorId="07B754F3" wp14:editId="1F42AC05">
            <wp:extent cx="5718175" cy="2197100"/>
            <wp:effectExtent l="0" t="0" r="0" b="0"/>
            <wp:docPr id="6" name="Picture 6" descr="Flow chart displaying the process from 1. Product Study completed. 2. Consultation Forum and proposal. 2. draft regulation. 4. Approve by regulatory committee. 5. Final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t="12978"/>
                    <a:stretch>
                      <a:fillRect/>
                    </a:stretch>
                  </pic:blipFill>
                  <pic:spPr bwMode="auto">
                    <a:xfrm>
                      <a:off x="0" y="0"/>
                      <a:ext cx="5718175" cy="2197100"/>
                    </a:xfrm>
                    <a:prstGeom prst="rect">
                      <a:avLst/>
                    </a:prstGeom>
                    <a:noFill/>
                    <a:ln>
                      <a:noFill/>
                    </a:ln>
                  </pic:spPr>
                </pic:pic>
              </a:graphicData>
            </a:graphic>
          </wp:inline>
        </w:drawing>
      </w:r>
    </w:p>
    <w:p w14:paraId="52BAC3D1" w14:textId="77777777" w:rsidR="000603D1" w:rsidRPr="00FC79E6" w:rsidRDefault="000603D1" w:rsidP="00320FDC">
      <w:pPr>
        <w:pStyle w:val="ColorfulList-Accent12"/>
        <w:numPr>
          <w:ilvl w:val="0"/>
          <w:numId w:val="40"/>
        </w:numPr>
        <w:ind w:left="284"/>
        <w:rPr>
          <w:b/>
        </w:rPr>
      </w:pPr>
      <w:r w:rsidRPr="00F607F0">
        <w:rPr>
          <w:b/>
        </w:rPr>
        <w:t xml:space="preserve">Compliance and registration - </w:t>
      </w:r>
      <w:r>
        <w:t xml:space="preserve">The GEMS </w:t>
      </w:r>
      <w:r w:rsidR="005E01D6">
        <w:t xml:space="preserve">regulatory approach to </w:t>
      </w:r>
      <w:r>
        <w:t>compliance is considered best practice within international scheme reviews</w:t>
      </w:r>
      <w:r>
        <w:rPr>
          <w:rStyle w:val="FootnoteReference"/>
        </w:rPr>
        <w:footnoteReference w:id="130"/>
      </w:r>
      <w:r>
        <w:t xml:space="preserve"> and a model to be followed.  Fundamental to this is </w:t>
      </w:r>
      <w:r w:rsidR="005E01D6">
        <w:t>the requirement for</w:t>
      </w:r>
      <w:r>
        <w:t xml:space="preserve"> registration</w:t>
      </w:r>
      <w:r w:rsidR="005E01D6">
        <w:t>,</w:t>
      </w:r>
      <w:r>
        <w:t xml:space="preserve"> which assists targeting of compliance activities by allowing tracking of models currently on the market and follow up with manufacturers (an issue viewed by industry stakeholders and consumer groups as fundamental to a successful scheme).  Market monitoring and enforcement powers set under the </w:t>
      </w:r>
      <w:r w:rsidR="005E01D6">
        <w:t>Act</w:t>
      </w:r>
      <w:r>
        <w:t xml:space="preserve"> are also considered best practice</w:t>
      </w:r>
      <w:r>
        <w:rPr>
          <w:rStyle w:val="FootnoteReference"/>
        </w:rPr>
        <w:footnoteReference w:id="131"/>
      </w:r>
      <w:r w:rsidR="00385606">
        <w:rPr>
          <w:vertAlign w:val="superscript"/>
        </w:rPr>
        <w:t>,</w:t>
      </w:r>
      <w:r w:rsidR="00C3272A">
        <w:rPr>
          <w:rStyle w:val="FootnoteReference"/>
        </w:rPr>
        <w:footnoteReference w:id="132"/>
      </w:r>
      <w:r>
        <w:t xml:space="preserve"> as they </w:t>
      </w:r>
      <w:r w:rsidRPr="00F607F0">
        <w:t>have a highly developed and transparent structure that is capable of targeting non-compliance and has a flexible set of responses that enable the regulator to implement enforcement measures proportionate to th</w:t>
      </w:r>
      <w:r>
        <w:t>e</w:t>
      </w:r>
      <w:r w:rsidRPr="00F607F0">
        <w:t xml:space="preserve"> severity of the transgression.</w:t>
      </w:r>
    </w:p>
    <w:p w14:paraId="61F6FCFE" w14:textId="77777777" w:rsidR="00F33AC7" w:rsidRDefault="00F33AC7" w:rsidP="009F4031">
      <w:pPr>
        <w:pStyle w:val="Heading3"/>
      </w:pPr>
      <w:bookmarkStart w:id="102" w:name="_Ref409267981"/>
      <w:bookmarkStart w:id="103" w:name="_Toc422298408"/>
      <w:r>
        <w:t xml:space="preserve">Opportunities </w:t>
      </w:r>
      <w:r w:rsidR="00DD4B13">
        <w:t>to reduce regulatory burden</w:t>
      </w:r>
      <w:bookmarkEnd w:id="102"/>
      <w:bookmarkEnd w:id="103"/>
    </w:p>
    <w:p w14:paraId="5B5494D5" w14:textId="77777777" w:rsidR="00F33AC7" w:rsidRDefault="00610D9F" w:rsidP="00997283">
      <w:pPr>
        <w:spacing w:after="0"/>
      </w:pPr>
      <w:r w:rsidRPr="00610D9F">
        <w:rPr>
          <w:rFonts w:cs="Calibri"/>
        </w:rPr>
        <w:t xml:space="preserve">While detailed review has found no fundamental gaps or efficiencies, the following opportunities to reduce regulatory burden and improve outcomes have been identified.  </w:t>
      </w:r>
      <w:r>
        <w:rPr>
          <w:rFonts w:cs="Calibri"/>
        </w:rPr>
        <w:t>These are</w:t>
      </w:r>
      <w:r w:rsidR="005E01D6">
        <w:t xml:space="preserve"> </w:t>
      </w:r>
      <w:r>
        <w:t>s</w:t>
      </w:r>
      <w:r w:rsidR="005E01D6">
        <w:t xml:space="preserve">plit </w:t>
      </w:r>
      <w:r w:rsidR="00F33AC7">
        <w:t>by those which are recommended for action and those which are not, along with their rationale.</w:t>
      </w:r>
      <w:r>
        <w:t xml:space="preserve"> </w:t>
      </w:r>
    </w:p>
    <w:p w14:paraId="56DE932F" w14:textId="77777777" w:rsidR="00610D9F" w:rsidRDefault="00610D9F" w:rsidP="00997283">
      <w:pPr>
        <w:spacing w:after="0"/>
      </w:pPr>
    </w:p>
    <w:p w14:paraId="33C149D1" w14:textId="77777777" w:rsidR="000603D1" w:rsidRDefault="005E01D6" w:rsidP="00997283">
      <w:pPr>
        <w:pStyle w:val="ColorfulList-Accent12"/>
        <w:spacing w:after="0"/>
        <w:ind w:left="0"/>
      </w:pPr>
      <w:r>
        <w:t>The</w:t>
      </w:r>
      <w:r w:rsidR="000603D1">
        <w:t xml:space="preserve"> process by which opportunities were identified and assessed included:</w:t>
      </w:r>
    </w:p>
    <w:p w14:paraId="1939A54E" w14:textId="77777777" w:rsidR="000603D1" w:rsidRDefault="000603D1" w:rsidP="00320FDC">
      <w:pPr>
        <w:numPr>
          <w:ilvl w:val="0"/>
          <w:numId w:val="41"/>
        </w:numPr>
        <w:spacing w:after="0"/>
        <w:ind w:left="426"/>
      </w:pPr>
      <w:r>
        <w:t>Opportunity identification – from exploration with stakeholders and review of the regulations</w:t>
      </w:r>
      <w:r w:rsidR="00D1360D">
        <w:t>.</w:t>
      </w:r>
    </w:p>
    <w:p w14:paraId="538754A9" w14:textId="77777777" w:rsidR="000603D1" w:rsidRDefault="000603D1" w:rsidP="00320FDC">
      <w:pPr>
        <w:numPr>
          <w:ilvl w:val="0"/>
          <w:numId w:val="41"/>
        </w:numPr>
        <w:spacing w:after="0"/>
        <w:ind w:left="426"/>
      </w:pPr>
      <w:r>
        <w:lastRenderedPageBreak/>
        <w:t>Opportunity assessment – criteria used to assess opportunities included:</w:t>
      </w:r>
    </w:p>
    <w:p w14:paraId="09C7C17F" w14:textId="77777777" w:rsidR="000603D1" w:rsidRPr="00334E2E" w:rsidRDefault="000603D1" w:rsidP="00997283">
      <w:pPr>
        <w:pStyle w:val="ColorfulList-Accent12"/>
        <w:numPr>
          <w:ilvl w:val="0"/>
          <w:numId w:val="16"/>
        </w:numPr>
        <w:spacing w:after="0"/>
        <w:ind w:left="709"/>
      </w:pPr>
      <w:r w:rsidRPr="00334E2E">
        <w:t>Evidence supporting the existence of the opportunity (e.g. is it a clear requirement of the regulations, have stakeholders identified it)</w:t>
      </w:r>
      <w:r w:rsidR="001D188D">
        <w:t>;</w:t>
      </w:r>
    </w:p>
    <w:p w14:paraId="4F56E068" w14:textId="77777777" w:rsidR="000603D1" w:rsidRPr="00334E2E" w:rsidRDefault="000603D1" w:rsidP="00997283">
      <w:pPr>
        <w:pStyle w:val="ColorfulList-Accent12"/>
        <w:numPr>
          <w:ilvl w:val="0"/>
          <w:numId w:val="16"/>
        </w:numPr>
        <w:spacing w:after="0"/>
        <w:ind w:left="709"/>
      </w:pPr>
      <w:r w:rsidRPr="00334E2E">
        <w:t>Viability of the opportunity</w:t>
      </w:r>
      <w:r w:rsidR="001D188D">
        <w:t>; and</w:t>
      </w:r>
    </w:p>
    <w:p w14:paraId="52EBC342" w14:textId="77777777" w:rsidR="000603D1" w:rsidRPr="00334E2E" w:rsidRDefault="000603D1" w:rsidP="00997283">
      <w:pPr>
        <w:pStyle w:val="ColorfulList-Accent12"/>
        <w:numPr>
          <w:ilvl w:val="0"/>
          <w:numId w:val="16"/>
        </w:numPr>
        <w:spacing w:after="0"/>
        <w:ind w:left="709"/>
      </w:pPr>
      <w:r w:rsidRPr="00334E2E">
        <w:t>Impact on core scheme objectives including</w:t>
      </w:r>
      <w:r>
        <w:t>:</w:t>
      </w:r>
    </w:p>
    <w:p w14:paraId="39AE8DC6" w14:textId="77777777" w:rsidR="000603D1" w:rsidRPr="00610D9F" w:rsidRDefault="000603D1" w:rsidP="00C02B94">
      <w:pPr>
        <w:pStyle w:val="ColorfulList-Accent12"/>
        <w:numPr>
          <w:ilvl w:val="2"/>
          <w:numId w:val="68"/>
        </w:numPr>
        <w:spacing w:after="0"/>
        <w:ind w:left="1134"/>
      </w:pPr>
      <w:r w:rsidRPr="00610D9F">
        <w:t>What impact would there be on savings?  (either through standards and/or compliance levels)</w:t>
      </w:r>
    </w:p>
    <w:p w14:paraId="7881B3C0" w14:textId="77777777" w:rsidR="000603D1" w:rsidRPr="00610D9F" w:rsidRDefault="000603D1" w:rsidP="00C02B94">
      <w:pPr>
        <w:pStyle w:val="ColorfulList-Accent12"/>
        <w:numPr>
          <w:ilvl w:val="2"/>
          <w:numId w:val="68"/>
        </w:numPr>
        <w:spacing w:after="0"/>
        <w:ind w:left="1134"/>
      </w:pPr>
      <w:r w:rsidRPr="00610D9F">
        <w:t>What impact would there be on costs, and regulatory burden?</w:t>
      </w:r>
    </w:p>
    <w:p w14:paraId="22D9D040" w14:textId="77777777" w:rsidR="00195463" w:rsidRDefault="00195463" w:rsidP="00997283">
      <w:pPr>
        <w:spacing w:after="0"/>
      </w:pPr>
    </w:p>
    <w:p w14:paraId="1916F8B3" w14:textId="77777777" w:rsidR="00D1360D" w:rsidRDefault="00D1360D" w:rsidP="00997283">
      <w:pPr>
        <w:spacing w:after="0"/>
        <w:rPr>
          <w:b/>
        </w:rPr>
      </w:pPr>
      <w:r w:rsidRPr="00D1360D">
        <w:rPr>
          <w:b/>
        </w:rPr>
        <w:t>Opportunities identified and recommended for action</w:t>
      </w:r>
    </w:p>
    <w:p w14:paraId="214FAF84" w14:textId="77777777" w:rsidR="00195463" w:rsidRPr="00D1360D" w:rsidRDefault="00195463" w:rsidP="00997283">
      <w:pPr>
        <w:spacing w:after="0"/>
        <w:rPr>
          <w:b/>
        </w:rPr>
      </w:pPr>
    </w:p>
    <w:p w14:paraId="090D0F2F" w14:textId="77777777" w:rsidR="00832A48" w:rsidRPr="000A43CA" w:rsidRDefault="0062601D" w:rsidP="007F1F4F">
      <w:pPr>
        <w:ind w:left="1135" w:hanging="284"/>
        <w:rPr>
          <w:color w:val="1F497D"/>
        </w:rPr>
      </w:pPr>
      <w:r>
        <w:rPr>
          <w:b/>
        </w:rPr>
        <w:t xml:space="preserve">1. </w:t>
      </w:r>
      <w:r w:rsidR="00832A48" w:rsidRPr="005D23A0">
        <w:rPr>
          <w:b/>
        </w:rPr>
        <w:t xml:space="preserve">Requirement for registrants to provide information relating to import, manufacture etc. of </w:t>
      </w:r>
      <w:r w:rsidR="00832A48" w:rsidRPr="00D1360D">
        <w:rPr>
          <w:b/>
        </w:rPr>
        <w:t xml:space="preserve">products (Part 5, Division 7, sub-division B).  </w:t>
      </w:r>
      <w:r w:rsidR="00832A48" w:rsidRPr="00D1360D">
        <w:t xml:space="preserve">This requirement places a burden on industry through the need to keep and manage such data should it be required to be provided by the Regulator. </w:t>
      </w:r>
      <w:r w:rsidR="005D23A0" w:rsidRPr="00D1360D">
        <w:t xml:space="preserve"> </w:t>
      </w:r>
      <w:r w:rsidR="00D1360D" w:rsidRPr="00D1360D">
        <w:t>Standards and labelling</w:t>
      </w:r>
      <w:r w:rsidR="005D23A0" w:rsidRPr="00D1360D">
        <w:t xml:space="preserve"> best practice</w:t>
      </w:r>
      <w:r w:rsidR="007F63D3">
        <w:t xml:space="preserve"> guidance</w:t>
      </w:r>
      <w:r w:rsidR="007F63D3">
        <w:rPr>
          <w:rStyle w:val="FootnoteReference"/>
        </w:rPr>
        <w:footnoteReference w:id="133"/>
      </w:r>
      <w:r w:rsidR="005D23A0" w:rsidRPr="00D1360D">
        <w:t xml:space="preserve"> states that this information should be gather</w:t>
      </w:r>
      <w:r w:rsidR="00D1360D" w:rsidRPr="00D1360D">
        <w:t>ed</w:t>
      </w:r>
      <w:r w:rsidR="005D23A0" w:rsidRPr="00D1360D">
        <w:t xml:space="preserve"> as it helps to determine the impact of the program</w:t>
      </w:r>
      <w:r w:rsidR="00F36D6D">
        <w:t>.  A voluntary approach to collecting this information is currently being trialled, whereby industry has agreed to provide it on an ‘as needed’, rather than regular, basis.  If this approach is not successful, data could either be purchased or this provision could be brought into effect</w:t>
      </w:r>
      <w:r w:rsidR="00F36D6D" w:rsidRPr="00D1360D">
        <w:rPr>
          <w:rStyle w:val="FootnoteReference"/>
        </w:rPr>
        <w:footnoteReference w:id="134"/>
      </w:r>
      <w:r w:rsidR="00F36D6D">
        <w:t>.  If this approach does prove successful, then this provision in the Act could be removed</w:t>
      </w:r>
      <w:r w:rsidR="000A43CA">
        <w:t xml:space="preserve">.  </w:t>
      </w:r>
      <w:r w:rsidR="00832A48" w:rsidRPr="00D1360D">
        <w:t xml:space="preserve">Using </w:t>
      </w:r>
      <w:r w:rsidR="003B2A53">
        <w:t xml:space="preserve">the </w:t>
      </w:r>
      <w:r w:rsidR="00832A48" w:rsidRPr="00D1360D">
        <w:t xml:space="preserve">OBPR </w:t>
      </w:r>
      <w:r w:rsidR="003B2A53" w:rsidRPr="00983742">
        <w:rPr>
          <w:bCs/>
        </w:rPr>
        <w:t>Regulatory Burden Measure</w:t>
      </w:r>
      <w:r w:rsidR="003B2A53">
        <w:rPr>
          <w:rStyle w:val="st1"/>
          <w:rFonts w:ascii="Arial" w:hAnsi="Arial" w:cs="Arial"/>
          <w:color w:val="545454"/>
        </w:rPr>
        <w:t xml:space="preserve"> </w:t>
      </w:r>
      <w:r w:rsidR="00A25997">
        <w:t>Framework</w:t>
      </w:r>
      <w:r w:rsidR="003B2A53">
        <w:t xml:space="preserve">, the Department </w:t>
      </w:r>
      <w:r w:rsidR="00832A48" w:rsidRPr="00D1360D">
        <w:t>estimate</w:t>
      </w:r>
      <w:r w:rsidR="001D188D">
        <w:t>s</w:t>
      </w:r>
      <w:r w:rsidR="00832A48" w:rsidRPr="00D1360D">
        <w:t xml:space="preserve"> this would remove over $12 million in costs over 10 years</w:t>
      </w:r>
      <w:r w:rsidR="00F36D6D">
        <w:rPr>
          <w:color w:val="1F497D"/>
        </w:rPr>
        <w:t>.</w:t>
      </w:r>
    </w:p>
    <w:p w14:paraId="550C2257" w14:textId="77777777" w:rsidR="00832A48" w:rsidRDefault="00832A48" w:rsidP="0062601D">
      <w:pPr>
        <w:numPr>
          <w:ilvl w:val="0"/>
          <w:numId w:val="37"/>
        </w:numPr>
        <w:contextualSpacing/>
      </w:pPr>
      <w:r>
        <w:rPr>
          <w:b/>
        </w:rPr>
        <w:t xml:space="preserve">Allowance for state and territory laws to go beyond levels required by GEMS (Part 1, Division 5, Clause 9).  </w:t>
      </w:r>
      <w:r>
        <w:t>This clause allows state and territory laws to set more stringent standards if deemed necessary on the basis that this ensures jurisdictions have the ability to regulate energy efficiency to meet local variables without undermining the objectives of the national program</w:t>
      </w:r>
      <w:r w:rsidR="005D23A0">
        <w:rPr>
          <w:rStyle w:val="FootnoteReference"/>
        </w:rPr>
        <w:footnoteReference w:id="135"/>
      </w:r>
      <w:r>
        <w:t xml:space="preserve">.  This clause has not been applied to date under GEMS but does place a risk of increased regulatory burden on industry if it were to be in future, so should be considered for removal.  </w:t>
      </w:r>
      <w:r w:rsidR="006E152B">
        <w:t>Note, however, that this would be ineffective unless the states and territories also repealed their own legislation.</w:t>
      </w:r>
    </w:p>
    <w:p w14:paraId="4D8E3A26" w14:textId="77777777" w:rsidR="00832A48" w:rsidRDefault="00832A48" w:rsidP="009F4031">
      <w:pPr>
        <w:ind w:left="426"/>
        <w:contextualSpacing/>
      </w:pPr>
    </w:p>
    <w:p w14:paraId="645995C6" w14:textId="77777777" w:rsidR="00427587" w:rsidRDefault="00832A48" w:rsidP="0062601D">
      <w:pPr>
        <w:numPr>
          <w:ilvl w:val="0"/>
          <w:numId w:val="37"/>
        </w:numPr>
        <w:contextualSpacing/>
      </w:pPr>
      <w:r>
        <w:rPr>
          <w:b/>
        </w:rPr>
        <w:t>P</w:t>
      </w:r>
      <w:r w:rsidRPr="00EA7ED2">
        <w:rPr>
          <w:b/>
        </w:rPr>
        <w:t>rocess for updating GEMS determinations</w:t>
      </w:r>
      <w:r>
        <w:t xml:space="preserve"> </w:t>
      </w:r>
      <w:r w:rsidRPr="00C14853">
        <w:rPr>
          <w:b/>
        </w:rPr>
        <w:t xml:space="preserve">(Part 4, Division 2, Clause 35). </w:t>
      </w:r>
      <w:r>
        <w:t xml:space="preserve"> This clause specifies that the Minister cannot vary a GEMS determination</w:t>
      </w:r>
      <w:r w:rsidR="00BE59FA">
        <w:t xml:space="preserve"> </w:t>
      </w:r>
      <w:r w:rsidR="00427587">
        <w:t>(except to make minor administrative changes).</w:t>
      </w:r>
      <w:r w:rsidR="00BE59FA">
        <w:t>The determination</w:t>
      </w:r>
      <w:r>
        <w:t xml:space="preserve"> must be made anew, </w:t>
      </w:r>
      <w:r w:rsidR="00427587">
        <w:t xml:space="preserve">as </w:t>
      </w:r>
      <w:r>
        <w:t xml:space="preserve">the procedures required </w:t>
      </w:r>
      <w:r w:rsidR="00427587">
        <w:t>to</w:t>
      </w:r>
      <w:r>
        <w:t xml:space="preserve"> replac</w:t>
      </w:r>
      <w:r w:rsidR="00427587">
        <w:t>e</w:t>
      </w:r>
      <w:r w:rsidR="00235B8C">
        <w:t xml:space="preserve"> </w:t>
      </w:r>
      <w:r>
        <w:t xml:space="preserve">a determination are the same as </w:t>
      </w:r>
      <w:r w:rsidR="00BE59FA">
        <w:t xml:space="preserve">for </w:t>
      </w:r>
      <w:r>
        <w:t xml:space="preserve">establishing a new one.  </w:t>
      </w:r>
      <w:r w:rsidR="006906E9">
        <w:t xml:space="preserve">These requirements are set out in COAG’s guide to Best Practice Regulation (2007).  </w:t>
      </w:r>
      <w:r w:rsidR="00427587">
        <w:t>In practice this results in unnecessary burden by requiring the full COAG Best Practice Regulation process to be adhered to in all cases.  This could be made more efficient and faster if a process were enabled which acknowledged previous analysis (e</w:t>
      </w:r>
      <w:r w:rsidR="00235B8C">
        <w:t>.</w:t>
      </w:r>
      <w:r w:rsidR="00427587">
        <w:t>g</w:t>
      </w:r>
      <w:r w:rsidR="00235B8C">
        <w:t>.</w:t>
      </w:r>
      <w:r w:rsidR="00427587">
        <w:t xml:space="preserve"> Decision RIS) which had been accepted to establish regulations (if it remained relevant), and if certain conditions </w:t>
      </w:r>
      <w:r w:rsidR="00427587">
        <w:lastRenderedPageBreak/>
        <w:t>were met (e.g. agreement by stakeholders).  Further investigation including legal advice, and possible changes to the COAG Best Practice Guide, may be required to enable this.</w:t>
      </w:r>
    </w:p>
    <w:p w14:paraId="5BD3C231" w14:textId="77777777" w:rsidR="00D1360D" w:rsidRDefault="00D1360D" w:rsidP="009F4031">
      <w:pPr>
        <w:ind w:left="426"/>
        <w:contextualSpacing/>
      </w:pPr>
    </w:p>
    <w:p w14:paraId="65CDB5E7" w14:textId="77777777" w:rsidR="00832A48" w:rsidRDefault="00832A48" w:rsidP="0062601D">
      <w:pPr>
        <w:numPr>
          <w:ilvl w:val="0"/>
          <w:numId w:val="37"/>
        </w:numPr>
        <w:contextualSpacing/>
      </w:pPr>
      <w:r w:rsidRPr="009E71A3">
        <w:rPr>
          <w:b/>
        </w:rPr>
        <w:t xml:space="preserve">Timescales governing the length of registration periods (Part 5, Division 5, Clause 48). </w:t>
      </w:r>
      <w:r w:rsidR="0096039B">
        <w:rPr>
          <w:b/>
        </w:rPr>
        <w:t xml:space="preserve"> </w:t>
      </w:r>
      <w:r>
        <w:t>The regulations specify a default timescale for registration of</w:t>
      </w:r>
      <w:r w:rsidR="00DC5A8E">
        <w:t xml:space="preserve"> five</w:t>
      </w:r>
      <w:r>
        <w:t xml:space="preserve"> years.  There may be cases where a registration period of over </w:t>
      </w:r>
      <w:r w:rsidR="00DC5A8E">
        <w:t>five</w:t>
      </w:r>
      <w:r>
        <w:t xml:space="preserve"> years is appropriate.  </w:t>
      </w:r>
      <w:r w:rsidR="00CC2156">
        <w:t xml:space="preserve">There is currently </w:t>
      </w:r>
      <w:r w:rsidR="00865425">
        <w:t xml:space="preserve">no </w:t>
      </w:r>
      <w:r w:rsidR="00CC2156">
        <w:t>scope for the Regulator to vary this, but p</w:t>
      </w:r>
      <w:r>
        <w:t>rovision could be allowed for</w:t>
      </w:r>
      <w:r w:rsidR="00AB267B">
        <w:t xml:space="preserve"> </w:t>
      </w:r>
      <w:r w:rsidR="0004794F">
        <w:t>by amending the Act</w:t>
      </w:r>
      <w:r w:rsidR="00CC2156">
        <w:t xml:space="preserve">.  This would </w:t>
      </w:r>
      <w:r>
        <w:t>provide a sma</w:t>
      </w:r>
      <w:r w:rsidR="00314807">
        <w:t>ll saving to industry (&lt;$50</w:t>
      </w:r>
      <w:r w:rsidR="0096039B">
        <w:t>,000</w:t>
      </w:r>
      <w:r w:rsidR="00314807">
        <w:t xml:space="preserve"> p.a.</w:t>
      </w:r>
      <w:r w:rsidR="00807EFB">
        <w:rPr>
          <w:rStyle w:val="FootnoteReference"/>
        </w:rPr>
        <w:footnoteReference w:id="136"/>
      </w:r>
      <w:r>
        <w:t>).</w:t>
      </w:r>
    </w:p>
    <w:p w14:paraId="1FC85289" w14:textId="77777777" w:rsidR="00A93F12" w:rsidRDefault="00A93F12" w:rsidP="00903EE2">
      <w:pPr>
        <w:ind w:left="426"/>
        <w:contextualSpacing/>
      </w:pPr>
    </w:p>
    <w:p w14:paraId="63130FA9" w14:textId="77777777" w:rsidR="00EE522B" w:rsidRPr="00EE522B" w:rsidRDefault="00EE522B" w:rsidP="00EE522B">
      <w:pPr>
        <w:rPr>
          <w:rFonts w:eastAsia="Calibri"/>
          <w:b/>
          <w:szCs w:val="22"/>
          <w:lang w:val="en-AU" w:eastAsia="en-US"/>
        </w:rPr>
      </w:pPr>
      <w:r w:rsidRPr="00EE522B">
        <w:rPr>
          <w:rFonts w:eastAsia="Calibri"/>
          <w:b/>
          <w:szCs w:val="22"/>
          <w:lang w:val="en-AU" w:eastAsia="en-US"/>
        </w:rPr>
        <w:t xml:space="preserve">Suggestions by some industry stakeholders which are </w:t>
      </w:r>
      <w:r w:rsidRPr="00E953CB">
        <w:rPr>
          <w:rFonts w:eastAsia="Calibri"/>
          <w:b/>
          <w:szCs w:val="22"/>
          <w:lang w:val="en-AU" w:eastAsia="en-US"/>
        </w:rPr>
        <w:t xml:space="preserve">not </w:t>
      </w:r>
      <w:r w:rsidRPr="00EE522B">
        <w:rPr>
          <w:rFonts w:eastAsia="Calibri"/>
          <w:b/>
          <w:szCs w:val="22"/>
          <w:lang w:val="en-AU" w:eastAsia="en-US"/>
        </w:rPr>
        <w:t>recommended for action</w:t>
      </w:r>
    </w:p>
    <w:p w14:paraId="6D4CA194" w14:textId="77777777" w:rsidR="00A93F12" w:rsidRPr="00D9305F" w:rsidRDefault="00A93F12" w:rsidP="00903EE2">
      <w:pPr>
        <w:spacing w:after="0"/>
        <w:rPr>
          <w:b/>
        </w:rPr>
      </w:pPr>
    </w:p>
    <w:p w14:paraId="2FDFAD24" w14:textId="77777777" w:rsidR="00832A48" w:rsidRPr="00EE522B" w:rsidRDefault="00832A48" w:rsidP="00320FDC">
      <w:pPr>
        <w:pStyle w:val="ColorfulList-Accent12"/>
        <w:numPr>
          <w:ilvl w:val="0"/>
          <w:numId w:val="42"/>
        </w:numPr>
        <w:ind w:left="426"/>
        <w:rPr>
          <w:b/>
        </w:rPr>
      </w:pPr>
      <w:r w:rsidRPr="00E05302">
        <w:rPr>
          <w:b/>
        </w:rPr>
        <w:t xml:space="preserve">Registration requirements against GEMS determinations (Part 2, Division 2, Clause 13).  </w:t>
      </w:r>
      <w:r>
        <w:t>The removal of registration would reduce industry costs</w:t>
      </w:r>
      <w:r w:rsidR="0004794F">
        <w:t xml:space="preserve"> on an annualised basis,</w:t>
      </w:r>
      <w:r>
        <w:t xml:space="preserve"> by approximately $5.3</w:t>
      </w:r>
      <w:r w:rsidR="0096039B">
        <w:t xml:space="preserve"> million</w:t>
      </w:r>
      <w:r>
        <w:rPr>
          <w:rStyle w:val="FootnoteReference"/>
        </w:rPr>
        <w:footnoteReference w:id="137"/>
      </w:r>
      <w:r>
        <w:t xml:space="preserve">.  As discussed in </w:t>
      </w:r>
      <w:r w:rsidR="00300314">
        <w:t>S</w:t>
      </w:r>
      <w:r>
        <w:t xml:space="preserve">ection </w:t>
      </w:r>
      <w:r>
        <w:fldChar w:fldCharType="begin"/>
      </w:r>
      <w:r>
        <w:instrText xml:space="preserve"> REF _Ref405384684 \r \h </w:instrText>
      </w:r>
      <w:r w:rsidR="009F4031">
        <w:instrText xml:space="preserve"> \* MERGEFORMAT </w:instrText>
      </w:r>
      <w:r>
        <w:fldChar w:fldCharType="separate"/>
      </w:r>
      <w:r w:rsidR="00BE13BF">
        <w:t>7.3</w:t>
      </w:r>
      <w:r>
        <w:fldChar w:fldCharType="end"/>
      </w:r>
      <w:r>
        <w:t xml:space="preserve">, registration is seen as a crucial element of an effective compliance regime. </w:t>
      </w:r>
      <w:r w:rsidR="00EC1B4B">
        <w:t xml:space="preserve">It is also one way to understand the impacts that the program is having. </w:t>
      </w:r>
      <w:r>
        <w:t xml:space="preserve"> Whilst it is not possible to quantify the benefits of registration (e.g. in terms of improved compliance activities), it is perceived by most stakeholders that the benefit of keeping registration significantly outweigh the costs.</w:t>
      </w:r>
    </w:p>
    <w:p w14:paraId="33021A04" w14:textId="77777777" w:rsidR="00046382" w:rsidRPr="004F02BE" w:rsidRDefault="00046382" w:rsidP="009D32BA">
      <w:pPr>
        <w:pStyle w:val="ColorfulList-Accent12"/>
        <w:ind w:left="426"/>
        <w:rPr>
          <w:b/>
        </w:rPr>
      </w:pPr>
    </w:p>
    <w:p w14:paraId="72ACE06B" w14:textId="77777777" w:rsidR="00832A48" w:rsidRPr="00581A78" w:rsidRDefault="00832A48" w:rsidP="00320FDC">
      <w:pPr>
        <w:pStyle w:val="ColorfulList-Accent12"/>
        <w:numPr>
          <w:ilvl w:val="0"/>
          <w:numId w:val="42"/>
        </w:numPr>
        <w:ind w:left="426"/>
        <w:rPr>
          <w:b/>
        </w:rPr>
      </w:pPr>
      <w:r w:rsidRPr="00581A78">
        <w:rPr>
          <w:b/>
        </w:rPr>
        <w:t>The ability to charge fees (Part 2, Clauses 8, 9</w:t>
      </w:r>
      <w:r>
        <w:rPr>
          <w:rStyle w:val="FootnoteReference"/>
          <w:b/>
        </w:rPr>
        <w:footnoteReference w:id="138"/>
      </w:r>
      <w:r w:rsidRPr="00581A78">
        <w:rPr>
          <w:b/>
        </w:rPr>
        <w:t xml:space="preserve">, Part 6, Division 4, Clause 77).  </w:t>
      </w:r>
      <w:r>
        <w:t>It is not recommended to remove the ability to charge fees for registration and other aspects of the program</w:t>
      </w:r>
      <w:r w:rsidR="00581A78">
        <w:t>.  This is on the basis that</w:t>
      </w:r>
      <w:r w:rsidR="00CB6F17">
        <w:t xml:space="preserve"> the program was intended to operate on a partial cost recovery basis, which is supported by industry.</w:t>
      </w:r>
      <w:r w:rsidR="0096039B">
        <w:t xml:space="preserve"> </w:t>
      </w:r>
      <w:r w:rsidR="00CB6F17">
        <w:t xml:space="preserve"> Further,</w:t>
      </w:r>
      <w:r w:rsidR="00581A78">
        <w:t xml:space="preserve"> it would remove the potential for a useful funding stream</w:t>
      </w:r>
      <w:r w:rsidR="00CB6F17">
        <w:t xml:space="preserve"> and therefore increase costs to government</w:t>
      </w:r>
      <w:r>
        <w:t xml:space="preserve">.  It is </w:t>
      </w:r>
      <w:r w:rsidR="00581A78">
        <w:t xml:space="preserve">however, </w:t>
      </w:r>
      <w:r>
        <w:t>recommended that the level of fees be reviewed</w:t>
      </w:r>
      <w:r w:rsidR="00581A78">
        <w:t xml:space="preserve">.  This is discussed in </w:t>
      </w:r>
      <w:r w:rsidR="00300314">
        <w:t>S</w:t>
      </w:r>
      <w:r>
        <w:t xml:space="preserve">ection </w:t>
      </w:r>
      <w:r w:rsidRPr="00581A78">
        <w:rPr>
          <w:highlight w:val="yellow"/>
        </w:rPr>
        <w:fldChar w:fldCharType="begin"/>
      </w:r>
      <w:r>
        <w:instrText xml:space="preserve"> REF _Ref405384684 \r \h </w:instrText>
      </w:r>
      <w:r w:rsidR="009F4031" w:rsidRPr="00581A78">
        <w:rPr>
          <w:highlight w:val="yellow"/>
        </w:rPr>
        <w:instrText xml:space="preserve"> \* MERGEFORMAT </w:instrText>
      </w:r>
      <w:r w:rsidRPr="00581A78">
        <w:rPr>
          <w:highlight w:val="yellow"/>
        </w:rPr>
      </w:r>
      <w:r w:rsidRPr="00581A78">
        <w:rPr>
          <w:highlight w:val="yellow"/>
        </w:rPr>
        <w:fldChar w:fldCharType="separate"/>
      </w:r>
      <w:r w:rsidR="00BE13BF">
        <w:t>7.3</w:t>
      </w:r>
      <w:r w:rsidRPr="00581A78">
        <w:rPr>
          <w:highlight w:val="yellow"/>
        </w:rPr>
        <w:fldChar w:fldCharType="end"/>
      </w:r>
      <w:r>
        <w:t>.</w:t>
      </w:r>
    </w:p>
    <w:p w14:paraId="6D2A6852" w14:textId="77777777" w:rsidR="00046382" w:rsidRPr="004F02BE" w:rsidRDefault="00046382" w:rsidP="009D32BA">
      <w:pPr>
        <w:pStyle w:val="ColorfulList-Accent12"/>
        <w:ind w:left="0"/>
        <w:rPr>
          <w:b/>
        </w:rPr>
      </w:pPr>
    </w:p>
    <w:p w14:paraId="0EF110F2" w14:textId="77777777" w:rsidR="00832A48" w:rsidRPr="008D085A" w:rsidRDefault="00832A48" w:rsidP="00320FDC">
      <w:pPr>
        <w:pStyle w:val="ColorfulList-Accent12"/>
        <w:numPr>
          <w:ilvl w:val="0"/>
          <w:numId w:val="42"/>
        </w:numPr>
        <w:ind w:left="426"/>
        <w:rPr>
          <w:b/>
        </w:rPr>
      </w:pPr>
      <w:r w:rsidRPr="008D085A">
        <w:rPr>
          <w:b/>
        </w:rPr>
        <w:t xml:space="preserve">Ability to limit grandfathering (Part 4, Division 2, Clause 31).  </w:t>
      </w:r>
      <w:r w:rsidR="008D085A">
        <w:t>In the context of the GEMS</w:t>
      </w:r>
      <w:r w:rsidR="00DC5A8E">
        <w:t>,</w:t>
      </w:r>
      <w:r w:rsidR="008D085A">
        <w:t xml:space="preserve"> </w:t>
      </w:r>
      <w:r w:rsidR="008D085A" w:rsidRPr="00845476">
        <w:t>the term ‘grandfathering’ refers to the period for which non-compliant products may continue to be sold.</w:t>
      </w:r>
      <w:r w:rsidR="008D085A">
        <w:t xml:space="preserve">  Removing this clause (which allows a limit for grandfathering) </w:t>
      </w:r>
      <w:r>
        <w:t xml:space="preserve">has been raised by industry as a way to reduce burden, which could be implemented. </w:t>
      </w:r>
      <w:r w:rsidR="0025175F">
        <w:t xml:space="preserve"> </w:t>
      </w:r>
      <w:r>
        <w:t xml:space="preserve">However, there are no examples of grandfathering limits having been implemented, nor obvious examples of where this would be a risk in the near future.  This means that there is </w:t>
      </w:r>
      <w:r w:rsidR="00334F4D">
        <w:t xml:space="preserve">no </w:t>
      </w:r>
      <w:r>
        <w:t xml:space="preserve">actual regulatory burden impact of the measure, but it would leave the scheme open to risk if such an issue became apparent in a future GEMS determination.  </w:t>
      </w:r>
      <w:r w:rsidR="0025175F">
        <w:t>Finally, if grandfathering were to be identified as an issue, the issue would be addressed and discussed within RISs, which would allow industry the opportunity to discuss and respond.</w:t>
      </w:r>
    </w:p>
    <w:p w14:paraId="5123D0D4" w14:textId="77777777" w:rsidR="00B666C5" w:rsidRPr="004F02BE" w:rsidRDefault="00B666C5" w:rsidP="009F4031">
      <w:pPr>
        <w:pStyle w:val="ColorfulList-Accent12"/>
        <w:ind w:left="426"/>
        <w:rPr>
          <w:b/>
        </w:rPr>
      </w:pPr>
    </w:p>
    <w:p w14:paraId="660F48B4" w14:textId="77777777" w:rsidR="00832A48" w:rsidRPr="00581A78" w:rsidRDefault="00832A48" w:rsidP="00320FDC">
      <w:pPr>
        <w:pStyle w:val="ColorfulList-Accent12"/>
        <w:numPr>
          <w:ilvl w:val="0"/>
          <w:numId w:val="42"/>
        </w:numPr>
        <w:ind w:left="426"/>
        <w:rPr>
          <w:b/>
        </w:rPr>
      </w:pPr>
      <w:r w:rsidRPr="00581A78">
        <w:rPr>
          <w:b/>
        </w:rPr>
        <w:t>Removing products which affect energy consumption of other products such as insulation, window glass and air conditioner ducting</w:t>
      </w:r>
      <w:r>
        <w:t xml:space="preserve"> </w:t>
      </w:r>
      <w:r w:rsidRPr="00581A78">
        <w:rPr>
          <w:b/>
        </w:rPr>
        <w:t>(Part 2, Division 2, Clause 11)</w:t>
      </w:r>
      <w:r>
        <w:t xml:space="preserve">.  The </w:t>
      </w:r>
      <w:r w:rsidR="00581A78">
        <w:t>Act</w:t>
      </w:r>
      <w:r>
        <w:t xml:space="preserve"> specifically expanded the scope of the scheme to cover these products on the basis that they present a </w:t>
      </w:r>
      <w:r>
        <w:lastRenderedPageBreak/>
        <w:t>significant opportunity to further reduce energy consumption and householder bills and to allow the scheme to focus on those which represent the largest savings for least cost.  This has not changed</w:t>
      </w:r>
      <w:r w:rsidR="00581A78">
        <w:t xml:space="preserve"> (and more of these products are now covered by international schemes</w:t>
      </w:r>
      <w:r w:rsidR="00581A78">
        <w:rPr>
          <w:rStyle w:val="FootnoteReference"/>
        </w:rPr>
        <w:footnoteReference w:id="139"/>
      </w:r>
      <w:r w:rsidR="00581A78">
        <w:t>)</w:t>
      </w:r>
      <w:r>
        <w:t xml:space="preserve">, so </w:t>
      </w:r>
      <w:r w:rsidR="00046382">
        <w:t xml:space="preserve">we </w:t>
      </w:r>
      <w:r>
        <w:t xml:space="preserve">would not recommend their removal.  </w:t>
      </w:r>
      <w:r w:rsidR="0025175F">
        <w:t xml:space="preserve">Furthermore, </w:t>
      </w:r>
      <w:r w:rsidR="0025175F" w:rsidRPr="0025175F">
        <w:t xml:space="preserve">some appliances are not </w:t>
      </w:r>
      <w:r w:rsidR="0025175F">
        <w:t xml:space="preserve">significantly </w:t>
      </w:r>
      <w:r w:rsidR="0025175F" w:rsidRPr="0025175F">
        <w:t xml:space="preserve">affected by other factors </w:t>
      </w:r>
      <w:r w:rsidR="0025175F">
        <w:t>(e.g. televisions)</w:t>
      </w:r>
      <w:r w:rsidR="0025175F" w:rsidRPr="0025175F">
        <w:t xml:space="preserve">, whereas others can be </w:t>
      </w:r>
      <w:r w:rsidR="0025175F">
        <w:t xml:space="preserve">(e.g. </w:t>
      </w:r>
      <w:r w:rsidR="0025175F" w:rsidRPr="0025175F">
        <w:t xml:space="preserve">air </w:t>
      </w:r>
      <w:r w:rsidR="0025175F">
        <w:t xml:space="preserve">conditioning, </w:t>
      </w:r>
      <w:r w:rsidR="0025175F" w:rsidRPr="0025175F">
        <w:t>heating</w:t>
      </w:r>
      <w:r w:rsidR="0025175F">
        <w:t>)</w:t>
      </w:r>
      <w:r w:rsidR="0025175F" w:rsidRPr="0025175F">
        <w:t xml:space="preserve">. </w:t>
      </w:r>
      <w:r w:rsidR="0096039B">
        <w:t xml:space="preserve"> </w:t>
      </w:r>
      <w:r w:rsidR="0025175F">
        <w:t xml:space="preserve">The provision allows for greater consideration of key parts of the system where there are these dependencies, which </w:t>
      </w:r>
      <w:r w:rsidR="0025175F" w:rsidRPr="0025175F">
        <w:t xml:space="preserve">can </w:t>
      </w:r>
      <w:r w:rsidR="0025175F">
        <w:t xml:space="preserve">help </w:t>
      </w:r>
      <w:r w:rsidR="0025175F" w:rsidRPr="0025175F">
        <w:t xml:space="preserve">deliver a significantly better </w:t>
      </w:r>
      <w:r w:rsidR="0032057F">
        <w:t xml:space="preserve">energy efficiency and cost saving </w:t>
      </w:r>
      <w:r w:rsidR="0025175F" w:rsidRPr="0025175F">
        <w:t>outcome.</w:t>
      </w:r>
    </w:p>
    <w:p w14:paraId="73650C9C" w14:textId="77777777" w:rsidR="0025175F" w:rsidRDefault="0025175F" w:rsidP="009F4031">
      <w:pPr>
        <w:pStyle w:val="ColorfulList-Accent12"/>
        <w:rPr>
          <w:b/>
        </w:rPr>
      </w:pPr>
    </w:p>
    <w:p w14:paraId="06A1BA1B" w14:textId="77777777" w:rsidR="00832A48" w:rsidRPr="004F02BE" w:rsidRDefault="00832A48" w:rsidP="00320FDC">
      <w:pPr>
        <w:pStyle w:val="ColorfulList-Accent12"/>
        <w:numPr>
          <w:ilvl w:val="0"/>
          <w:numId w:val="42"/>
        </w:numPr>
        <w:ind w:left="426"/>
        <w:rPr>
          <w:b/>
        </w:rPr>
      </w:pPr>
      <w:r w:rsidRPr="004F02BE">
        <w:rPr>
          <w:b/>
        </w:rPr>
        <w:t xml:space="preserve">Including specific timeframes for implementation of determinations once they come into force within the regulations (Part 4, Division 2, Clause 34). </w:t>
      </w:r>
      <w:r>
        <w:t xml:space="preserve"> Some industry stakeholders have requested specific timeframes within the regulations.  The advantage of this is that it provides industry with additional certainty that they will have sufficient time to ensure compliance prior to a determination coming into force.  However, the disadvantage of this is that this would remove flexibility to move faster</w:t>
      </w:r>
      <w:r w:rsidR="00950797">
        <w:t>,</w:t>
      </w:r>
      <w:r>
        <w:t xml:space="preserve"> </w:t>
      </w:r>
      <w:r w:rsidR="00950797">
        <w:t xml:space="preserve">or slower, </w:t>
      </w:r>
      <w:r>
        <w:t>if necessary</w:t>
      </w:r>
      <w:r w:rsidR="00581A78">
        <w:t xml:space="preserve"> (or due to unforeseen circumstances)</w:t>
      </w:r>
      <w:r>
        <w:rPr>
          <w:rStyle w:val="FootnoteReference"/>
        </w:rPr>
        <w:footnoteReference w:id="140"/>
      </w:r>
      <w:r>
        <w:t xml:space="preserve">.  Ensuring that timescales are discussed and agreed early in the </w:t>
      </w:r>
      <w:r w:rsidR="00950797">
        <w:t xml:space="preserve">RIS and </w:t>
      </w:r>
      <w:r>
        <w:t>determination development process</w:t>
      </w:r>
      <w:r>
        <w:rPr>
          <w:rStyle w:val="FootnoteReference"/>
        </w:rPr>
        <w:footnoteReference w:id="141"/>
      </w:r>
      <w:r>
        <w:t xml:space="preserve"> then removes the need for specifying this within the </w:t>
      </w:r>
      <w:r w:rsidR="00581A78">
        <w:t>Act</w:t>
      </w:r>
      <w:r>
        <w:t xml:space="preserve">. </w:t>
      </w:r>
    </w:p>
    <w:p w14:paraId="056D53FC" w14:textId="77777777" w:rsidR="00C91819" w:rsidRDefault="00C91819" w:rsidP="009F4031">
      <w:pPr>
        <w:pStyle w:val="Heading3"/>
      </w:pPr>
      <w:bookmarkStart w:id="104" w:name="_Ref409267994"/>
      <w:bookmarkStart w:id="105" w:name="_Toc422298409"/>
      <w:r w:rsidRPr="00EC4D28">
        <w:t>Opportunities to improve outcomes</w:t>
      </w:r>
      <w:bookmarkEnd w:id="104"/>
      <w:bookmarkEnd w:id="105"/>
    </w:p>
    <w:p w14:paraId="4E3BAA89" w14:textId="77777777" w:rsidR="00142C12" w:rsidRDefault="00760183" w:rsidP="00997283">
      <w:pPr>
        <w:spacing w:after="0"/>
      </w:pPr>
      <w:r>
        <w:t>In addition to streamlining actions, some opportunities to improve outcomes</w:t>
      </w:r>
      <w:r w:rsidR="00EC1B4B">
        <w:t>, either</w:t>
      </w:r>
      <w:r>
        <w:t xml:space="preserve"> through amendments to the Act</w:t>
      </w:r>
      <w:r w:rsidR="00EC1B4B">
        <w:t>, if required,</w:t>
      </w:r>
      <w:r>
        <w:t xml:space="preserve"> </w:t>
      </w:r>
      <w:r w:rsidR="00EC1B4B">
        <w:t xml:space="preserve">or </w:t>
      </w:r>
      <w:r w:rsidR="00FB583D">
        <w:t>simply changes</w:t>
      </w:r>
      <w:r w:rsidR="00EC1B4B">
        <w:t xml:space="preserve"> to program administration (as noted below) </w:t>
      </w:r>
      <w:r>
        <w:t xml:space="preserve">were also identified.  </w:t>
      </w:r>
      <w:r w:rsidR="00142C12">
        <w:t>These include:</w:t>
      </w:r>
      <w:r w:rsidR="00807EFB" w:rsidRPr="00807EFB">
        <w:t xml:space="preserve"> </w:t>
      </w:r>
    </w:p>
    <w:p w14:paraId="620A2841" w14:textId="77777777" w:rsidR="00142C12" w:rsidRDefault="00142C12" w:rsidP="00C02B94">
      <w:pPr>
        <w:numPr>
          <w:ilvl w:val="2"/>
          <w:numId w:val="68"/>
        </w:numPr>
        <w:spacing w:after="0"/>
        <w:ind w:left="567"/>
      </w:pPr>
      <w:r>
        <w:t xml:space="preserve">Implementing strategic forward planning; </w:t>
      </w:r>
    </w:p>
    <w:p w14:paraId="3AB72153" w14:textId="77777777" w:rsidR="00760183" w:rsidRDefault="00142C12" w:rsidP="00C02B94">
      <w:pPr>
        <w:numPr>
          <w:ilvl w:val="2"/>
          <w:numId w:val="68"/>
        </w:numPr>
        <w:spacing w:after="0"/>
        <w:ind w:left="567"/>
      </w:pPr>
      <w:r>
        <w:t>I</w:t>
      </w:r>
      <w:r w:rsidR="00807EFB">
        <w:t>ntroducing a set timetable for developing and implementing (new or revised) determinations to ensure timely delivery</w:t>
      </w:r>
      <w:r>
        <w:t>;</w:t>
      </w:r>
    </w:p>
    <w:p w14:paraId="1E865395" w14:textId="77777777" w:rsidR="00142C12" w:rsidRDefault="00807EFB" w:rsidP="00C02B94">
      <w:pPr>
        <w:numPr>
          <w:ilvl w:val="2"/>
          <w:numId w:val="68"/>
        </w:numPr>
        <w:spacing w:after="0"/>
        <w:ind w:left="567"/>
      </w:pPr>
      <w:r>
        <w:t xml:space="preserve">Maintain a policy of seeking </w:t>
      </w:r>
      <w:r w:rsidR="00142C12">
        <w:t>alignment with international schemes</w:t>
      </w:r>
      <w:r>
        <w:t xml:space="preserve"> (see further discussion in the Appendix at Section 9.1)</w:t>
      </w:r>
      <w:r w:rsidR="00142C12">
        <w:t>;</w:t>
      </w:r>
    </w:p>
    <w:p w14:paraId="22413A38" w14:textId="77777777" w:rsidR="00142C12" w:rsidRDefault="00334F4D" w:rsidP="00C02B94">
      <w:pPr>
        <w:numPr>
          <w:ilvl w:val="2"/>
          <w:numId w:val="68"/>
        </w:numPr>
        <w:spacing w:after="0"/>
        <w:ind w:left="567"/>
      </w:pPr>
      <w:r>
        <w:t>Fulfilling r</w:t>
      </w:r>
      <w:r w:rsidR="00142C12">
        <w:t>equirements to publicise offences, contraventions and adverse decisions</w:t>
      </w:r>
      <w:r w:rsidR="00DC5A8E">
        <w:t>;</w:t>
      </w:r>
      <w:r w:rsidR="00142C12">
        <w:t xml:space="preserve"> and</w:t>
      </w:r>
    </w:p>
    <w:p w14:paraId="3B634DEF" w14:textId="77777777" w:rsidR="00142C12" w:rsidRDefault="00142C12" w:rsidP="00C02B94">
      <w:pPr>
        <w:numPr>
          <w:ilvl w:val="2"/>
          <w:numId w:val="68"/>
        </w:numPr>
        <w:spacing w:after="0"/>
        <w:ind w:left="567"/>
      </w:pPr>
      <w:r>
        <w:t>Improving the guidance for models/families of models criteria.</w:t>
      </w:r>
    </w:p>
    <w:p w14:paraId="6BB1B0A0" w14:textId="77777777" w:rsidR="00142C12" w:rsidRDefault="00142C12" w:rsidP="00997283">
      <w:pPr>
        <w:spacing w:after="0"/>
      </w:pPr>
    </w:p>
    <w:p w14:paraId="1AD1CC0F" w14:textId="77777777" w:rsidR="00142C12" w:rsidRDefault="00142C12" w:rsidP="009F4031">
      <w:r>
        <w:t xml:space="preserve">Further details of these opportunities and how they relate to the Act are detailed in the </w:t>
      </w:r>
      <w:r w:rsidR="007D55B8">
        <w:t>A</w:t>
      </w:r>
      <w:r>
        <w:t xml:space="preserve">ppendix.  </w:t>
      </w:r>
    </w:p>
    <w:p w14:paraId="7D8E1E82" w14:textId="77777777" w:rsidR="00760183" w:rsidRDefault="00760183" w:rsidP="009F4031">
      <w:r>
        <w:t>All of these opportunities are possible to implement through making amendments to program administration</w:t>
      </w:r>
      <w:r w:rsidR="00142C12">
        <w:t xml:space="preserve"> (covered in </w:t>
      </w:r>
      <w:r w:rsidR="00300314">
        <w:t>S</w:t>
      </w:r>
      <w:r w:rsidR="00142C12">
        <w:t xml:space="preserve">ection </w:t>
      </w:r>
      <w:r w:rsidR="00142C12">
        <w:fldChar w:fldCharType="begin"/>
      </w:r>
      <w:r w:rsidR="00142C12">
        <w:instrText xml:space="preserve"> REF _Ref412970355 \r \h </w:instrText>
      </w:r>
      <w:r w:rsidR="00142C12">
        <w:fldChar w:fldCharType="separate"/>
      </w:r>
      <w:r w:rsidR="00BE13BF">
        <w:t>7.3</w:t>
      </w:r>
      <w:r w:rsidR="00142C12">
        <w:fldChar w:fldCharType="end"/>
      </w:r>
      <w:r w:rsidR="00142C12">
        <w:t>)</w:t>
      </w:r>
      <w:r>
        <w:t xml:space="preserve">, as opposed to amending the Act, which would involve significant </w:t>
      </w:r>
      <w:r w:rsidR="00142C12">
        <w:t xml:space="preserve">regulatory burden.  As such, these opportunities have been recommended for action within </w:t>
      </w:r>
      <w:r w:rsidR="00300314">
        <w:t>S</w:t>
      </w:r>
      <w:r w:rsidR="00142C12">
        <w:t xml:space="preserve">ection </w:t>
      </w:r>
      <w:r w:rsidR="00142C12">
        <w:fldChar w:fldCharType="begin"/>
      </w:r>
      <w:r w:rsidR="00142C12">
        <w:instrText xml:space="preserve"> REF _Ref412970355 \r \h </w:instrText>
      </w:r>
      <w:r w:rsidR="00142C12">
        <w:fldChar w:fldCharType="separate"/>
      </w:r>
      <w:r w:rsidR="00BE13BF">
        <w:t>7.3</w:t>
      </w:r>
      <w:r w:rsidR="00142C12">
        <w:fldChar w:fldCharType="end"/>
      </w:r>
      <w:r w:rsidR="00142C12">
        <w:t>.</w:t>
      </w:r>
      <w:r w:rsidR="00F573D3">
        <w:t xml:space="preserve"> </w:t>
      </w:r>
    </w:p>
    <w:p w14:paraId="503550DE" w14:textId="77777777" w:rsidR="00F573D3" w:rsidRDefault="00F573D3" w:rsidP="009F4031">
      <w:r>
        <w:t>Other issues</w:t>
      </w:r>
    </w:p>
    <w:p w14:paraId="286C475E" w14:textId="77777777" w:rsidR="00894CC8" w:rsidRDefault="00894CC8" w:rsidP="00894CC8">
      <w:r>
        <w:t xml:space="preserve">For much equipment covered by GEMs, the energy efficiency delivered is related to the technical capacity of the equipment. However, for some equipment, its installation and maintenance can have a major impact on its efficiency operation.  While the GEMS Act does not apply to installation and </w:t>
      </w:r>
      <w:r w:rsidR="00B73D16">
        <w:t>maintenance</w:t>
      </w:r>
      <w:r>
        <w:t>, there is scope to improve equipment performance for consumers by focusing on end-</w:t>
      </w:r>
      <w:r>
        <w:lastRenderedPageBreak/>
        <w:t>use regulations, for example under the Ozone Protection regime</w:t>
      </w:r>
      <w:r w:rsidR="00643682">
        <w:rPr>
          <w:rStyle w:val="FootnoteReference"/>
        </w:rPr>
        <w:footnoteReference w:id="142"/>
      </w:r>
      <w:r>
        <w:t>.  The ozone Protection regime already has the infrastructure to deliver such an outcome and its extension to energy efficiency matters may have little additional cost.  While it is beyond the scope of this report, further work will be needed to analyse the options for end-use controls. This matter is currently being considered by the Department of the Environment in its review of the Ozone Protection Synthetic Greenhouse Gas Management Act. A joint project between the Department of the Environment and relevant industry groups may be a sensible step forward.</w:t>
      </w:r>
    </w:p>
    <w:p w14:paraId="5CFA9825" w14:textId="77777777" w:rsidR="00894CC8" w:rsidRDefault="00894CC8" w:rsidP="00894CC8">
      <w:pPr>
        <w:rPr>
          <w:u w:val="single"/>
        </w:rPr>
      </w:pPr>
      <w:r>
        <w:t xml:space="preserve">In relation to the registration system, industry supports the coordination of data collection across government. Data used across different programs should only be collected once and shared between different programs or activities. In the case of GEMS, </w:t>
      </w:r>
      <w:r>
        <w:rPr>
          <w:lang w:eastAsia="en-US"/>
        </w:rPr>
        <w:t>data collected for other regulatory purposes – such as the Ozone Protection and Synthetic Greenhouse Gas Management Act – should be collected once and shared. The capacity for one data collection process to fulfil multiple regulatory needs across portfolios should be enabled.</w:t>
      </w:r>
    </w:p>
    <w:p w14:paraId="14ABA9B9" w14:textId="77777777" w:rsidR="00C91819" w:rsidRDefault="00C91819" w:rsidP="009F4031">
      <w:pPr>
        <w:pStyle w:val="Heading3"/>
      </w:pPr>
      <w:bookmarkStart w:id="106" w:name="_Toc422298410"/>
      <w:r w:rsidRPr="00165BFC">
        <w:t>Conclusions</w:t>
      </w:r>
      <w:bookmarkEnd w:id="106"/>
    </w:p>
    <w:p w14:paraId="189ACF5D" w14:textId="77777777" w:rsidR="00201E20" w:rsidRPr="00201E20" w:rsidRDefault="00201E20" w:rsidP="009F4031">
      <w:pPr>
        <w:spacing w:after="0"/>
        <w:rPr>
          <w:lang w:eastAsia="x-none"/>
        </w:rPr>
      </w:pPr>
    </w:p>
    <w:p w14:paraId="0611DC42" w14:textId="77777777" w:rsidR="00142C12" w:rsidRDefault="00C91819" w:rsidP="0010230F">
      <w:pPr>
        <w:pStyle w:val="ColorfulList-Accent12"/>
        <w:numPr>
          <w:ilvl w:val="0"/>
          <w:numId w:val="12"/>
        </w:numPr>
        <w:spacing w:after="120"/>
        <w:ind w:left="357"/>
      </w:pPr>
      <w:r>
        <w:t xml:space="preserve">The </w:t>
      </w:r>
      <w:r w:rsidR="0012773F">
        <w:t xml:space="preserve">Act </w:t>
      </w:r>
      <w:r>
        <w:t>support</w:t>
      </w:r>
      <w:r w:rsidR="0012773F">
        <w:t>s</w:t>
      </w:r>
      <w:r>
        <w:t xml:space="preserve"> the delivery of significant benefits compared to their costs.</w:t>
      </w:r>
    </w:p>
    <w:p w14:paraId="763B8FAA" w14:textId="77777777" w:rsidR="00142C12" w:rsidRDefault="00142C12" w:rsidP="0010230F">
      <w:pPr>
        <w:pStyle w:val="ColorfulList-Accent12"/>
        <w:spacing w:after="120"/>
        <w:ind w:left="357"/>
      </w:pPr>
    </w:p>
    <w:p w14:paraId="660355BB" w14:textId="77777777" w:rsidR="00201E20" w:rsidRDefault="00142C12" w:rsidP="0010230F">
      <w:pPr>
        <w:pStyle w:val="ColorfulList-Accent12"/>
        <w:numPr>
          <w:ilvl w:val="0"/>
          <w:numId w:val="12"/>
        </w:numPr>
        <w:spacing w:after="120"/>
        <w:ind w:left="357"/>
      </w:pPr>
      <w:r w:rsidRPr="00201E20">
        <w:t xml:space="preserve">It is not possible </w:t>
      </w:r>
      <w:r>
        <w:t xml:space="preserve">at this early stage </w:t>
      </w:r>
      <w:r w:rsidRPr="00201E20">
        <w:t xml:space="preserve">to conclude with confidence that the </w:t>
      </w:r>
      <w:r>
        <w:t xml:space="preserve">Act is </w:t>
      </w:r>
      <w:r w:rsidRPr="00201E20">
        <w:t>supporting delivery</w:t>
      </w:r>
      <w:r>
        <w:t xml:space="preserve"> of improved outcomes over the previous multi-jurisdiction scheme</w:t>
      </w:r>
      <w:r w:rsidR="0096039B">
        <w:t xml:space="preserve">.  However, </w:t>
      </w:r>
      <w:r w:rsidR="00F73404" w:rsidRPr="00F73404">
        <w:t>providing consistency in standards and labelling reduces regulatory burden on industry and is viewed positively by most industry stakeholders.</w:t>
      </w:r>
    </w:p>
    <w:p w14:paraId="28FCD335" w14:textId="77777777" w:rsidR="00142C12" w:rsidRDefault="00142C12" w:rsidP="0010230F">
      <w:pPr>
        <w:pStyle w:val="ColorfulList-Accent12"/>
        <w:spacing w:after="120"/>
        <w:ind w:left="357"/>
      </w:pPr>
    </w:p>
    <w:p w14:paraId="063F5DCB" w14:textId="77777777" w:rsidR="00142C12" w:rsidRDefault="00142C12" w:rsidP="0010230F">
      <w:pPr>
        <w:pStyle w:val="ColorfulList-Accent12"/>
        <w:numPr>
          <w:ilvl w:val="0"/>
          <w:numId w:val="12"/>
        </w:numPr>
        <w:spacing w:after="120"/>
        <w:ind w:left="357"/>
      </w:pPr>
      <w:r>
        <w:t>Overall, the Act appears to be effective and necessary with provisions in place to ensure they are delivered at least cost to consumers and industry, whilst maintaining a fair and equitable market.</w:t>
      </w:r>
    </w:p>
    <w:p w14:paraId="47FDD770" w14:textId="77777777" w:rsidR="00915AFD" w:rsidRDefault="00915AFD" w:rsidP="0010230F">
      <w:pPr>
        <w:pStyle w:val="ColorfulList-Accent12"/>
        <w:spacing w:after="120"/>
        <w:ind w:left="357"/>
      </w:pPr>
    </w:p>
    <w:p w14:paraId="703EC158" w14:textId="77777777" w:rsidR="00915AFD" w:rsidRDefault="00915AFD" w:rsidP="0010230F">
      <w:pPr>
        <w:pStyle w:val="ColorfulList-Accent12"/>
        <w:numPr>
          <w:ilvl w:val="0"/>
          <w:numId w:val="12"/>
        </w:numPr>
        <w:spacing w:after="120"/>
        <w:ind w:left="357"/>
      </w:pPr>
      <w:r>
        <w:t xml:space="preserve">Some opportunities have been identified for streamlining to improve efficiency and for amendment to improve </w:t>
      </w:r>
      <w:r w:rsidR="004B393F">
        <w:t>outcomes</w:t>
      </w:r>
      <w:r>
        <w:t xml:space="preserve">. </w:t>
      </w:r>
      <w:r w:rsidR="0096039B">
        <w:t xml:space="preserve"> </w:t>
      </w:r>
      <w:r w:rsidR="00142C12" w:rsidRPr="00142C12">
        <w:t xml:space="preserve">None of the opportunities identified represent a fundamental risk to the achievement of </w:t>
      </w:r>
      <w:r w:rsidR="00DC5A8E">
        <w:t xml:space="preserve">the program’s </w:t>
      </w:r>
      <w:r w:rsidR="00142C12" w:rsidRPr="00142C12">
        <w:t xml:space="preserve">objectives.  </w:t>
      </w:r>
    </w:p>
    <w:p w14:paraId="328C4F1F" w14:textId="77777777" w:rsidR="00C91819" w:rsidRDefault="00C91819" w:rsidP="009F4031">
      <w:pPr>
        <w:pStyle w:val="Heading3"/>
      </w:pPr>
      <w:bookmarkStart w:id="107" w:name="_Toc422298411"/>
      <w:r w:rsidRPr="00165BFC">
        <w:t>Recommendations</w:t>
      </w:r>
      <w:bookmarkEnd w:id="107"/>
    </w:p>
    <w:p w14:paraId="4BC41F5E" w14:textId="77777777" w:rsidR="00915AFD" w:rsidRPr="00915AFD" w:rsidRDefault="00915AFD" w:rsidP="009F4031">
      <w:pPr>
        <w:spacing w:after="0"/>
        <w:rPr>
          <w:lang w:eastAsia="x-none"/>
        </w:rPr>
      </w:pPr>
    </w:p>
    <w:p w14:paraId="3DF44173" w14:textId="77777777" w:rsidR="00C91819" w:rsidRDefault="00C91819" w:rsidP="00C02B94">
      <w:pPr>
        <w:pStyle w:val="ColorfulList-Accent12"/>
        <w:numPr>
          <w:ilvl w:val="0"/>
          <w:numId w:val="69"/>
        </w:numPr>
      </w:pPr>
      <w:r>
        <w:t xml:space="preserve">The </w:t>
      </w:r>
      <w:r w:rsidR="003040F6">
        <w:t xml:space="preserve">Act </w:t>
      </w:r>
      <w:r>
        <w:t>should not be fundamentally changed.  To do so would risk adverse outcomes such as reduced opportunity available for implementing energy efficiency measures and/or significantly increased risks to effective delivery and/or compromising equitable markets</w:t>
      </w:r>
      <w:r w:rsidR="00915AFD">
        <w:t>.</w:t>
      </w:r>
    </w:p>
    <w:p w14:paraId="5E7FAC9F" w14:textId="77777777" w:rsidR="00C91819" w:rsidRDefault="00C91819" w:rsidP="009F4031">
      <w:pPr>
        <w:pStyle w:val="ColorfulList-Accent12"/>
        <w:ind w:left="360"/>
      </w:pPr>
    </w:p>
    <w:p w14:paraId="630E336A" w14:textId="77777777" w:rsidR="00915AFD" w:rsidRDefault="00915AFD" w:rsidP="00C02B94">
      <w:pPr>
        <w:pStyle w:val="ColorfulList-Accent12"/>
        <w:numPr>
          <w:ilvl w:val="0"/>
          <w:numId w:val="69"/>
        </w:numPr>
      </w:pPr>
      <w:r>
        <w:t>The program should consider and progress the identified opportunities to reduce regulatory burden</w:t>
      </w:r>
      <w:r w:rsidR="00131DFD">
        <w:t xml:space="preserve"> and improve outcomes</w:t>
      </w:r>
      <w:r w:rsidR="00631488">
        <w:t>.</w:t>
      </w:r>
    </w:p>
    <w:p w14:paraId="32D759AD" w14:textId="77777777" w:rsidR="0082004D" w:rsidRPr="0082004D" w:rsidRDefault="0082004D" w:rsidP="009F4031">
      <w:pPr>
        <w:rPr>
          <w:lang w:eastAsia="x-none"/>
        </w:rPr>
      </w:pPr>
    </w:p>
    <w:p w14:paraId="0A981878" w14:textId="77777777" w:rsidR="00DD2F8B" w:rsidRDefault="00823FBE" w:rsidP="009F4031">
      <w:pPr>
        <w:pStyle w:val="Heading2"/>
      </w:pPr>
      <w:bookmarkStart w:id="108" w:name="_Ref405384684"/>
      <w:r>
        <w:br w:type="page"/>
      </w:r>
      <w:bookmarkStart w:id="109" w:name="_Ref409255047"/>
      <w:bookmarkStart w:id="110" w:name="_Ref412970355"/>
      <w:bookmarkStart w:id="111" w:name="_Toc422298412"/>
      <w:r w:rsidR="00BE3B84">
        <w:lastRenderedPageBreak/>
        <w:t>Program administration</w:t>
      </w:r>
      <w:bookmarkEnd w:id="108"/>
      <w:bookmarkEnd w:id="109"/>
      <w:bookmarkEnd w:id="110"/>
      <w:bookmarkEnd w:id="111"/>
    </w:p>
    <w:p w14:paraId="07EF662D" w14:textId="77777777" w:rsidR="007B3B3E" w:rsidRDefault="008271BB" w:rsidP="009F4031">
      <w:r w:rsidRPr="00A71C14">
        <w:t xml:space="preserve">This section examines the program administration, </w:t>
      </w:r>
      <w:r>
        <w:t xml:space="preserve">drawing on evidence from the review of program documentation, wider literature and stakeholder feedback.  </w:t>
      </w:r>
    </w:p>
    <w:p w14:paraId="062F70C4" w14:textId="77777777" w:rsidR="007B3B3E" w:rsidRDefault="007B3B3E" w:rsidP="009F4031">
      <w:r>
        <w:t xml:space="preserve">The effectiveness of program administration is assessed by reviewing the major elements of the program’s delivery, focussing on </w:t>
      </w:r>
      <w:r w:rsidR="008271BB" w:rsidRPr="00A71C14">
        <w:t xml:space="preserve">planning, </w:t>
      </w:r>
      <w:r w:rsidR="00142C12">
        <w:t>GEMS determinations</w:t>
      </w:r>
      <w:r w:rsidR="008F5751">
        <w:t xml:space="preserve"> process</w:t>
      </w:r>
      <w:r w:rsidR="00142C12">
        <w:t xml:space="preserve">, </w:t>
      </w:r>
      <w:r w:rsidR="008271BB" w:rsidRPr="00A71C14">
        <w:t>product registration and compliance</w:t>
      </w:r>
      <w:r w:rsidR="008271BB">
        <w:t>.</w:t>
      </w:r>
      <w:r w:rsidR="0096039B">
        <w:t xml:space="preserve"> </w:t>
      </w:r>
      <w:r w:rsidR="008271BB">
        <w:t xml:space="preserve"> </w:t>
      </w:r>
      <w:r>
        <w:t>In doing so, opportunities to improve efficiency and effectiveness</w:t>
      </w:r>
      <w:r w:rsidR="003A33BC">
        <w:t>, and reduce implementation costs and the regulatory burden,</w:t>
      </w:r>
      <w:r>
        <w:t xml:space="preserve"> </w:t>
      </w:r>
      <w:r w:rsidR="00D309A3">
        <w:t xml:space="preserve">are </w:t>
      </w:r>
      <w:r>
        <w:t>identified.</w:t>
      </w:r>
    </w:p>
    <w:p w14:paraId="6505CD51" w14:textId="77777777" w:rsidR="007B3B3E" w:rsidRDefault="00BA0F65" w:rsidP="009F4031">
      <w:pPr>
        <w:pStyle w:val="Heading3"/>
      </w:pPr>
      <w:bookmarkStart w:id="112" w:name="_Toc422298413"/>
      <w:r>
        <w:t>Effectiveness of administration</w:t>
      </w:r>
      <w:bookmarkEnd w:id="112"/>
    </w:p>
    <w:p w14:paraId="2AA28C85" w14:textId="77777777" w:rsidR="00BA0F65" w:rsidRPr="00BA0F65" w:rsidRDefault="00BA0F65" w:rsidP="00997283">
      <w:pPr>
        <w:pStyle w:val="Heading4"/>
      </w:pPr>
      <w:r>
        <w:t>Strategic planning</w:t>
      </w:r>
    </w:p>
    <w:p w14:paraId="38F599F7" w14:textId="77777777" w:rsidR="000078B2" w:rsidRDefault="000078B2" w:rsidP="000078B2">
      <w:pPr>
        <w:rPr>
          <w:lang w:eastAsia="x-none"/>
        </w:rPr>
      </w:pPr>
      <w:r>
        <w:rPr>
          <w:lang w:eastAsia="x-none"/>
        </w:rPr>
        <w:t>Strategic planning, for the purposes of the review</w:t>
      </w:r>
      <w:r w:rsidR="000B51C8">
        <w:rPr>
          <w:lang w:eastAsia="x-none"/>
        </w:rPr>
        <w:t>,</w:t>
      </w:r>
      <w:r>
        <w:rPr>
          <w:lang w:eastAsia="x-none"/>
        </w:rPr>
        <w:t xml:space="preserve"> is defined as planning for the overall program, which serves to identify needs, select product groups for investigation and set out a development schedule for regulatory or non-regulatory action.</w:t>
      </w:r>
    </w:p>
    <w:p w14:paraId="412075CB" w14:textId="77777777" w:rsidR="00016F15" w:rsidRPr="00016F15" w:rsidRDefault="00294374" w:rsidP="00294374">
      <w:pPr>
        <w:rPr>
          <w:lang w:eastAsia="x-none"/>
        </w:rPr>
      </w:pPr>
      <w:r>
        <w:rPr>
          <w:lang w:eastAsia="x-none"/>
        </w:rPr>
        <w:t>Although strate</w:t>
      </w:r>
      <w:r w:rsidR="000078B2">
        <w:rPr>
          <w:lang w:eastAsia="x-none"/>
        </w:rPr>
        <w:t xml:space="preserve">gic planning is undertaken, </w:t>
      </w:r>
      <w:r>
        <w:rPr>
          <w:lang w:eastAsia="x-none"/>
        </w:rPr>
        <w:t xml:space="preserve">many stakeholders stated that this could be more formal, rigorous and transparent.  </w:t>
      </w:r>
      <w:r w:rsidR="00016F15">
        <w:t xml:space="preserve">A </w:t>
      </w:r>
      <w:r w:rsidR="000078B2">
        <w:t xml:space="preserve">strategic </w:t>
      </w:r>
      <w:r w:rsidR="00016F15">
        <w:t>work plan is currently under development by DoI</w:t>
      </w:r>
      <w:r w:rsidR="00C70DE9">
        <w:t>S</w:t>
      </w:r>
      <w:r w:rsidR="00016F15">
        <w:t xml:space="preserve"> and so while this wasn’t covered in the review, it may address some of these concerns in the near future.  </w:t>
      </w:r>
    </w:p>
    <w:p w14:paraId="1553B727" w14:textId="77777777" w:rsidR="000078B2" w:rsidRDefault="007B3B3E" w:rsidP="009F4031">
      <w:r w:rsidRPr="00056FA4">
        <w:rPr>
          <w:u w:val="single"/>
        </w:rPr>
        <w:t>International evidence and learning</w:t>
      </w:r>
      <w:r w:rsidR="00BA0F65">
        <w:rPr>
          <w:u w:val="single"/>
        </w:rPr>
        <w:t>:</w:t>
      </w:r>
      <w:r w:rsidR="00BA0F65">
        <w:t xml:space="preserve">  </w:t>
      </w:r>
      <w:r w:rsidR="00016F15">
        <w:t>Most of the major standards and labelling schemes internationally have some form of strategic planning process</w:t>
      </w:r>
      <w:r w:rsidR="000078B2">
        <w:t>.</w:t>
      </w:r>
      <w:r w:rsidR="00016F15">
        <w:t xml:space="preserve"> </w:t>
      </w:r>
    </w:p>
    <w:p w14:paraId="47A614CE" w14:textId="77777777" w:rsidR="00016F15" w:rsidRPr="00016F15" w:rsidRDefault="00016F15" w:rsidP="008F5751">
      <w:r>
        <w:t>Discussion with energy experts, review of international schemes and best practice suggests that both the EU and US schemes have well regarded and robust approaches to strategic planning</w:t>
      </w:r>
      <w:r w:rsidR="00BA7476">
        <w:rPr>
          <w:rStyle w:val="FootnoteReference"/>
        </w:rPr>
        <w:footnoteReference w:id="143"/>
      </w:r>
      <w:r w:rsidR="0032057F">
        <w:t xml:space="preserve"> </w:t>
      </w:r>
      <w:r w:rsidR="00BA7476">
        <w:rPr>
          <w:rStyle w:val="FootnoteReference"/>
        </w:rPr>
        <w:footnoteReference w:id="144"/>
      </w:r>
      <w:r>
        <w:t xml:space="preserve">.  </w:t>
      </w:r>
      <w:r w:rsidR="00BA7476">
        <w:t xml:space="preserve">This was felt to be because they have </w:t>
      </w:r>
      <w:r w:rsidR="008F5751">
        <w:t xml:space="preserve">sufficient </w:t>
      </w:r>
      <w:r w:rsidR="00BA7476" w:rsidRPr="00BA7476">
        <w:t>resources to invest in market</w:t>
      </w:r>
      <w:r w:rsidR="000078B2">
        <w:t xml:space="preserve"> and/or </w:t>
      </w:r>
      <w:r w:rsidR="00BA7476" w:rsidRPr="00BA7476">
        <w:t>technical assessments</w:t>
      </w:r>
      <w:r w:rsidR="008F5751">
        <w:t xml:space="preserve"> to inform plans.  Furthermore, </w:t>
      </w:r>
      <w:r w:rsidR="00BA7476" w:rsidRPr="00BA7476">
        <w:t>once a plan</w:t>
      </w:r>
      <w:r w:rsidR="00D309A3">
        <w:t xml:space="preserve"> is agreed</w:t>
      </w:r>
      <w:r w:rsidR="00BA7476" w:rsidRPr="00BA7476">
        <w:t xml:space="preserve">, </w:t>
      </w:r>
      <w:r w:rsidR="008F5751">
        <w:t xml:space="preserve">resources are allocated in order to stick to the procedure and timelines as far as possible.  </w:t>
      </w:r>
      <w:r w:rsidR="00005C4C">
        <w:t>For example, t</w:t>
      </w:r>
      <w:r w:rsidR="00861F6D">
        <w:t>he European Commission has commissioned a project to inform the development of the</w:t>
      </w:r>
      <w:r w:rsidR="0066477B">
        <w:t xml:space="preserve"> 2015-17 Ecodesign </w:t>
      </w:r>
      <w:r w:rsidR="00334F4D">
        <w:t xml:space="preserve">Directive </w:t>
      </w:r>
      <w:r w:rsidR="0066477B">
        <w:t>workplan</w:t>
      </w:r>
      <w:r w:rsidR="00861F6D">
        <w:t>.  The year</w:t>
      </w:r>
      <w:r w:rsidR="001E6419">
        <w:t>-</w:t>
      </w:r>
      <w:r w:rsidR="00861F6D">
        <w:t>long project involves the identification of 30 product groups for investigation, undertaking high level market and technical assessments, alongside stakeholder consultations</w:t>
      </w:r>
      <w:r w:rsidR="0066477B">
        <w:t>,</w:t>
      </w:r>
      <w:r w:rsidR="00861F6D">
        <w:t xml:space="preserve"> in order to inform a priority list</w:t>
      </w:r>
      <w:r w:rsidR="0066477B">
        <w:t xml:space="preserve"> of products</w:t>
      </w:r>
      <w:r w:rsidR="00861F6D">
        <w:t>, which is then passed to the Commission to develop further</w:t>
      </w:r>
      <w:r w:rsidR="0066477B">
        <w:t>.</w:t>
      </w:r>
    </w:p>
    <w:p w14:paraId="4979012C" w14:textId="77777777" w:rsidR="007B3B3E" w:rsidRPr="00056FA4" w:rsidRDefault="007B3B3E" w:rsidP="009F4031">
      <w:pPr>
        <w:rPr>
          <w:u w:val="single"/>
        </w:rPr>
      </w:pPr>
      <w:r w:rsidRPr="00056FA4">
        <w:rPr>
          <w:u w:val="single"/>
        </w:rPr>
        <w:t>National evidence and learning</w:t>
      </w:r>
    </w:p>
    <w:p w14:paraId="422EC2C3" w14:textId="77777777" w:rsidR="007B3B3E" w:rsidRDefault="007B3B3E" w:rsidP="009F4031">
      <w:r w:rsidRPr="00056FA4">
        <w:t>Prior to the transition to GEMS, a number of strategic plans were published for specific sectors (e.g. com</w:t>
      </w:r>
      <w:r>
        <w:t xml:space="preserve">mercial refrigeration, HVAC), which were used as a tool to develop </w:t>
      </w:r>
      <w:r w:rsidR="00525355">
        <w:t xml:space="preserve">work </w:t>
      </w:r>
      <w:r>
        <w:t xml:space="preserve">plans, reviewing targeting and appropriateness of product groups selected for regulation including timescales for doing so.  </w:t>
      </w:r>
      <w:r w:rsidR="00525355">
        <w:t xml:space="preserve">The plans were supported by three year work plans, which included energy efficiency projections to help inform planning.  </w:t>
      </w:r>
      <w:r>
        <w:t xml:space="preserve">However, </w:t>
      </w:r>
      <w:r w:rsidR="00525355">
        <w:t xml:space="preserve">the strategic plans </w:t>
      </w:r>
      <w:r>
        <w:t xml:space="preserve">were not </w:t>
      </w:r>
      <w:r w:rsidR="009179B8">
        <w:t xml:space="preserve">conducted </w:t>
      </w:r>
      <w:r>
        <w:t xml:space="preserve">for all product sectors, </w:t>
      </w:r>
      <w:r w:rsidR="00525355">
        <w:t xml:space="preserve">and </w:t>
      </w:r>
      <w:r w:rsidR="008F5751">
        <w:t>neither the strategic plans nor the</w:t>
      </w:r>
      <w:r w:rsidR="00525355">
        <w:t xml:space="preserve"> three year work plans </w:t>
      </w:r>
      <w:r>
        <w:t xml:space="preserve">have been revisited </w:t>
      </w:r>
      <w:r w:rsidR="008F5751">
        <w:t xml:space="preserve">to date </w:t>
      </w:r>
      <w:r>
        <w:t>under GEMS.</w:t>
      </w:r>
      <w:r w:rsidR="00525355">
        <w:t xml:space="preserve"> </w:t>
      </w:r>
    </w:p>
    <w:p w14:paraId="16F27B26" w14:textId="77777777" w:rsidR="007B3B3E" w:rsidRDefault="007B3B3E" w:rsidP="009F4031">
      <w:r>
        <w:t xml:space="preserve">Stakeholder views:  </w:t>
      </w:r>
      <w:r w:rsidRPr="00056FA4">
        <w:t xml:space="preserve">Many </w:t>
      </w:r>
      <w:r w:rsidRPr="00B83BEA">
        <w:t>stakeholders</w:t>
      </w:r>
      <w:r>
        <w:t>, across industry</w:t>
      </w:r>
      <w:r w:rsidRPr="00056FA4">
        <w:t xml:space="preserve">, </w:t>
      </w:r>
      <w:r>
        <w:t xml:space="preserve">consumer and environmental groups expressed </w:t>
      </w:r>
      <w:r w:rsidRPr="00056FA4">
        <w:t>a desire for greater visibility of</w:t>
      </w:r>
      <w:r w:rsidR="0066477B">
        <w:t>,</w:t>
      </w:r>
      <w:r w:rsidRPr="00056FA4">
        <w:t xml:space="preserve"> and input into</w:t>
      </w:r>
      <w:r w:rsidR="0066477B">
        <w:t>,</w:t>
      </w:r>
      <w:r w:rsidRPr="00056FA4">
        <w:t xml:space="preserve"> the strategic direction of GEMS. </w:t>
      </w:r>
      <w:r w:rsidR="0096039B">
        <w:t xml:space="preserve"> </w:t>
      </w:r>
      <w:r w:rsidRPr="00056FA4">
        <w:t xml:space="preserve">Greater </w:t>
      </w:r>
      <w:r>
        <w:lastRenderedPageBreak/>
        <w:t xml:space="preserve">involvement and </w:t>
      </w:r>
      <w:r w:rsidRPr="00056FA4">
        <w:t xml:space="preserve">transparency </w:t>
      </w:r>
      <w:r>
        <w:t xml:space="preserve">at this stage, it </w:t>
      </w:r>
      <w:r w:rsidRPr="00056FA4">
        <w:t>was felt</w:t>
      </w:r>
      <w:r w:rsidR="0066477B">
        <w:t>,</w:t>
      </w:r>
      <w:r w:rsidRPr="00056FA4">
        <w:t xml:space="preserve"> </w:t>
      </w:r>
      <w:r>
        <w:t xml:space="preserve">would </w:t>
      </w:r>
      <w:r w:rsidRPr="00056FA4">
        <w:t xml:space="preserve">provide reassurance about the program’s aims and </w:t>
      </w:r>
      <w:r>
        <w:t>directions and the rational</w:t>
      </w:r>
      <w:r w:rsidR="0066477B">
        <w:t>e</w:t>
      </w:r>
      <w:r>
        <w:t xml:space="preserve"> over why certain measures were selected for determinations over others.  Furthermore, some respondents who had been actively involved with GEMS since 2012, expressed that this would also be a </w:t>
      </w:r>
      <w:r w:rsidRPr="00056FA4">
        <w:t>good way to improve efficiency</w:t>
      </w:r>
      <w:r>
        <w:t xml:space="preserve">, as it would </w:t>
      </w:r>
      <w:r w:rsidR="00A3473F">
        <w:t xml:space="preserve">help prevent ‘strategic’ challenges being made during the GEMS determinations process (i.e. questions as to whether or not that product group should be selected for regulation).  </w:t>
      </w:r>
    </w:p>
    <w:p w14:paraId="6F6B1F24" w14:textId="77777777" w:rsidR="00861F6D" w:rsidRPr="00BA0F65" w:rsidRDefault="008200AA" w:rsidP="00997283">
      <w:pPr>
        <w:pStyle w:val="Heading4"/>
      </w:pPr>
      <w:r>
        <w:t xml:space="preserve">Development of GEMS </w:t>
      </w:r>
      <w:r w:rsidR="008F5751">
        <w:t>d</w:t>
      </w:r>
      <w:r>
        <w:t>eterminations</w:t>
      </w:r>
      <w:r w:rsidR="00BA0F65">
        <w:t xml:space="preserve"> </w:t>
      </w:r>
    </w:p>
    <w:p w14:paraId="7B96AD13" w14:textId="77777777" w:rsidR="00861F6D" w:rsidRDefault="00861F6D" w:rsidP="009F4031">
      <w:pPr>
        <w:rPr>
          <w:lang w:eastAsia="x-none"/>
        </w:rPr>
      </w:pPr>
      <w:r>
        <w:rPr>
          <w:lang w:eastAsia="x-none"/>
        </w:rPr>
        <w:t>The review explored the effectiveness of the current</w:t>
      </w:r>
      <w:r w:rsidR="008200AA">
        <w:rPr>
          <w:lang w:eastAsia="x-none"/>
        </w:rPr>
        <w:t xml:space="preserve"> process for developing GEMS </w:t>
      </w:r>
      <w:r w:rsidR="008F5751">
        <w:rPr>
          <w:lang w:eastAsia="x-none"/>
        </w:rPr>
        <w:t>d</w:t>
      </w:r>
      <w:r w:rsidR="008200AA">
        <w:rPr>
          <w:lang w:eastAsia="x-none"/>
        </w:rPr>
        <w:t xml:space="preserve">eterminations, </w:t>
      </w:r>
      <w:r>
        <w:rPr>
          <w:lang w:eastAsia="x-none"/>
        </w:rPr>
        <w:t xml:space="preserve">how it compares to other schemes and stakeholder views.  </w:t>
      </w:r>
    </w:p>
    <w:p w14:paraId="5E7A9BA0" w14:textId="77777777" w:rsidR="00861F6D" w:rsidRDefault="00861F6D" w:rsidP="00C02B94">
      <w:pPr>
        <w:numPr>
          <w:ilvl w:val="0"/>
          <w:numId w:val="72"/>
        </w:numPr>
        <w:spacing w:after="0"/>
        <w:rPr>
          <w:u w:val="single"/>
          <w:lang w:eastAsia="x-none"/>
        </w:rPr>
      </w:pPr>
      <w:r w:rsidRPr="00152861">
        <w:rPr>
          <w:u w:val="single"/>
          <w:lang w:eastAsia="x-none"/>
        </w:rPr>
        <w:t>Robustn</w:t>
      </w:r>
      <w:r>
        <w:rPr>
          <w:u w:val="single"/>
          <w:lang w:eastAsia="x-none"/>
        </w:rPr>
        <w:t>ess</w:t>
      </w:r>
    </w:p>
    <w:p w14:paraId="20B12E5B" w14:textId="77777777" w:rsidR="00861F6D" w:rsidRPr="00081F1E" w:rsidRDefault="003604F5" w:rsidP="009F4031">
      <w:pPr>
        <w:rPr>
          <w:u w:val="single"/>
          <w:lang w:eastAsia="x-none"/>
        </w:rPr>
      </w:pPr>
      <w:r>
        <w:t>In 2012</w:t>
      </w:r>
      <w:r w:rsidR="0096039B">
        <w:t>,</w:t>
      </w:r>
      <w:r>
        <w:t xml:space="preserve"> the Lawrence Berkley National Laboratory (LBNL) undertook a review of international standards and labelling schemes and reviewed the regulatory impact assessment process between the US, EU, Australia and China</w:t>
      </w:r>
      <w:r>
        <w:rPr>
          <w:rStyle w:val="FootnoteReference"/>
        </w:rPr>
        <w:footnoteReference w:id="145"/>
      </w:r>
      <w:r>
        <w:t>.  This showed that Australia compared well internationally, in particular with regards to balancing rigour with market conditions and other factors.  For example, the US, China and EU undertake detailed technical assessments of products to determine the likely c</w:t>
      </w:r>
      <w:r w:rsidR="00861F6D" w:rsidRPr="00E2316A">
        <w:t>ost of improving energy efficienc</w:t>
      </w:r>
      <w:r>
        <w:t>y</w:t>
      </w:r>
      <w:r w:rsidR="00861F6D">
        <w:rPr>
          <w:rStyle w:val="FootnoteReference"/>
        </w:rPr>
        <w:footnoteReference w:id="146"/>
      </w:r>
      <w:r>
        <w:t>.  Rather than repeating these specifically for Australia</w:t>
      </w:r>
      <w:r w:rsidR="008F5751">
        <w:rPr>
          <w:rStyle w:val="FootnoteReference"/>
        </w:rPr>
        <w:footnoteReference w:id="147"/>
      </w:r>
      <w:r>
        <w:t>, the scheme reviewed the</w:t>
      </w:r>
      <w:r w:rsidR="0066477B">
        <w:t>se</w:t>
      </w:r>
      <w:r>
        <w:t xml:space="preserve"> analyses and utilised them to inform RISs for their own markets.  </w:t>
      </w:r>
    </w:p>
    <w:p w14:paraId="484C1BBF" w14:textId="77777777" w:rsidR="00861F6D" w:rsidRDefault="003604F5" w:rsidP="009F4031">
      <w:pPr>
        <w:spacing w:after="0"/>
      </w:pPr>
      <w:r>
        <w:t>Furthermore, a</w:t>
      </w:r>
      <w:r w:rsidR="00861F6D" w:rsidRPr="00E2316A">
        <w:t xml:space="preserve"> 2004 comparison of the US and Australian processes</w:t>
      </w:r>
      <w:r w:rsidR="00861F6D">
        <w:rPr>
          <w:rStyle w:val="FootnoteReference"/>
        </w:rPr>
        <w:footnoteReference w:id="148"/>
      </w:r>
      <w:r w:rsidR="00861F6D" w:rsidRPr="00E2316A">
        <w:t xml:space="preserve"> suggested that </w:t>
      </w:r>
      <w:r w:rsidR="00334F4D">
        <w:t>Australia’s</w:t>
      </w:r>
      <w:r w:rsidR="00861F6D" w:rsidRPr="00E2316A">
        <w:t xml:space="preserve"> process has been highly effective, especially </w:t>
      </w:r>
      <w:r>
        <w:t>with regards to its approach to international harmonisation</w:t>
      </w:r>
      <w:r w:rsidR="008F5751">
        <w:t xml:space="preserve"> and focus on cost-effectiveness</w:t>
      </w:r>
      <w:r w:rsidR="00861F6D" w:rsidRPr="00E2316A">
        <w:rPr>
          <w:rStyle w:val="FootnoteReference"/>
        </w:rPr>
        <w:footnoteReference w:id="149"/>
      </w:r>
      <w:r w:rsidR="00861F6D" w:rsidRPr="00E2316A">
        <w:t xml:space="preserve">. </w:t>
      </w:r>
      <w:r w:rsidR="0096039B">
        <w:t xml:space="preserve"> </w:t>
      </w:r>
      <w:r w:rsidR="00861F6D">
        <w:t xml:space="preserve">However, </w:t>
      </w:r>
      <w:r w:rsidR="009179B8">
        <w:t xml:space="preserve">the comparison study identifies </w:t>
      </w:r>
      <w:r w:rsidR="00861F6D">
        <w:t xml:space="preserve">opportunities to improve the </w:t>
      </w:r>
      <w:r w:rsidR="008F5751">
        <w:t xml:space="preserve">program’s </w:t>
      </w:r>
      <w:r w:rsidR="00861F6D">
        <w:t>cost-benefit analysis</w:t>
      </w:r>
      <w:r w:rsidR="008F5751">
        <w:t xml:space="preserve"> approach, </w:t>
      </w:r>
      <w:r>
        <w:t>includ</w:t>
      </w:r>
      <w:r w:rsidR="008F5751">
        <w:t>ing</w:t>
      </w:r>
      <w:r>
        <w:t xml:space="preserve"> undertaking </w:t>
      </w:r>
      <w:r w:rsidR="00861F6D">
        <w:t>further investigation of the impact of MEPS on product prices and more detailed data on product usage</w:t>
      </w:r>
      <w:r w:rsidR="009C554E">
        <w:t xml:space="preserve">.  This was recommended as a further approach </w:t>
      </w:r>
      <w:r w:rsidR="00861F6D">
        <w:t>if the benefits of doing so outweighed the costs</w:t>
      </w:r>
      <w:r w:rsidR="00861F6D">
        <w:rPr>
          <w:rStyle w:val="FootnoteReference"/>
        </w:rPr>
        <w:footnoteReference w:id="150"/>
      </w:r>
      <w:r w:rsidR="00861F6D">
        <w:t xml:space="preserve">. </w:t>
      </w:r>
    </w:p>
    <w:p w14:paraId="2AD13B31" w14:textId="77777777" w:rsidR="009C554E" w:rsidRDefault="009C554E" w:rsidP="009F4031">
      <w:pPr>
        <w:spacing w:after="0"/>
      </w:pPr>
    </w:p>
    <w:p w14:paraId="37D8813F" w14:textId="77777777" w:rsidR="00BC3335" w:rsidRDefault="009C554E" w:rsidP="009F4031">
      <w:pPr>
        <w:spacing w:after="0"/>
      </w:pPr>
      <w:r>
        <w:t xml:space="preserve">A </w:t>
      </w:r>
      <w:r w:rsidR="00BC3335">
        <w:t xml:space="preserve">high level </w:t>
      </w:r>
      <w:r>
        <w:t>review of the three RISs which have been implemented since GEMS came into force was undertaken as part of the review</w:t>
      </w:r>
      <w:r w:rsidR="00BC3335">
        <w:rPr>
          <w:rStyle w:val="FootnoteReference"/>
        </w:rPr>
        <w:footnoteReference w:id="151"/>
      </w:r>
      <w:r w:rsidR="00BC3335">
        <w:t xml:space="preserve"> to explore the process in greater depth to understand what evidence was used and how the process was undertaken.  Whilst it was not possible to explore the CBA process and modelling assumptions in depth</w:t>
      </w:r>
      <w:r w:rsidR="000A58CD">
        <w:t xml:space="preserve">, the following areas are notable. </w:t>
      </w:r>
    </w:p>
    <w:p w14:paraId="07E31B71" w14:textId="77777777" w:rsidR="0096039B" w:rsidRDefault="0096039B" w:rsidP="009F4031">
      <w:pPr>
        <w:spacing w:after="0"/>
      </w:pPr>
    </w:p>
    <w:p w14:paraId="2EA07174" w14:textId="77777777" w:rsidR="00BC3335" w:rsidRDefault="00BC3335" w:rsidP="009F4031">
      <w:pPr>
        <w:spacing w:after="0"/>
      </w:pPr>
      <w:r>
        <w:t>Elements which appeared to be robust</w:t>
      </w:r>
      <w:r w:rsidR="00957281">
        <w:t>:</w:t>
      </w:r>
    </w:p>
    <w:p w14:paraId="5C2D39D8" w14:textId="77777777" w:rsidR="00BC3335" w:rsidRDefault="00BC3335" w:rsidP="00320FDC">
      <w:pPr>
        <w:numPr>
          <w:ilvl w:val="1"/>
          <w:numId w:val="39"/>
        </w:numPr>
        <w:spacing w:after="0"/>
      </w:pPr>
      <w:r>
        <w:t>The modelling undertaken and assumptions used are clearly detailed and transparent</w:t>
      </w:r>
      <w:r w:rsidR="008F5751">
        <w:t>;</w:t>
      </w:r>
    </w:p>
    <w:p w14:paraId="4E10F0FB" w14:textId="77777777" w:rsidR="00BC3335" w:rsidRDefault="00BC3335" w:rsidP="00320FDC">
      <w:pPr>
        <w:numPr>
          <w:ilvl w:val="1"/>
          <w:numId w:val="39"/>
        </w:numPr>
        <w:spacing w:after="0"/>
      </w:pPr>
      <w:r>
        <w:lastRenderedPageBreak/>
        <w:t xml:space="preserve">Several scenarios are modelled in order to help inform objective </w:t>
      </w:r>
      <w:r w:rsidR="008F5751">
        <w:t>decisions;</w:t>
      </w:r>
      <w:r>
        <w:t xml:space="preserve"> sensitivity analysis </w:t>
      </w:r>
      <w:r w:rsidR="000A58CD">
        <w:t>and consideration of risks are also considered</w:t>
      </w:r>
      <w:r w:rsidR="008F5751">
        <w:t>;</w:t>
      </w:r>
    </w:p>
    <w:p w14:paraId="7AF99B08" w14:textId="77777777" w:rsidR="000A58CD" w:rsidRDefault="000A58CD" w:rsidP="00320FDC">
      <w:pPr>
        <w:numPr>
          <w:ilvl w:val="1"/>
          <w:numId w:val="39"/>
        </w:numPr>
        <w:spacing w:after="0"/>
      </w:pPr>
      <w:r>
        <w:t>Issues which would have a significant effect on outcomes are considered, such as compliance and product performance</w:t>
      </w:r>
      <w:r w:rsidR="008F5751">
        <w:t>;</w:t>
      </w:r>
      <w:r>
        <w:t xml:space="preserve">  </w:t>
      </w:r>
    </w:p>
    <w:p w14:paraId="54BD778B" w14:textId="77777777" w:rsidR="000A58CD" w:rsidRDefault="000A58CD" w:rsidP="00320FDC">
      <w:pPr>
        <w:numPr>
          <w:ilvl w:val="1"/>
          <w:numId w:val="39"/>
        </w:numPr>
        <w:spacing w:after="0"/>
      </w:pPr>
      <w:r>
        <w:t>Regulatory burden on industry is given a clear focus</w:t>
      </w:r>
      <w:r w:rsidR="008F5751">
        <w:t>;</w:t>
      </w:r>
      <w:r>
        <w:t xml:space="preserve"> </w:t>
      </w:r>
    </w:p>
    <w:p w14:paraId="039FF03C" w14:textId="77777777" w:rsidR="000A58CD" w:rsidRDefault="000A58CD" w:rsidP="00320FDC">
      <w:pPr>
        <w:numPr>
          <w:ilvl w:val="1"/>
          <w:numId w:val="39"/>
        </w:numPr>
        <w:spacing w:after="0"/>
      </w:pPr>
      <w:r>
        <w:t>Consultation is clearly undertaken both a</w:t>
      </w:r>
      <w:r w:rsidR="0066477B">
        <w:t>s part of</w:t>
      </w:r>
      <w:r>
        <w:t xml:space="preserve"> the RIS and </w:t>
      </w:r>
      <w:r w:rsidR="0066477B">
        <w:t xml:space="preserve">in </w:t>
      </w:r>
      <w:r>
        <w:t>steps prior to</w:t>
      </w:r>
      <w:r w:rsidR="0066477B">
        <w:t xml:space="preserve"> the</w:t>
      </w:r>
      <w:r>
        <w:t xml:space="preserve"> RIS, albeit sometimes response rates appear to be low</w:t>
      </w:r>
      <w:r w:rsidR="00A50E55">
        <w:t>;</w:t>
      </w:r>
      <w:r w:rsidR="00334F4D">
        <w:t xml:space="preserve"> </w:t>
      </w:r>
      <w:r w:rsidR="008F5751">
        <w:t>and</w:t>
      </w:r>
    </w:p>
    <w:p w14:paraId="29CFCE05" w14:textId="77777777" w:rsidR="000A58CD" w:rsidRDefault="000A58CD" w:rsidP="00320FDC">
      <w:pPr>
        <w:numPr>
          <w:ilvl w:val="1"/>
          <w:numId w:val="39"/>
        </w:numPr>
        <w:spacing w:after="0"/>
      </w:pPr>
      <w:r>
        <w:t xml:space="preserve">Recommendations are based on those which deliver the greatest benefit to society as a whole (as determined by the modelling approach). </w:t>
      </w:r>
    </w:p>
    <w:p w14:paraId="241F4D57" w14:textId="77777777" w:rsidR="00BC3335" w:rsidRDefault="00BC3335" w:rsidP="009F4031">
      <w:pPr>
        <w:spacing w:after="0"/>
      </w:pPr>
      <w:r>
        <w:t>Issues</w:t>
      </w:r>
      <w:r w:rsidR="00957281">
        <w:t>:</w:t>
      </w:r>
    </w:p>
    <w:p w14:paraId="5FE6CCEF" w14:textId="77777777" w:rsidR="00BC3335" w:rsidRDefault="008966E2" w:rsidP="00320FDC">
      <w:pPr>
        <w:numPr>
          <w:ilvl w:val="1"/>
          <w:numId w:val="39"/>
        </w:numPr>
        <w:spacing w:after="0"/>
      </w:pPr>
      <w:r>
        <w:t xml:space="preserve">There may be opportunities to gather more primary evidence to inform the assessment of market failures, barriers and industry impacts – to help to robustly inform </w:t>
      </w:r>
      <w:r w:rsidR="000A58CD">
        <w:t>the</w:t>
      </w:r>
      <w:r w:rsidR="00BC3335">
        <w:t xml:space="preserve"> existence and the scale of issue</w:t>
      </w:r>
      <w:r w:rsidR="000A58CD">
        <w:t>s</w:t>
      </w:r>
      <w:r>
        <w:rPr>
          <w:rStyle w:val="FootnoteReference"/>
        </w:rPr>
        <w:footnoteReference w:id="152"/>
      </w:r>
      <w:r w:rsidR="00BC3335">
        <w:t xml:space="preserve">.  </w:t>
      </w:r>
    </w:p>
    <w:p w14:paraId="3450CDDB" w14:textId="77777777" w:rsidR="00BC3335" w:rsidRDefault="000A58CD" w:rsidP="00320FDC">
      <w:pPr>
        <w:numPr>
          <w:ilvl w:val="1"/>
          <w:numId w:val="39"/>
        </w:numPr>
        <w:spacing w:after="0"/>
      </w:pPr>
      <w:r>
        <w:t>Voluntary measures are considered, but in some cases ruled out prior to in-depth review (albeit good reasons for this are usually provided).</w:t>
      </w:r>
    </w:p>
    <w:p w14:paraId="1AF62D04" w14:textId="77777777" w:rsidR="009C554E" w:rsidRDefault="009C554E" w:rsidP="009F4031">
      <w:pPr>
        <w:spacing w:after="0"/>
      </w:pPr>
    </w:p>
    <w:p w14:paraId="7129BFDA" w14:textId="77777777" w:rsidR="009C554E" w:rsidRDefault="000A58CD" w:rsidP="009F4031">
      <w:pPr>
        <w:spacing w:after="0"/>
      </w:pPr>
      <w:r>
        <w:t>It should be noted that the review of the RISs was high level, and therefore limited.  It would be recommended to undertake a more detailed review to further inform the issues set out above.  Furthermore, in all three cases</w:t>
      </w:r>
      <w:r w:rsidR="007741DB">
        <w:t>,</w:t>
      </w:r>
      <w:r>
        <w:t xml:space="preserve"> the RISs were initia</w:t>
      </w:r>
      <w:r w:rsidR="000314A0">
        <w:t xml:space="preserve">ted prior to GEMS and </w:t>
      </w:r>
      <w:r w:rsidR="006A7F25">
        <w:t>were developed and approved under the OBPR and COAG best practice guidelines in place at the time</w:t>
      </w:r>
      <w:r w:rsidR="005A3FE1">
        <w:rPr>
          <w:rStyle w:val="FootnoteReference"/>
        </w:rPr>
        <w:footnoteReference w:id="153"/>
      </w:r>
      <w:r w:rsidR="006A7F25">
        <w:t>.</w:t>
      </w:r>
      <w:r w:rsidR="000314A0">
        <w:t xml:space="preserve"> </w:t>
      </w:r>
    </w:p>
    <w:p w14:paraId="69B20062" w14:textId="77777777" w:rsidR="000A58CD" w:rsidRDefault="000A58CD" w:rsidP="009F4031">
      <w:pPr>
        <w:spacing w:after="0"/>
      </w:pPr>
    </w:p>
    <w:p w14:paraId="6CC5A8E8" w14:textId="77777777" w:rsidR="00861F6D" w:rsidRDefault="00861F6D" w:rsidP="00C02B94">
      <w:pPr>
        <w:numPr>
          <w:ilvl w:val="0"/>
          <w:numId w:val="72"/>
        </w:numPr>
        <w:spacing w:after="0"/>
        <w:rPr>
          <w:u w:val="single"/>
        </w:rPr>
      </w:pPr>
      <w:r w:rsidRPr="00152861">
        <w:rPr>
          <w:u w:val="single"/>
        </w:rPr>
        <w:t xml:space="preserve">Reducing </w:t>
      </w:r>
      <w:r w:rsidR="00300C43">
        <w:rPr>
          <w:u w:val="single"/>
        </w:rPr>
        <w:t>industry</w:t>
      </w:r>
      <w:r w:rsidRPr="00152861">
        <w:rPr>
          <w:u w:val="single"/>
        </w:rPr>
        <w:t xml:space="preserve"> burden</w:t>
      </w:r>
    </w:p>
    <w:p w14:paraId="75EDCF67" w14:textId="77777777" w:rsidR="00D84410" w:rsidRPr="00D84410" w:rsidRDefault="00D84410" w:rsidP="009F4031">
      <w:r w:rsidRPr="00D84410">
        <w:t>As discussed above, Australia is noted in the literature as leading in terms of international harmonisation through standard setting in order to help reduce burden for industry.  This view was supported through the stakeholder interviews, w</w:t>
      </w:r>
      <w:r w:rsidR="007741DB">
        <w:t>h</w:t>
      </w:r>
      <w:r w:rsidRPr="00D84410">
        <w:t xml:space="preserve">ere several </w:t>
      </w:r>
      <w:r w:rsidR="00A50E55">
        <w:t>g</w:t>
      </w:r>
      <w:r w:rsidRPr="00D84410">
        <w:t xml:space="preserve">overnment, </w:t>
      </w:r>
      <w:r w:rsidR="0032057F">
        <w:t>i</w:t>
      </w:r>
      <w:r w:rsidRPr="00D84410">
        <w:t>ndustry and product energy efficiency experts noted that efforts were made to achieve harmonisation.  This was felt not only to reduce burden for industry, but also to improve the range of products available within markets</w:t>
      </w:r>
      <w:r w:rsidR="00A50E55">
        <w:t>.  As</w:t>
      </w:r>
      <w:r w:rsidRPr="00D84410">
        <w:t xml:space="preserve"> Australia and New Zealand are comparatively small product markets, suppliers could choose not to bring products to the market if there were significant obstacles.  </w:t>
      </w:r>
    </w:p>
    <w:p w14:paraId="3F3A9DD3" w14:textId="77777777" w:rsidR="00861F6D" w:rsidRPr="00B83BEA" w:rsidRDefault="00861F6D" w:rsidP="00C02B94">
      <w:pPr>
        <w:numPr>
          <w:ilvl w:val="0"/>
          <w:numId w:val="72"/>
        </w:numPr>
        <w:spacing w:after="0"/>
        <w:rPr>
          <w:u w:val="single"/>
        </w:rPr>
      </w:pPr>
      <w:r w:rsidRPr="00B83BEA">
        <w:rPr>
          <w:u w:val="single"/>
        </w:rPr>
        <w:t>Awareness and consultation</w:t>
      </w:r>
    </w:p>
    <w:p w14:paraId="46C587C9" w14:textId="77777777" w:rsidR="00CE3CD9" w:rsidRDefault="00CE3CD9" w:rsidP="009F4031">
      <w:pPr>
        <w:spacing w:after="0"/>
        <w:ind w:firstLine="426"/>
      </w:pPr>
    </w:p>
    <w:p w14:paraId="22F70596" w14:textId="77777777" w:rsidR="00861F6D" w:rsidRDefault="00CE3CD9" w:rsidP="00997283">
      <w:pPr>
        <w:spacing w:after="0"/>
      </w:pPr>
      <w:r>
        <w:t>S</w:t>
      </w:r>
      <w:r w:rsidR="00861F6D">
        <w:t>takeholder feedback indicated that:</w:t>
      </w:r>
    </w:p>
    <w:p w14:paraId="799DFD9E" w14:textId="77777777" w:rsidR="00861F6D" w:rsidRDefault="00861F6D" w:rsidP="00320FDC">
      <w:pPr>
        <w:numPr>
          <w:ilvl w:val="0"/>
          <w:numId w:val="45"/>
        </w:numPr>
        <w:spacing w:after="0"/>
      </w:pPr>
      <w:r w:rsidRPr="00997283">
        <w:t>Industry respondents</w:t>
      </w:r>
      <w:r w:rsidRPr="00081F1E">
        <w:t xml:space="preserve"> had mixed experiences of communication with DoI</w:t>
      </w:r>
      <w:r w:rsidR="00C70DE9">
        <w:t>S</w:t>
      </w:r>
      <w:r>
        <w:t xml:space="preserve"> </w:t>
      </w:r>
      <w:r w:rsidRPr="00A71C14">
        <w:t>(for example, the air conditioning industry noted their positive experiences)</w:t>
      </w:r>
      <w:r w:rsidR="0087649E">
        <w:t xml:space="preserve"> and therefore a consistent engagement</w:t>
      </w:r>
      <w:r w:rsidR="0087649E" w:rsidRPr="00A71C14">
        <w:t xml:space="preserve"> </w:t>
      </w:r>
      <w:r w:rsidR="0087649E">
        <w:t>approach c</w:t>
      </w:r>
      <w:r w:rsidR="0087649E" w:rsidRPr="00A71C14">
        <w:t xml:space="preserve">ould contribute to accelerating the RIS process, as any potential difficulties would already have been explored. </w:t>
      </w:r>
      <w:r w:rsidR="0096039B">
        <w:t xml:space="preserve"> </w:t>
      </w:r>
      <w:r w:rsidR="0087649E">
        <w:t xml:space="preserve">All respondents expressed a preference for </w:t>
      </w:r>
      <w:r w:rsidRPr="00081F1E">
        <w:t>a participatory and collaborative approa</w:t>
      </w:r>
      <w:r>
        <w:t>ch</w:t>
      </w:r>
      <w:r w:rsidR="004D3B9A">
        <w:t>, although awareness and understanding of the process varied, with some using industry associations to relay information</w:t>
      </w:r>
      <w:r>
        <w:t xml:space="preserve">. </w:t>
      </w:r>
    </w:p>
    <w:p w14:paraId="3D178418" w14:textId="77777777" w:rsidR="00C5671D" w:rsidRPr="00CA732E" w:rsidRDefault="00C5671D" w:rsidP="00320FDC">
      <w:pPr>
        <w:numPr>
          <w:ilvl w:val="0"/>
          <w:numId w:val="45"/>
        </w:numPr>
        <w:spacing w:after="0"/>
      </w:pPr>
      <w:r w:rsidRPr="00997283">
        <w:lastRenderedPageBreak/>
        <w:t>Consumer and environmental</w:t>
      </w:r>
      <w:r w:rsidR="0032057F">
        <w:t xml:space="preserve"> </w:t>
      </w:r>
      <w:r w:rsidRPr="00BA0F65">
        <w:t>rep</w:t>
      </w:r>
      <w:r>
        <w:t xml:space="preserve">resentatives generally did not have sufficient knowledge of the RIS process to feel able to make informed comments about the process itself. </w:t>
      </w:r>
      <w:r w:rsidR="00525355">
        <w:t xml:space="preserve"> </w:t>
      </w:r>
    </w:p>
    <w:p w14:paraId="4A33638F" w14:textId="77777777" w:rsidR="00861F6D" w:rsidRDefault="00094643" w:rsidP="00320FDC">
      <w:pPr>
        <w:numPr>
          <w:ilvl w:val="0"/>
          <w:numId w:val="45"/>
        </w:numPr>
        <w:spacing w:after="0"/>
      </w:pPr>
      <w:r w:rsidRPr="00983742">
        <w:t xml:space="preserve">Many </w:t>
      </w:r>
      <w:r w:rsidR="00525355" w:rsidRPr="00983742">
        <w:t>c</w:t>
      </w:r>
      <w:r w:rsidR="00861F6D" w:rsidRPr="00983742">
        <w:t>onsumer and environmental</w:t>
      </w:r>
      <w:r w:rsidR="0032057F">
        <w:t xml:space="preserve"> </w:t>
      </w:r>
      <w:r w:rsidR="00861F6D" w:rsidRPr="00081F1E">
        <w:t>representatives</w:t>
      </w:r>
      <w:r w:rsidR="00861F6D">
        <w:t xml:space="preserve"> </w:t>
      </w:r>
      <w:r>
        <w:t xml:space="preserve">recognised that they had </w:t>
      </w:r>
      <w:r w:rsidR="00861F6D">
        <w:t>not been extensively involved with the process to date</w:t>
      </w:r>
      <w:r>
        <w:t xml:space="preserve"> (and this view was reflected by several </w:t>
      </w:r>
      <w:r w:rsidR="00A50E55">
        <w:t>g</w:t>
      </w:r>
      <w:r>
        <w:t>overnment stakeholders)</w:t>
      </w:r>
      <w:r w:rsidR="00861F6D">
        <w:t xml:space="preserve">. </w:t>
      </w:r>
      <w:r w:rsidR="0096039B">
        <w:t xml:space="preserve"> </w:t>
      </w:r>
      <w:r>
        <w:t xml:space="preserve">Government and technical expert respondents </w:t>
      </w:r>
      <w:r w:rsidR="00861F6D" w:rsidRPr="00A71C14">
        <w:t xml:space="preserve">identified </w:t>
      </w:r>
      <w:r w:rsidR="00525355">
        <w:t xml:space="preserve">that </w:t>
      </w:r>
      <w:r>
        <w:t xml:space="preserve">input from consumer and environmental organisations </w:t>
      </w:r>
      <w:r w:rsidR="00A50E55">
        <w:t>i</w:t>
      </w:r>
      <w:r w:rsidR="00861F6D" w:rsidRPr="00A71C14">
        <w:t>s essential in ensuring that GEMS reflects the full range of views on product energy efficiency.</w:t>
      </w:r>
      <w:r w:rsidR="00861F6D">
        <w:t xml:space="preserve"> </w:t>
      </w:r>
      <w:r w:rsidR="0096039B">
        <w:t xml:space="preserve"> </w:t>
      </w:r>
      <w:r>
        <w:t>However, NGOs highlighted f</w:t>
      </w:r>
      <w:r w:rsidR="00861F6D" w:rsidRPr="00A71C14">
        <w:t xml:space="preserve">unding and resources </w:t>
      </w:r>
      <w:r w:rsidR="00861F6D">
        <w:t>as</w:t>
      </w:r>
      <w:r w:rsidR="00861F6D" w:rsidRPr="00A71C14">
        <w:t xml:space="preserve"> key barriers to participation for the</w:t>
      </w:r>
      <w:r>
        <w:t>ir</w:t>
      </w:r>
      <w:r w:rsidR="00861F6D" w:rsidRPr="00A71C14">
        <w:t xml:space="preserve"> organisations, particularly as the scheme is complex and requires them to keep abreast of many technical issues and documents in order to effectively represent their members’ views. </w:t>
      </w:r>
    </w:p>
    <w:p w14:paraId="307F52CC" w14:textId="77777777" w:rsidR="00861F6D" w:rsidRDefault="00094643" w:rsidP="00320FDC">
      <w:pPr>
        <w:numPr>
          <w:ilvl w:val="1"/>
          <w:numId w:val="45"/>
        </w:numPr>
        <w:spacing w:after="0"/>
      </w:pPr>
      <w:r>
        <w:t xml:space="preserve">A couple of </w:t>
      </w:r>
      <w:r w:rsidR="00A50E55">
        <w:t>non-government organisation (</w:t>
      </w:r>
      <w:r>
        <w:t>NGO</w:t>
      </w:r>
      <w:r w:rsidR="00A50E55">
        <w:t>)</w:t>
      </w:r>
      <w:r>
        <w:t xml:space="preserve"> respondents put forward t</w:t>
      </w:r>
      <w:r w:rsidR="00861F6D" w:rsidRPr="00A71C14">
        <w:t xml:space="preserve">he </w:t>
      </w:r>
      <w:r>
        <w:t xml:space="preserve">approach taken by the </w:t>
      </w:r>
      <w:r w:rsidR="00861F6D" w:rsidRPr="00A71C14">
        <w:t>Consumer Advocacy Panel</w:t>
      </w:r>
      <w:r w:rsidR="00861F6D" w:rsidRPr="00A71C14">
        <w:rPr>
          <w:rStyle w:val="FootnoteReference"/>
        </w:rPr>
        <w:footnoteReference w:id="154"/>
      </w:r>
      <w:r w:rsidR="00861F6D" w:rsidRPr="00A71C14">
        <w:t xml:space="preserve"> as a</w:t>
      </w:r>
      <w:r>
        <w:t xml:space="preserve"> way of</w:t>
      </w:r>
      <w:r w:rsidR="00861F6D" w:rsidRPr="00A71C14">
        <w:t xml:space="preserve"> supporting the input of NGOs, by providing resources for participation and grants for research. </w:t>
      </w:r>
    </w:p>
    <w:p w14:paraId="1F981A87" w14:textId="77777777" w:rsidR="00861F6D" w:rsidRDefault="00094643" w:rsidP="00320FDC">
      <w:pPr>
        <w:numPr>
          <w:ilvl w:val="1"/>
          <w:numId w:val="45"/>
        </w:numPr>
        <w:spacing w:after="0"/>
      </w:pPr>
      <w:r>
        <w:t xml:space="preserve">Other potential solutions could include </w:t>
      </w:r>
      <w:r w:rsidR="00C5671D">
        <w:t>supporting more varied roles,</w:t>
      </w:r>
      <w:r>
        <w:t xml:space="preserve"> such as </w:t>
      </w:r>
      <w:r w:rsidR="00C5671D">
        <w:t xml:space="preserve">encouraging </w:t>
      </w:r>
      <w:r w:rsidR="00C5671D" w:rsidRPr="00A71C14">
        <w:t>organisations to disseminate information and educate consumers.</w:t>
      </w:r>
      <w:r w:rsidR="00C5671D">
        <w:t xml:space="preserve"> </w:t>
      </w:r>
      <w:r w:rsidR="00861F6D" w:rsidRPr="00A71C14">
        <w:t>This provides a less intensive commitment for organisations whose main focus is not energy efficiency, but could enable DoI</w:t>
      </w:r>
      <w:r w:rsidR="00C70DE9">
        <w:t>S</w:t>
      </w:r>
      <w:r w:rsidR="00861F6D" w:rsidRPr="00A71C14">
        <w:t xml:space="preserve"> to reach specific audiences and especially those less likely to access the Energy Rating website (e.g. low income households, seniors, non-English-speaking communities).</w:t>
      </w:r>
    </w:p>
    <w:p w14:paraId="293E6C49" w14:textId="77777777" w:rsidR="00861F6D" w:rsidRDefault="005759BA" w:rsidP="00320FDC">
      <w:pPr>
        <w:numPr>
          <w:ilvl w:val="0"/>
          <w:numId w:val="45"/>
        </w:numPr>
        <w:spacing w:after="0"/>
      </w:pPr>
      <w:r>
        <w:t>Finally, s</w:t>
      </w:r>
      <w:r w:rsidR="00861F6D" w:rsidRPr="006B3798">
        <w:t xml:space="preserve">ome stakeholders </w:t>
      </w:r>
      <w:r w:rsidR="00861F6D">
        <w:t xml:space="preserve">(across the groups) </w:t>
      </w:r>
      <w:r w:rsidR="00861F6D" w:rsidRPr="006B3798">
        <w:t xml:space="preserve">had poor awareness of the detailed process.  </w:t>
      </w:r>
      <w:r w:rsidR="00861F6D">
        <w:t xml:space="preserve">In some cases, this led to a perception that they </w:t>
      </w:r>
      <w:r w:rsidR="00861F6D" w:rsidRPr="006B3798">
        <w:t>were consulted late in the process</w:t>
      </w:r>
      <w:r w:rsidR="00861F6D">
        <w:t xml:space="preserve">, which may also </w:t>
      </w:r>
      <w:r w:rsidR="00861F6D" w:rsidRPr="006B3798">
        <w:t>be mitigated by the</w:t>
      </w:r>
      <w:r w:rsidR="00861F6D">
        <w:t xml:space="preserve"> strategic planning and stakeholder engagement activities discussed above. </w:t>
      </w:r>
    </w:p>
    <w:p w14:paraId="5ACCEBAF" w14:textId="77777777" w:rsidR="00861F6D" w:rsidRDefault="00861F6D" w:rsidP="009F4031">
      <w:pPr>
        <w:spacing w:after="0"/>
        <w:ind w:left="426"/>
      </w:pPr>
    </w:p>
    <w:p w14:paraId="027A7723" w14:textId="77777777" w:rsidR="005759BA" w:rsidRDefault="005759BA" w:rsidP="009F4031">
      <w:pPr>
        <w:spacing w:after="0"/>
        <w:ind w:left="426"/>
      </w:pPr>
      <w:r w:rsidRPr="00A71C14">
        <w:t xml:space="preserve">The </w:t>
      </w:r>
      <w:r>
        <w:t xml:space="preserve">planned </w:t>
      </w:r>
      <w:r w:rsidRPr="00A71C14">
        <w:t>introduction of a stakeholder engagement plan would ensure that best practice is shared throughout the team, whilst allowing flexibility to tailor the approach to industry circumstances.</w:t>
      </w:r>
      <w:r w:rsidR="0096039B">
        <w:t xml:space="preserve"> </w:t>
      </w:r>
      <w:r w:rsidRPr="00A71C14">
        <w:t xml:space="preserve"> </w:t>
      </w:r>
      <w:r w:rsidR="00C62006">
        <w:t>The agreement and application in October 201</w:t>
      </w:r>
      <w:r w:rsidR="0032057F">
        <w:t>4</w:t>
      </w:r>
      <w:r w:rsidR="00C62006">
        <w:t xml:space="preserve"> to a new work planning process (projecting forward three years) will </w:t>
      </w:r>
      <w:r w:rsidR="0073169B">
        <w:t>likely</w:t>
      </w:r>
      <w:r w:rsidR="00C62006">
        <w:t xml:space="preserve"> improve the openness and transparency relating, and allow stakeholders to engage in work planning.  </w:t>
      </w:r>
      <w:r w:rsidR="00C5671D">
        <w:t xml:space="preserve">The new Statement of Service </w:t>
      </w:r>
      <w:r w:rsidR="00BD7E09">
        <w:t>has</w:t>
      </w:r>
      <w:r w:rsidR="00C5671D">
        <w:t xml:space="preserve"> be</w:t>
      </w:r>
      <w:r w:rsidR="00BD7E09">
        <w:t>en</w:t>
      </w:r>
      <w:r w:rsidR="00C5671D">
        <w:t xml:space="preserve"> published </w:t>
      </w:r>
      <w:r w:rsidR="00BD7E09">
        <w:t xml:space="preserve">on </w:t>
      </w:r>
      <w:r w:rsidR="00C5671D">
        <w:t xml:space="preserve">the </w:t>
      </w:r>
      <w:r w:rsidR="00605607">
        <w:t>Energy Rating</w:t>
      </w:r>
      <w:r w:rsidR="00C5671D">
        <w:t xml:space="preserve"> website and sets out E3’s principles for engaging with stakeholders. </w:t>
      </w:r>
      <w:r w:rsidR="0096039B">
        <w:t xml:space="preserve"> </w:t>
      </w:r>
      <w:r w:rsidR="002264E6">
        <w:t xml:space="preserve">This will serve to embed in program practices approaches that are open, transparent, inclusive and consultative. </w:t>
      </w:r>
    </w:p>
    <w:p w14:paraId="2F393609" w14:textId="77777777" w:rsidR="005A3FE1" w:rsidRDefault="005A3FE1" w:rsidP="009F4031">
      <w:pPr>
        <w:spacing w:after="0"/>
        <w:ind w:left="426"/>
      </w:pPr>
    </w:p>
    <w:p w14:paraId="40DAB337" w14:textId="77777777" w:rsidR="00861F6D" w:rsidRPr="00B83BEA" w:rsidRDefault="00861F6D" w:rsidP="00C02B94">
      <w:pPr>
        <w:numPr>
          <w:ilvl w:val="0"/>
          <w:numId w:val="72"/>
        </w:numPr>
        <w:spacing w:after="0"/>
        <w:rPr>
          <w:u w:val="single"/>
        </w:rPr>
      </w:pPr>
      <w:r w:rsidRPr="00B83BEA">
        <w:rPr>
          <w:u w:val="single"/>
        </w:rPr>
        <w:t>Timescales</w:t>
      </w:r>
    </w:p>
    <w:p w14:paraId="211A1B73" w14:textId="77777777" w:rsidR="005A3FE1" w:rsidRDefault="00861F6D" w:rsidP="009F4031">
      <w:pPr>
        <w:spacing w:after="0"/>
        <w:ind w:left="426"/>
      </w:pPr>
      <w:r w:rsidRPr="00E2316A">
        <w:t xml:space="preserve">In general, the timescales under GEMS </w:t>
      </w:r>
      <w:r>
        <w:t xml:space="preserve">are </w:t>
      </w:r>
      <w:r w:rsidRPr="00E2316A">
        <w:t>compar</w:t>
      </w:r>
      <w:r>
        <w:t>able with</w:t>
      </w:r>
      <w:r w:rsidRPr="00E2316A">
        <w:t xml:space="preserve"> the regulatory development processes undertaken by other programs (for example</w:t>
      </w:r>
      <w:r w:rsidR="00A50E55">
        <w:t>:</w:t>
      </w:r>
      <w:r w:rsidRPr="00E2316A">
        <w:t xml:space="preserve"> in the US approximately 3.5 years;  China between 1 and 3 years; </w:t>
      </w:r>
      <w:r w:rsidR="0096039B">
        <w:t xml:space="preserve">and </w:t>
      </w:r>
      <w:r w:rsidRPr="00E2316A">
        <w:t>Japan about 2 years, accelerated by the greater use of modelling)</w:t>
      </w:r>
      <w:r w:rsidRPr="00645273">
        <w:rPr>
          <w:rStyle w:val="FootnoteReference"/>
        </w:rPr>
        <w:t xml:space="preserve"> </w:t>
      </w:r>
      <w:r w:rsidRPr="00A71C14">
        <w:rPr>
          <w:rStyle w:val="FootnoteReference"/>
        </w:rPr>
        <w:footnoteReference w:id="155"/>
      </w:r>
      <w:r w:rsidRPr="00E2316A">
        <w:t xml:space="preserve">. </w:t>
      </w:r>
      <w:r w:rsidR="005A3FE1">
        <w:t xml:space="preserve"> However, </w:t>
      </w:r>
      <w:r w:rsidR="00826C18">
        <w:t>Australia and New Zealand have considerably smaller product markets, which mean it could be expected that the process ought to be faster</w:t>
      </w:r>
      <w:r w:rsidR="00826C18">
        <w:rPr>
          <w:rStyle w:val="FootnoteReference"/>
        </w:rPr>
        <w:footnoteReference w:id="156"/>
      </w:r>
      <w:r w:rsidR="00826C18">
        <w:t xml:space="preserve">.  There are also </w:t>
      </w:r>
      <w:r w:rsidR="00826C18">
        <w:lastRenderedPageBreak/>
        <w:t>examples where the process has been lengthy</w:t>
      </w:r>
      <w:r w:rsidR="00F726A6">
        <w:t>, such as standby power where the process commenced in 2004 and has yet to be finalised</w:t>
      </w:r>
      <w:r w:rsidR="00826C18">
        <w:t xml:space="preserve">.  </w:t>
      </w:r>
    </w:p>
    <w:p w14:paraId="019BD5C9" w14:textId="77777777" w:rsidR="00826C18" w:rsidRDefault="00826C18" w:rsidP="009F4031">
      <w:pPr>
        <w:spacing w:after="0"/>
        <w:ind w:left="426"/>
      </w:pPr>
    </w:p>
    <w:p w14:paraId="52652CAD" w14:textId="77777777" w:rsidR="00861F6D" w:rsidRPr="00F63E2B" w:rsidRDefault="00826C18" w:rsidP="007F1F4F">
      <w:pPr>
        <w:autoSpaceDE w:val="0"/>
        <w:autoSpaceDN w:val="0"/>
        <w:adjustRightInd w:val="0"/>
        <w:spacing w:after="0"/>
        <w:ind w:left="425"/>
        <w:rPr>
          <w:rFonts w:cs="Helvetica"/>
          <w:szCs w:val="22"/>
          <w:lang w:val="en-AU" w:eastAsia="en-AU"/>
        </w:rPr>
      </w:pPr>
      <w:r>
        <w:t xml:space="preserve">There are examples in the literature where international schemes have used alternative processes to help expedite the process. </w:t>
      </w:r>
      <w:r w:rsidR="0096039B">
        <w:t xml:space="preserve"> </w:t>
      </w:r>
      <w:r>
        <w:t xml:space="preserve">For example, </w:t>
      </w:r>
      <w:r w:rsidR="00861F6D" w:rsidRPr="00E2316A">
        <w:t xml:space="preserve">the </w:t>
      </w:r>
      <w:r w:rsidR="00861F6D">
        <w:t>USA has introduced the ‘</w:t>
      </w:r>
      <w:r w:rsidR="00861F6D" w:rsidRPr="006546F9">
        <w:t>negotiated rulemaking</w:t>
      </w:r>
      <w:r w:rsidR="00861F6D">
        <w:t>’ process to make their process more efficient</w:t>
      </w:r>
      <w:r w:rsidR="00861F6D">
        <w:rPr>
          <w:rStyle w:val="FootnoteReference"/>
        </w:rPr>
        <w:footnoteReference w:id="157"/>
      </w:r>
      <w:r w:rsidR="00861F6D">
        <w:t>.</w:t>
      </w:r>
      <w:r w:rsidR="00837142">
        <w:t xml:space="preserve">  </w:t>
      </w:r>
      <w:r w:rsidR="00837142" w:rsidRPr="00F63E2B">
        <w:rPr>
          <w:rFonts w:cs="Helvetica"/>
          <w:szCs w:val="22"/>
          <w:lang w:val="en-AU" w:eastAsia="en-AU"/>
        </w:rPr>
        <w:t>Industry and energy efficiency advocates, including NGOs and state level energy agencies, set up an independent process to try and reach agreement on proposed energy efficiency standards.  If they are able to, the Department of Energy will assess the proposed standards and may decide to adopt them if they deem that they satisfy regulatory requirements.  By omitting some of the secondary analytical steps and public review processes, this process can shorten the time taken to develop and issue the ruling</w:t>
      </w:r>
      <w:r w:rsidR="00837142" w:rsidRPr="00F63E2B">
        <w:rPr>
          <w:rStyle w:val="FootnoteReference"/>
          <w:rFonts w:cs="Helvetica"/>
          <w:szCs w:val="22"/>
          <w:lang w:val="en-AU" w:eastAsia="en-AU"/>
        </w:rPr>
        <w:footnoteReference w:id="158"/>
      </w:r>
      <w:r w:rsidR="00837142" w:rsidRPr="00F63E2B">
        <w:rPr>
          <w:rFonts w:cs="Helvetica"/>
          <w:szCs w:val="22"/>
          <w:lang w:val="en-AU" w:eastAsia="en-AU"/>
        </w:rPr>
        <w:t>.</w:t>
      </w:r>
    </w:p>
    <w:p w14:paraId="0E6FCC95" w14:textId="77777777" w:rsidR="00861F6D" w:rsidRPr="00E2316A" w:rsidRDefault="00861F6D" w:rsidP="009F4031">
      <w:pPr>
        <w:spacing w:after="0"/>
        <w:ind w:left="426"/>
      </w:pPr>
    </w:p>
    <w:p w14:paraId="72082600" w14:textId="77777777" w:rsidR="00861F6D" w:rsidRDefault="00861F6D" w:rsidP="009F4031">
      <w:pPr>
        <w:spacing w:after="0"/>
        <w:ind w:left="426"/>
      </w:pPr>
      <w:r>
        <w:t xml:space="preserve">Insights from the interviews with stakeholders </w:t>
      </w:r>
      <w:r w:rsidRPr="00E2316A">
        <w:t xml:space="preserve">across both </w:t>
      </w:r>
      <w:r w:rsidR="008334F9">
        <w:t>g</w:t>
      </w:r>
      <w:r w:rsidRPr="00BA0F65">
        <w:t>overnment and industry</w:t>
      </w:r>
      <w:r w:rsidRPr="00E2316A">
        <w:t xml:space="preserve"> </w:t>
      </w:r>
      <w:r>
        <w:t>highlighted concerns</w:t>
      </w:r>
      <w:r w:rsidR="00826C18">
        <w:t xml:space="preserve"> </w:t>
      </w:r>
      <w:r>
        <w:t>with the time taken to complete the RIS process, including:</w:t>
      </w:r>
    </w:p>
    <w:p w14:paraId="3DA6BED8" w14:textId="77777777" w:rsidR="00171943" w:rsidRDefault="00861F6D" w:rsidP="00320FDC">
      <w:pPr>
        <w:numPr>
          <w:ilvl w:val="0"/>
          <w:numId w:val="44"/>
        </w:numPr>
        <w:tabs>
          <w:tab w:val="left" w:pos="709"/>
        </w:tabs>
        <w:spacing w:after="0"/>
        <w:ind w:left="1418" w:hanging="284"/>
      </w:pPr>
      <w:r>
        <w:t>T</w:t>
      </w:r>
      <w:r w:rsidRPr="00173E8E">
        <w:t>he data used for analysis</w:t>
      </w:r>
      <w:r w:rsidR="00171943">
        <w:t>, which can become outdated, leading to reduced outcomes</w:t>
      </w:r>
      <w:r w:rsidR="008334F9">
        <w:t>; and</w:t>
      </w:r>
    </w:p>
    <w:p w14:paraId="40F42D39" w14:textId="77777777" w:rsidR="00861F6D" w:rsidRDefault="00171943" w:rsidP="00320FDC">
      <w:pPr>
        <w:numPr>
          <w:ilvl w:val="0"/>
          <w:numId w:val="44"/>
        </w:numPr>
        <w:tabs>
          <w:tab w:val="left" w:pos="1418"/>
        </w:tabs>
        <w:spacing w:after="0"/>
        <w:ind w:left="1418" w:hanging="284"/>
      </w:pPr>
      <w:r>
        <w:t>P</w:t>
      </w:r>
      <w:r w:rsidR="00861F6D" w:rsidRPr="00173E8E">
        <w:t>rotracted period</w:t>
      </w:r>
      <w:r>
        <w:t>s</w:t>
      </w:r>
      <w:r w:rsidR="00861F6D" w:rsidRPr="00173E8E">
        <w:t xml:space="preserve"> of uncertainty for industry, as most felt unable to take action until the determination is made (to safe-guard against last-minute alterations)</w:t>
      </w:r>
      <w:r>
        <w:t>.</w:t>
      </w:r>
      <w:r w:rsidR="00861F6D" w:rsidRPr="003C44C2">
        <w:t xml:space="preserve"> </w:t>
      </w:r>
    </w:p>
    <w:p w14:paraId="7277CBDB" w14:textId="77777777" w:rsidR="00861F6D" w:rsidRDefault="00861F6D" w:rsidP="009F4031">
      <w:pPr>
        <w:spacing w:after="0"/>
        <w:ind w:left="851"/>
        <w:rPr>
          <w:i/>
        </w:rPr>
      </w:pPr>
    </w:p>
    <w:p w14:paraId="78D47CD4" w14:textId="77777777" w:rsidR="00861F6D" w:rsidRDefault="00861F6D" w:rsidP="009F4031">
      <w:pPr>
        <w:spacing w:after="0"/>
        <w:ind w:left="426"/>
      </w:pPr>
      <w:r>
        <w:t xml:space="preserve">The causes of the delays vary for the affected products’ RIS processes. </w:t>
      </w:r>
      <w:r w:rsidR="0096039B">
        <w:t xml:space="preserve"> </w:t>
      </w:r>
      <w:r>
        <w:t>In most cases, a combination of factors impacted timescales, including: negotiations with industry, particularly where new stakeholders joined the process at a late stage; reaching agreement within the E3</w:t>
      </w:r>
      <w:r w:rsidR="0096039B">
        <w:t> </w:t>
      </w:r>
      <w:r>
        <w:t xml:space="preserve">Committee; slow progress through OBPR approval; and internal disruptions within </w:t>
      </w:r>
      <w:r w:rsidR="00FB583D">
        <w:t>jurisdictions</w:t>
      </w:r>
      <w:r>
        <w:t xml:space="preserve"> (such as </w:t>
      </w:r>
      <w:r w:rsidR="00FB583D">
        <w:t>agency</w:t>
      </w:r>
      <w:r>
        <w:t xml:space="preserve"> reorganisations and staff turnover).</w:t>
      </w:r>
    </w:p>
    <w:p w14:paraId="0AC5BCFE" w14:textId="77777777" w:rsidR="00861F6D" w:rsidRDefault="00861F6D" w:rsidP="009F4031">
      <w:pPr>
        <w:spacing w:after="0"/>
      </w:pPr>
    </w:p>
    <w:p w14:paraId="5EF00602" w14:textId="77777777" w:rsidR="00861F6D" w:rsidRDefault="00861F6D" w:rsidP="009F4031">
      <w:pPr>
        <w:spacing w:after="0"/>
        <w:ind w:left="851"/>
      </w:pPr>
      <w:r>
        <w:rPr>
          <w:i/>
        </w:rPr>
        <w:t>“</w:t>
      </w:r>
      <w:r w:rsidRPr="008910CC">
        <w:rPr>
          <w:i/>
        </w:rPr>
        <w:t xml:space="preserve">Projects can and have </w:t>
      </w:r>
      <w:r>
        <w:rPr>
          <w:i/>
        </w:rPr>
        <w:t>‘</w:t>
      </w:r>
      <w:r w:rsidRPr="00FF0DC0">
        <w:rPr>
          <w:i/>
        </w:rPr>
        <w:t>reset</w:t>
      </w:r>
      <w:r>
        <w:rPr>
          <w:i/>
        </w:rPr>
        <w:t>’</w:t>
      </w:r>
      <w:r w:rsidRPr="00FF0DC0">
        <w:rPr>
          <w:i/>
        </w:rPr>
        <w:t xml:space="preserve"> because of staff turnover and things appear to go slow</w:t>
      </w:r>
      <w:r>
        <w:rPr>
          <w:i/>
        </w:rPr>
        <w:t xml:space="preserve">” </w:t>
      </w:r>
      <w:r w:rsidRPr="00903EE2">
        <w:t>(Government respondent)</w:t>
      </w:r>
    </w:p>
    <w:p w14:paraId="39235B3C" w14:textId="77777777" w:rsidR="00537095" w:rsidRDefault="00537095" w:rsidP="00FB583D">
      <w:pPr>
        <w:spacing w:after="0"/>
        <w:ind w:left="851"/>
      </w:pPr>
    </w:p>
    <w:p w14:paraId="1C6FE4D7" w14:textId="77777777" w:rsidR="00537095" w:rsidRDefault="00537095" w:rsidP="008A7856">
      <w:pPr>
        <w:spacing w:after="0"/>
        <w:ind w:left="426"/>
      </w:pPr>
      <w:r>
        <w:t xml:space="preserve">While noting the above reasons for project delays, strategies need to be put in place to ensure projects progress within reasonable timeframes. </w:t>
      </w:r>
      <w:r w:rsidR="00FB583D">
        <w:t xml:space="preserve"> </w:t>
      </w:r>
      <w:r>
        <w:t>Each of the above issues impacting on project delivery are discussed further below:</w:t>
      </w:r>
    </w:p>
    <w:p w14:paraId="0BAACFFE" w14:textId="77777777" w:rsidR="00537095" w:rsidRDefault="00537095" w:rsidP="008A7856">
      <w:pPr>
        <w:spacing w:after="0"/>
        <w:ind w:left="720"/>
        <w:rPr>
          <w:u w:val="single"/>
        </w:rPr>
      </w:pPr>
    </w:p>
    <w:p w14:paraId="32FA0C7B" w14:textId="77777777" w:rsidR="00537095" w:rsidRDefault="00537095" w:rsidP="008A7856">
      <w:pPr>
        <w:spacing w:after="0"/>
        <w:ind w:left="426"/>
      </w:pPr>
      <w:r w:rsidRPr="00516724">
        <w:rPr>
          <w:u w:val="single"/>
        </w:rPr>
        <w:t>Engagement with industry</w:t>
      </w:r>
      <w:r w:rsidRPr="008A7856">
        <w:rPr>
          <w:u w:val="single"/>
        </w:rPr>
        <w:t>:</w:t>
      </w:r>
      <w:r>
        <w:t xml:space="preserve">  Robust stakeholder consultations and negotiations are crucial in developing any product standard or labelling proposal. </w:t>
      </w:r>
      <w:r w:rsidR="00FB583D">
        <w:t xml:space="preserve"> </w:t>
      </w:r>
      <w:r>
        <w:t>Proposals follow a generic approach o</w:t>
      </w:r>
      <w:r w:rsidR="00FB583D">
        <w:t>utlined in A</w:t>
      </w:r>
      <w:r>
        <w:t xml:space="preserve">ppendix 2 which is adapted to suit the circumstances relating to each project. </w:t>
      </w:r>
      <w:r w:rsidR="00516724">
        <w:t xml:space="preserve"> </w:t>
      </w:r>
      <w:r>
        <w:t xml:space="preserve">As standards and labelling proposals directly impact industry, they </w:t>
      </w:r>
      <w:r w:rsidR="007906DA">
        <w:t>have</w:t>
      </w:r>
      <w:r>
        <w:t xml:space="preserve"> views and need appropriate timeframes for engagement. </w:t>
      </w:r>
      <w:r w:rsidR="00FB583D">
        <w:t xml:space="preserve"> </w:t>
      </w:r>
      <w:r>
        <w:t xml:space="preserve">These timeframes are currently identified as part of project specific plans, and they need to recognise that many businesses have finite resources and capacity. </w:t>
      </w:r>
      <w:r w:rsidR="00FB583D">
        <w:t xml:space="preserve"> </w:t>
      </w:r>
      <w:r>
        <w:t>As a result</w:t>
      </w:r>
      <w:r w:rsidR="00516724">
        <w:t>,</w:t>
      </w:r>
      <w:r>
        <w:t xml:space="preserve"> quick turnaround timeframes are generally not feasible. </w:t>
      </w:r>
      <w:r w:rsidR="00FB583D">
        <w:t xml:space="preserve"> </w:t>
      </w:r>
      <w:r>
        <w:t>Timeframes do need to be set and adhered to as incremental extensions of different processes can cumulatively negatively impact timelines.</w:t>
      </w:r>
    </w:p>
    <w:p w14:paraId="3DBD8FEB" w14:textId="77777777" w:rsidR="00F051D8" w:rsidRDefault="00F051D8" w:rsidP="00F051D8">
      <w:pPr>
        <w:spacing w:before="240" w:after="0"/>
        <w:ind w:left="426"/>
      </w:pPr>
      <w:r>
        <w:lastRenderedPageBreak/>
        <w:t>Some government</w:t>
      </w:r>
      <w:r w:rsidRPr="00E2316A">
        <w:t xml:space="preserve"> and industry respondents </w:t>
      </w:r>
      <w:r>
        <w:t>perceived</w:t>
      </w:r>
      <w:r w:rsidRPr="00E2316A">
        <w:t xml:space="preserve"> that industry was sometimes consulted late in the RIS process</w:t>
      </w:r>
      <w:r>
        <w:t>.  This</w:t>
      </w:r>
      <w:r w:rsidRPr="00E2316A">
        <w:t xml:space="preserve"> led to a perception that the opportunity for them to influence the outcome was reduced</w:t>
      </w:r>
      <w:r>
        <w:t>, with a decision to regulate a product (and the way it will be done) having already been made</w:t>
      </w:r>
      <w:r w:rsidRPr="00E2316A">
        <w:t>.</w:t>
      </w:r>
      <w:r>
        <w:t xml:space="preserve"> </w:t>
      </w:r>
      <w:r w:rsidRPr="00E2316A">
        <w:t xml:space="preserve"> </w:t>
      </w:r>
      <w:r>
        <w:t xml:space="preserve">Likewise, they identified the effectiveness of consultation with consumer organisations as another potential hurdle to approval by OBPR, as the limited consultation to date may not reflect all views.  </w:t>
      </w:r>
      <w:r w:rsidRPr="00E2316A">
        <w:t>Ensuring early and broad consultation would alleviate some of these concerns</w:t>
      </w:r>
      <w:r>
        <w:t xml:space="preserve">.  </w:t>
      </w:r>
      <w:r w:rsidRPr="00E2316A">
        <w:t xml:space="preserve"> </w:t>
      </w:r>
    </w:p>
    <w:p w14:paraId="2C46FDEB" w14:textId="77777777" w:rsidR="00277D58" w:rsidRDefault="00277D58" w:rsidP="0010230F">
      <w:pPr>
        <w:spacing w:after="0"/>
        <w:ind w:left="426"/>
      </w:pPr>
    </w:p>
    <w:p w14:paraId="3A87E827" w14:textId="77777777" w:rsidR="00537095" w:rsidRPr="00320022" w:rsidRDefault="00537095" w:rsidP="008A7856">
      <w:pPr>
        <w:spacing w:after="0"/>
        <w:ind w:left="426"/>
      </w:pPr>
      <w:r w:rsidRPr="008A7856">
        <w:rPr>
          <w:u w:val="single"/>
        </w:rPr>
        <w:t>Standards development:</w:t>
      </w:r>
      <w:r>
        <w:t>  Standards Australia (SA) processes are set by SA, and timeframes largely determined by the various committees overseeing the various standards.</w:t>
      </w:r>
      <w:r w:rsidR="00FB583D">
        <w:t xml:space="preserve"> </w:t>
      </w:r>
      <w:r>
        <w:t xml:space="preserve"> Timeframes are therefore outside the control of the E3 Program.</w:t>
      </w:r>
      <w:r w:rsidR="00FB583D">
        <w:t xml:space="preserve"> </w:t>
      </w:r>
      <w:r>
        <w:t xml:space="preserve"> If standards committees do not keep to their timelines, this will impact on E3 projects. </w:t>
      </w:r>
      <w:r w:rsidR="00FB583D">
        <w:t xml:space="preserve"> </w:t>
      </w:r>
      <w:r>
        <w:t>T</w:t>
      </w:r>
      <w:r w:rsidR="00516724">
        <w:t xml:space="preserve">o partly address this, DoIS </w:t>
      </w:r>
      <w:r w:rsidR="007F1F4F">
        <w:t xml:space="preserve">is considering </w:t>
      </w:r>
      <w:r>
        <w:t>assess</w:t>
      </w:r>
      <w:r w:rsidR="007F1F4F">
        <w:t>ing</w:t>
      </w:r>
      <w:r>
        <w:t xml:space="preserve"> each of its projects and determine if the standards work needed can be undertaken within the department. </w:t>
      </w:r>
      <w:r w:rsidR="00FB583D">
        <w:t xml:space="preserve"> </w:t>
      </w:r>
      <w:r w:rsidR="00516724" w:rsidRPr="00320022">
        <w:t>S</w:t>
      </w:r>
      <w:r w:rsidRPr="00320022">
        <w:t xml:space="preserve">tandards that align to government, industry and consumer stakeholder interests, and standards </w:t>
      </w:r>
      <w:r w:rsidR="00516724" w:rsidRPr="00320022">
        <w:t xml:space="preserve">called up under the GEMS Act </w:t>
      </w:r>
      <w:r w:rsidR="00516724" w:rsidRPr="00320022">
        <w:rPr>
          <w:u w:val="single"/>
        </w:rPr>
        <w:t>would</w:t>
      </w:r>
      <w:r w:rsidRPr="00320022">
        <w:t xml:space="preserve"> </w:t>
      </w:r>
      <w:r w:rsidR="000677AA" w:rsidRPr="00320022">
        <w:t xml:space="preserve">also </w:t>
      </w:r>
      <w:r w:rsidRPr="00320022">
        <w:t xml:space="preserve">be free. </w:t>
      </w:r>
      <w:r w:rsidR="00516724" w:rsidRPr="00320022">
        <w:t xml:space="preserve"> </w:t>
      </w:r>
      <w:r w:rsidRPr="00320022">
        <w:t>This approach</w:t>
      </w:r>
      <w:r w:rsidR="00516724" w:rsidRPr="00320022">
        <w:t xml:space="preserve">, although </w:t>
      </w:r>
      <w:r w:rsidRPr="00320022">
        <w:t>yet to be developed, has the potential to streamline this work.</w:t>
      </w:r>
    </w:p>
    <w:p w14:paraId="0AE1FA76" w14:textId="77777777" w:rsidR="00537095" w:rsidRDefault="00537095" w:rsidP="008A7856">
      <w:pPr>
        <w:spacing w:after="0"/>
        <w:ind w:left="426"/>
      </w:pPr>
    </w:p>
    <w:p w14:paraId="1A522FA0" w14:textId="77777777" w:rsidR="00537095" w:rsidRDefault="00537095" w:rsidP="008A7856">
      <w:pPr>
        <w:spacing w:after="0"/>
        <w:ind w:left="426"/>
      </w:pPr>
      <w:r>
        <w:rPr>
          <w:u w:val="single"/>
        </w:rPr>
        <w:t>E3 Committee oversight and agreement</w:t>
      </w:r>
      <w:r>
        <w:t xml:space="preserve">:  The E3 Committee meets twice yearly where the direction of the program, and progress of individual activities, is formally discussed. </w:t>
      </w:r>
      <w:r w:rsidR="00FB583D">
        <w:t xml:space="preserve"> </w:t>
      </w:r>
      <w:r>
        <w:t xml:space="preserve">This approach has provided the necessary formal meetings where decisions are taken on the budget and work plan. </w:t>
      </w:r>
      <w:r w:rsidR="00FB583D">
        <w:t xml:space="preserve"> </w:t>
      </w:r>
      <w:r>
        <w:t xml:space="preserve">At other times, the states and territories can, and do, communicate with the DoIS on program activities. </w:t>
      </w:r>
      <w:r w:rsidR="00FB583D">
        <w:t xml:space="preserve"> </w:t>
      </w:r>
      <w:r>
        <w:t xml:space="preserve">In the </w:t>
      </w:r>
      <w:r w:rsidR="00FB583D">
        <w:t>second half of 2014, DoIS and EE</w:t>
      </w:r>
      <w:r>
        <w:t>CA initiated monthly teleconferences to discuss issues relating to the implementation of the program in Australia and New Zealand.</w:t>
      </w:r>
      <w:r w:rsidR="00FB583D">
        <w:t xml:space="preserve"> </w:t>
      </w:r>
      <w:r>
        <w:t xml:space="preserve"> This has provided a good basis for discussing and confirming progress on activities and other issues.</w:t>
      </w:r>
    </w:p>
    <w:p w14:paraId="5DF9CDC9" w14:textId="77777777" w:rsidR="00537095" w:rsidRDefault="00537095" w:rsidP="008A7856">
      <w:pPr>
        <w:spacing w:after="0"/>
        <w:ind w:left="426"/>
      </w:pPr>
    </w:p>
    <w:p w14:paraId="53588EDB" w14:textId="77777777" w:rsidR="00537095" w:rsidRDefault="00537095" w:rsidP="008A7856">
      <w:pPr>
        <w:spacing w:after="0"/>
        <w:ind w:left="426"/>
      </w:pPr>
      <w:r>
        <w:t xml:space="preserve">In April 2015, DoIS re-established a program board that oversees the implementation of the E3 Program (among other programs). </w:t>
      </w:r>
      <w:r w:rsidR="00FB583D">
        <w:t xml:space="preserve"> </w:t>
      </w:r>
      <w:r>
        <w:t xml:space="preserve">The program board had been on hold as a result of machinery of government changes in which the program had moved from one government agency to another. </w:t>
      </w:r>
      <w:r w:rsidR="00FB583D">
        <w:t xml:space="preserve"> </w:t>
      </w:r>
      <w:r>
        <w:t>The re-establishment of the program board provides a level of assurance and oversight (not decision making) in relation to the implementation of the program.</w:t>
      </w:r>
      <w:r w:rsidR="00FB583D">
        <w:t xml:space="preserve"> </w:t>
      </w:r>
      <w:r>
        <w:t xml:space="preserve"> Its role is to consider risks and issues impacting on the timely implementation of program activities.</w:t>
      </w:r>
      <w:r w:rsidR="00FB583D">
        <w:t xml:space="preserve"> </w:t>
      </w:r>
      <w:r>
        <w:t xml:space="preserve"> T</w:t>
      </w:r>
      <w:r w:rsidR="00516724">
        <w:t>his is a positive step, and should</w:t>
      </w:r>
      <w:r>
        <w:t xml:space="preserve"> provide an additional level of program oversight.</w:t>
      </w:r>
    </w:p>
    <w:p w14:paraId="076D448C" w14:textId="77777777" w:rsidR="00537095" w:rsidRDefault="00537095" w:rsidP="008A7856">
      <w:pPr>
        <w:spacing w:after="0"/>
        <w:ind w:left="426"/>
      </w:pPr>
    </w:p>
    <w:p w14:paraId="05EB724C" w14:textId="77777777" w:rsidR="00537095" w:rsidRDefault="00537095" w:rsidP="008A7856">
      <w:pPr>
        <w:spacing w:after="0"/>
        <w:ind w:left="426"/>
      </w:pPr>
      <w:r>
        <w:t xml:space="preserve">As the E3 Committee oversees the work of the program, and as delays occur which may or may not be in the control of the Committee, the Committee as a whole would benefit from greater visibility of the status of work plan activities. </w:t>
      </w:r>
      <w:r w:rsidR="00516724">
        <w:t xml:space="preserve"> </w:t>
      </w:r>
      <w:r>
        <w:t xml:space="preserve">It is therefore </w:t>
      </w:r>
      <w:r w:rsidRPr="00320022">
        <w:rPr>
          <w:bCs/>
        </w:rPr>
        <w:t>recommended</w:t>
      </w:r>
      <w:r>
        <w:t xml:space="preserve"> that the E3 Committee hold teleconferences once every two months to review progress with work plan activities.</w:t>
      </w:r>
    </w:p>
    <w:p w14:paraId="348C935E" w14:textId="77777777" w:rsidR="00537095" w:rsidRDefault="00537095" w:rsidP="008A7856">
      <w:pPr>
        <w:spacing w:after="0"/>
        <w:ind w:left="426"/>
      </w:pPr>
    </w:p>
    <w:p w14:paraId="0FFE5B1D" w14:textId="77777777" w:rsidR="00537095" w:rsidRDefault="00537095" w:rsidP="008A7856">
      <w:pPr>
        <w:spacing w:after="0"/>
        <w:ind w:left="426"/>
      </w:pPr>
      <w:r>
        <w:t xml:space="preserve">E3 Committee member requests to expand the scope of projects can lengthen project timelines. </w:t>
      </w:r>
      <w:r w:rsidR="00516724">
        <w:t xml:space="preserve"> </w:t>
      </w:r>
      <w:r>
        <w:t>This occurs when draft reports (e</w:t>
      </w:r>
      <w:r w:rsidR="00C16D05">
        <w:t>.</w:t>
      </w:r>
      <w:r>
        <w:t>g</w:t>
      </w:r>
      <w:r w:rsidR="00C16D05">
        <w:t>.</w:t>
      </w:r>
      <w:r>
        <w:t xml:space="preserve"> product profiles, research documents, draft consultation and decision RISs) are circulated and in response</w:t>
      </w:r>
      <w:r w:rsidR="00516724">
        <w:t>,</w:t>
      </w:r>
      <w:r>
        <w:t xml:space="preserve"> additional requests are made to include new options or analysis. </w:t>
      </w:r>
      <w:r w:rsidR="00516724">
        <w:t xml:space="preserve"> </w:t>
      </w:r>
      <w:r>
        <w:t>At one level</w:t>
      </w:r>
      <w:r w:rsidR="00516724">
        <w:t>,</w:t>
      </w:r>
      <w:r>
        <w:t xml:space="preserve"> this is hard to avoid as not everything is apparent up front </w:t>
      </w:r>
      <w:r>
        <w:lastRenderedPageBreak/>
        <w:t xml:space="preserve">with a project. </w:t>
      </w:r>
      <w:r w:rsidR="00516724">
        <w:t xml:space="preserve"> </w:t>
      </w:r>
      <w:r>
        <w:t xml:space="preserve">However, to help avoid delays with projects, requests for additional work should be </w:t>
      </w:r>
      <w:r w:rsidR="008A7856">
        <w:t>considered carefully and</w:t>
      </w:r>
      <w:r>
        <w:t xml:space="preserve"> only be proposed if they will have a material impact on the project.</w:t>
      </w:r>
    </w:p>
    <w:p w14:paraId="2BFA1278" w14:textId="77777777" w:rsidR="00537095" w:rsidRDefault="00537095" w:rsidP="008A7856">
      <w:pPr>
        <w:spacing w:after="0"/>
        <w:ind w:left="426"/>
      </w:pPr>
    </w:p>
    <w:p w14:paraId="33A36282" w14:textId="77777777" w:rsidR="001B3FF3" w:rsidRPr="00A4317C" w:rsidRDefault="00537095" w:rsidP="008A7856">
      <w:pPr>
        <w:spacing w:after="0"/>
        <w:ind w:left="426"/>
      </w:pPr>
      <w:r w:rsidRPr="00A4317C">
        <w:rPr>
          <w:u w:val="single"/>
        </w:rPr>
        <w:t xml:space="preserve">OBPR </w:t>
      </w:r>
      <w:r w:rsidR="002471EA" w:rsidRPr="00A4317C">
        <w:rPr>
          <w:u w:val="single"/>
        </w:rPr>
        <w:t>a</w:t>
      </w:r>
      <w:r w:rsidRPr="00A4317C">
        <w:rPr>
          <w:u w:val="single"/>
        </w:rPr>
        <w:t>pproval</w:t>
      </w:r>
      <w:r w:rsidRPr="00A4317C">
        <w:t xml:space="preserve">: </w:t>
      </w:r>
      <w:r w:rsidR="002471EA" w:rsidRPr="00A4317C">
        <w:t xml:space="preserve"> Securing OBPR approval of consultation and decisions RISs can be lengthy. Both OBPR and DoIS have sought to streamline processes</w:t>
      </w:r>
      <w:r w:rsidR="00946DD9" w:rsidRPr="00A4317C">
        <w:t xml:space="preserve"> and build experience and capacity</w:t>
      </w:r>
      <w:r w:rsidR="002471EA" w:rsidRPr="00A4317C">
        <w:t xml:space="preserve">, including placing an OBPR officer in the relevant branch in the department </w:t>
      </w:r>
      <w:r w:rsidR="003D37F8" w:rsidRPr="00A4317C">
        <w:t xml:space="preserve">responsible for </w:t>
      </w:r>
      <w:r w:rsidR="002471EA" w:rsidRPr="00A4317C">
        <w:t xml:space="preserve">writing RISs. This </w:t>
      </w:r>
      <w:r w:rsidR="00C01969" w:rsidRPr="00A4317C">
        <w:t xml:space="preserve">was useful in building engagement, but </w:t>
      </w:r>
      <w:r w:rsidR="003D37F8" w:rsidRPr="00A4317C">
        <w:t xml:space="preserve">DoIS has advised it </w:t>
      </w:r>
      <w:r w:rsidR="00C01969" w:rsidRPr="00A4317C">
        <w:t xml:space="preserve">did not lead to </w:t>
      </w:r>
      <w:r w:rsidR="003D37F8" w:rsidRPr="00A4317C">
        <w:t xml:space="preserve">a marked improvement in </w:t>
      </w:r>
      <w:r w:rsidR="00C01969" w:rsidRPr="00A4317C">
        <w:t>RIS</w:t>
      </w:r>
      <w:r w:rsidR="003D37F8" w:rsidRPr="00A4317C">
        <w:t>s</w:t>
      </w:r>
      <w:r w:rsidR="00C01969" w:rsidRPr="00A4317C">
        <w:t xml:space="preserve"> being cleared at a quicker pace. </w:t>
      </w:r>
      <w:r w:rsidR="00946DD9" w:rsidRPr="00A4317C">
        <w:t>RISs also need to be well argued and crafted for the decision makers. E3 RISs can include too much technical information that needs to be included as an annex with the RIS itself a relatively short document</w:t>
      </w:r>
      <w:r w:rsidR="007B50F6" w:rsidRPr="00A4317C">
        <w:t xml:space="preserve"> focused on the key arguments</w:t>
      </w:r>
      <w:r w:rsidR="00946DD9" w:rsidRPr="00A4317C">
        <w:t>.</w:t>
      </w:r>
      <w:r w:rsidR="007B50F6" w:rsidRPr="00A4317C">
        <w:t xml:space="preserve"> Some past E3 RISs are noted on the OBPR web site as representing best practice.</w:t>
      </w:r>
    </w:p>
    <w:p w14:paraId="1E06D1B2" w14:textId="77777777" w:rsidR="001B3FF3" w:rsidRPr="00A4317C" w:rsidRDefault="001B3FF3" w:rsidP="008A7856">
      <w:pPr>
        <w:spacing w:after="0"/>
        <w:ind w:left="426"/>
      </w:pPr>
    </w:p>
    <w:p w14:paraId="06A7638C" w14:textId="77777777" w:rsidR="007B50F6" w:rsidRPr="00A4317C" w:rsidRDefault="00C01969" w:rsidP="008A7856">
      <w:pPr>
        <w:spacing w:after="0"/>
        <w:ind w:left="426"/>
      </w:pPr>
      <w:r w:rsidRPr="00A4317C">
        <w:t xml:space="preserve">Issues that have been raised </w:t>
      </w:r>
      <w:r w:rsidR="007B50F6" w:rsidRPr="00A4317C">
        <w:t>which</w:t>
      </w:r>
      <w:r w:rsidRPr="00A4317C">
        <w:t xml:space="preserve"> complicate the RIS process and slow approval include </w:t>
      </w:r>
      <w:r w:rsidR="00946DD9" w:rsidRPr="00A4317C">
        <w:t xml:space="preserve">inconsistencies in </w:t>
      </w:r>
      <w:r w:rsidRPr="00A4317C">
        <w:t xml:space="preserve">the </w:t>
      </w:r>
      <w:r w:rsidR="00946DD9" w:rsidRPr="00A4317C">
        <w:t xml:space="preserve">approval process and </w:t>
      </w:r>
      <w:r w:rsidRPr="00A4317C">
        <w:t>need to re-argue the case for action from the start on each occasion</w:t>
      </w:r>
      <w:r w:rsidR="007B50F6" w:rsidRPr="00A4317C">
        <w:t>. There has been occasion where at the working level a section of a RIS has been approved, but at a later stage it is not agreed. Further, under current processes it is necessary to re-establish or re-argue the market failure, without any reference to past RISs where the market failure is the same and was accepted. While it is necessary to establish the case for action in a new RIS, and present current data, where there are parallels to what has previously been approved, being able to reference that work in some way to justify the rationale for action could save time and streamline the RIS process.</w:t>
      </w:r>
    </w:p>
    <w:p w14:paraId="5EA2A914" w14:textId="77777777" w:rsidR="00537095" w:rsidRDefault="007B3E39" w:rsidP="008A7856">
      <w:pPr>
        <w:spacing w:after="0"/>
        <w:ind w:left="426"/>
      </w:pPr>
      <w:r>
        <w:rPr>
          <w:u w:val="single"/>
        </w:rPr>
        <w:t>O</w:t>
      </w:r>
      <w:r w:rsidR="00537095">
        <w:rPr>
          <w:u w:val="single"/>
        </w:rPr>
        <w:t>rganisational issues</w:t>
      </w:r>
      <w:r>
        <w:rPr>
          <w:u w:val="single"/>
        </w:rPr>
        <w:t xml:space="preserve"> within jurisdictions</w:t>
      </w:r>
      <w:r w:rsidR="00537095">
        <w:t xml:space="preserve">: Governments re-organise their administrative arrangements as and when they consider it necessary. </w:t>
      </w:r>
      <w:r w:rsidR="00516724">
        <w:t xml:space="preserve"> </w:t>
      </w:r>
      <w:r w:rsidR="00537095">
        <w:t xml:space="preserve">Staff changes can be unpredictable and therefore difficult to plan around. </w:t>
      </w:r>
      <w:r w:rsidR="00516724">
        <w:t xml:space="preserve"> </w:t>
      </w:r>
      <w:r w:rsidR="00537095">
        <w:t>These events can be disruptive</w:t>
      </w:r>
      <w:r w:rsidR="00D569C4">
        <w:t xml:space="preserve"> and lead to time delays</w:t>
      </w:r>
      <w:r w:rsidR="00537095">
        <w:t xml:space="preserve">, but agencies seek to minimise the impact they have on delivering services, activities and programs. </w:t>
      </w:r>
    </w:p>
    <w:p w14:paraId="213D5F73" w14:textId="77777777" w:rsidR="00CE3CD9" w:rsidRPr="00FF0DC0" w:rsidRDefault="00CE3CD9" w:rsidP="00516724">
      <w:pPr>
        <w:spacing w:after="0"/>
        <w:ind w:left="851"/>
        <w:rPr>
          <w:i/>
        </w:rPr>
      </w:pPr>
    </w:p>
    <w:p w14:paraId="4A8389EE" w14:textId="77777777" w:rsidR="00B070CC" w:rsidRPr="00B070CC" w:rsidRDefault="00B070CC" w:rsidP="00997283">
      <w:pPr>
        <w:pStyle w:val="Heading4"/>
      </w:pPr>
      <w:r w:rsidRPr="00B070CC">
        <w:t>Product Registration</w:t>
      </w:r>
    </w:p>
    <w:p w14:paraId="334F506B" w14:textId="77777777" w:rsidR="00320022" w:rsidRDefault="00B070CC" w:rsidP="00320022">
      <w:pPr>
        <w:spacing w:after="0"/>
      </w:pPr>
      <w:r>
        <w:t>Many other S&amp;L programs utilise</w:t>
      </w:r>
      <w:r w:rsidRPr="00133CAE">
        <w:t xml:space="preserve"> product registration</w:t>
      </w:r>
      <w:r>
        <w:rPr>
          <w:rStyle w:val="FootnoteReference"/>
        </w:rPr>
        <w:footnoteReference w:id="159"/>
      </w:r>
      <w:r>
        <w:t xml:space="preserve">  and</w:t>
      </w:r>
      <w:r w:rsidRPr="00133CAE">
        <w:t xml:space="preserve"> the benefits of this are </w:t>
      </w:r>
      <w:r>
        <w:t xml:space="preserve">widely </w:t>
      </w:r>
      <w:r w:rsidRPr="00133CAE">
        <w:t xml:space="preserve">recognised. </w:t>
      </w:r>
      <w:r w:rsidR="00043EA8">
        <w:t xml:space="preserve"> </w:t>
      </w:r>
      <w:r>
        <w:t>The advantages and disadvantages are detailed in the table below</w:t>
      </w:r>
      <w:r>
        <w:rPr>
          <w:rStyle w:val="FootnoteReference"/>
        </w:rPr>
        <w:footnoteReference w:id="160"/>
      </w:r>
      <w:r>
        <w:t xml:space="preserve">. </w:t>
      </w:r>
      <w:r w:rsidR="00043EA8">
        <w:t xml:space="preserve"> </w:t>
      </w:r>
      <w:r>
        <w:t xml:space="preserve">These benefits were also identified by many </w:t>
      </w:r>
      <w:r w:rsidR="008334F9">
        <w:t>g</w:t>
      </w:r>
      <w:r>
        <w:t>overnment and consumer stakeholders.  In addition</w:t>
      </w:r>
      <w:r w:rsidRPr="00133CAE">
        <w:t xml:space="preserve">, a recent review of the EU </w:t>
      </w:r>
      <w:r w:rsidR="00E545A4">
        <w:t>Ecodesign Directive</w:t>
      </w:r>
      <w:r w:rsidRPr="00133CAE">
        <w:t xml:space="preserve"> has recommended the introduction of a product registration database, in order to provide quality data for revision of standards and compliance activity</w:t>
      </w:r>
      <w:r w:rsidRPr="00133CAE">
        <w:rPr>
          <w:rStyle w:val="FootnoteReference"/>
        </w:rPr>
        <w:footnoteReference w:id="161"/>
      </w:r>
      <w:r w:rsidR="00631488">
        <w:t>.</w:t>
      </w:r>
    </w:p>
    <w:p w14:paraId="04CCF45D" w14:textId="77777777" w:rsidR="00320022" w:rsidRDefault="00320022" w:rsidP="00320022">
      <w:pPr>
        <w:spacing w:after="0"/>
      </w:pPr>
    </w:p>
    <w:p w14:paraId="45C73EF2" w14:textId="77777777" w:rsidR="00320022" w:rsidRDefault="00320022" w:rsidP="00320022">
      <w:pPr>
        <w:spacing w:after="0"/>
      </w:pPr>
    </w:p>
    <w:p w14:paraId="07C6955F" w14:textId="77777777" w:rsidR="00320022" w:rsidRDefault="00320022" w:rsidP="00320022">
      <w:pPr>
        <w:spacing w:after="0"/>
      </w:pPr>
    </w:p>
    <w:p w14:paraId="685D0D9D" w14:textId="77777777" w:rsidR="00320022" w:rsidRDefault="00320022" w:rsidP="009F4031">
      <w:pPr>
        <w:pStyle w:val="Caption"/>
        <w:keepNext/>
        <w:spacing w:line="276" w:lineRule="auto"/>
      </w:pPr>
    </w:p>
    <w:p w14:paraId="54E03167" w14:textId="77777777" w:rsidR="00B070CC" w:rsidRDefault="00B070CC" w:rsidP="009F4031">
      <w:pPr>
        <w:pStyle w:val="Caption"/>
        <w:keepNext/>
        <w:spacing w:line="276" w:lineRule="auto"/>
      </w:pPr>
      <w:r>
        <w:t xml:space="preserve">Table </w:t>
      </w:r>
      <w:r>
        <w:fldChar w:fldCharType="begin"/>
      </w:r>
      <w:r>
        <w:instrText xml:space="preserve"> SEQ Table \* ARABIC </w:instrText>
      </w:r>
      <w:r>
        <w:fldChar w:fldCharType="separate"/>
      </w:r>
      <w:r w:rsidR="00BE13BF">
        <w:rPr>
          <w:noProof/>
        </w:rPr>
        <w:t>6</w:t>
      </w:r>
      <w:r>
        <w:fldChar w:fldCharType="end"/>
      </w:r>
      <w:r>
        <w:t>:  Advantages and disadvantages of product registration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7"/>
        <w:gridCol w:w="4609"/>
      </w:tblGrid>
      <w:tr w:rsidR="00B070CC" w14:paraId="71FF1CA4" w14:textId="77777777" w:rsidTr="006552C3">
        <w:tc>
          <w:tcPr>
            <w:tcW w:w="4503" w:type="dxa"/>
            <w:shd w:val="clear" w:color="auto" w:fill="8064A2"/>
            <w:vAlign w:val="center"/>
          </w:tcPr>
          <w:p w14:paraId="37D40F70" w14:textId="77777777" w:rsidR="00B070CC" w:rsidRPr="00EA660B" w:rsidRDefault="00B070CC" w:rsidP="009F4031">
            <w:pPr>
              <w:spacing w:after="0"/>
              <w:jc w:val="center"/>
              <w:rPr>
                <w:b/>
                <w:color w:val="FFFFFF"/>
                <w:lang w:eastAsia="x-none"/>
              </w:rPr>
            </w:pPr>
            <w:r w:rsidRPr="00EA660B">
              <w:rPr>
                <w:b/>
                <w:color w:val="FFFFFF"/>
                <w:lang w:eastAsia="x-none"/>
              </w:rPr>
              <w:t>Advantages</w:t>
            </w:r>
          </w:p>
        </w:tc>
        <w:tc>
          <w:tcPr>
            <w:tcW w:w="4739" w:type="dxa"/>
            <w:shd w:val="clear" w:color="auto" w:fill="8064A2"/>
            <w:vAlign w:val="center"/>
          </w:tcPr>
          <w:p w14:paraId="5D611F6A" w14:textId="77777777" w:rsidR="00B070CC" w:rsidRPr="00EA660B" w:rsidRDefault="00B070CC" w:rsidP="009F4031">
            <w:pPr>
              <w:spacing w:after="0"/>
              <w:jc w:val="center"/>
              <w:rPr>
                <w:b/>
                <w:color w:val="FFFFFF"/>
                <w:lang w:eastAsia="x-none"/>
              </w:rPr>
            </w:pPr>
            <w:r w:rsidRPr="00EA660B">
              <w:rPr>
                <w:b/>
                <w:color w:val="FFFFFF"/>
                <w:lang w:eastAsia="x-none"/>
              </w:rPr>
              <w:t>Disadvantages</w:t>
            </w:r>
          </w:p>
        </w:tc>
      </w:tr>
      <w:tr w:rsidR="00B070CC" w14:paraId="73921F7D" w14:textId="77777777" w:rsidTr="006552C3">
        <w:tc>
          <w:tcPr>
            <w:tcW w:w="4503" w:type="dxa"/>
            <w:shd w:val="clear" w:color="auto" w:fill="auto"/>
          </w:tcPr>
          <w:p w14:paraId="62FAB870" w14:textId="77777777" w:rsidR="00B070CC" w:rsidRDefault="00B070CC" w:rsidP="009F4031">
            <w:pPr>
              <w:spacing w:after="0"/>
              <w:rPr>
                <w:lang w:eastAsia="x-none"/>
              </w:rPr>
            </w:pPr>
            <w:r>
              <w:rPr>
                <w:lang w:eastAsia="x-none"/>
              </w:rPr>
              <w:t>Enables</w:t>
            </w:r>
            <w:r w:rsidRPr="006B3798">
              <w:rPr>
                <w:lang w:eastAsia="x-none"/>
              </w:rPr>
              <w:t xml:space="preserve"> impact assessment</w:t>
            </w:r>
            <w:r>
              <w:rPr>
                <w:lang w:eastAsia="x-none"/>
              </w:rPr>
              <w:t xml:space="preserve">, by </w:t>
            </w:r>
            <w:r w:rsidRPr="00330703">
              <w:rPr>
                <w:lang w:eastAsia="x-none"/>
              </w:rPr>
              <w:t>collectin</w:t>
            </w:r>
            <w:r>
              <w:rPr>
                <w:lang w:eastAsia="x-none"/>
              </w:rPr>
              <w:t>g</w:t>
            </w:r>
            <w:r w:rsidRPr="00330703">
              <w:rPr>
                <w:lang w:eastAsia="x-none"/>
              </w:rPr>
              <w:t xml:space="preserve"> </w:t>
            </w:r>
            <w:r>
              <w:rPr>
                <w:lang w:eastAsia="x-none"/>
              </w:rPr>
              <w:t>performance data</w:t>
            </w:r>
          </w:p>
        </w:tc>
        <w:tc>
          <w:tcPr>
            <w:tcW w:w="4739" w:type="dxa"/>
            <w:shd w:val="clear" w:color="auto" w:fill="auto"/>
          </w:tcPr>
          <w:p w14:paraId="47827A14" w14:textId="77777777" w:rsidR="00B070CC" w:rsidRDefault="00B070CC" w:rsidP="009F4031">
            <w:pPr>
              <w:spacing w:after="0"/>
              <w:rPr>
                <w:lang w:eastAsia="x-none"/>
              </w:rPr>
            </w:pPr>
            <w:r>
              <w:rPr>
                <w:lang w:eastAsia="x-none"/>
              </w:rPr>
              <w:t>N</w:t>
            </w:r>
            <w:r w:rsidRPr="00330703">
              <w:rPr>
                <w:lang w:eastAsia="x-none"/>
              </w:rPr>
              <w:t xml:space="preserve">eeds to be funded, </w:t>
            </w:r>
            <w:r>
              <w:rPr>
                <w:lang w:eastAsia="x-none"/>
              </w:rPr>
              <w:t>often through</w:t>
            </w:r>
            <w:r w:rsidRPr="00330703">
              <w:rPr>
                <w:lang w:eastAsia="x-none"/>
              </w:rPr>
              <w:t xml:space="preserve"> costs to </w:t>
            </w:r>
            <w:r>
              <w:rPr>
                <w:lang w:eastAsia="x-none"/>
              </w:rPr>
              <w:t xml:space="preserve">product </w:t>
            </w:r>
            <w:r w:rsidRPr="00330703">
              <w:rPr>
                <w:lang w:eastAsia="x-none"/>
              </w:rPr>
              <w:t xml:space="preserve">suppliers </w:t>
            </w:r>
          </w:p>
        </w:tc>
      </w:tr>
      <w:tr w:rsidR="00B070CC" w14:paraId="15C47B92" w14:textId="77777777" w:rsidTr="006552C3">
        <w:tc>
          <w:tcPr>
            <w:tcW w:w="4503" w:type="dxa"/>
            <w:shd w:val="clear" w:color="auto" w:fill="auto"/>
          </w:tcPr>
          <w:p w14:paraId="47CEF087" w14:textId="77777777" w:rsidR="00B070CC" w:rsidRDefault="00B070CC" w:rsidP="009F4031">
            <w:pPr>
              <w:spacing w:after="0"/>
              <w:rPr>
                <w:lang w:eastAsia="x-none"/>
              </w:rPr>
            </w:pPr>
            <w:r>
              <w:rPr>
                <w:lang w:eastAsia="x-none"/>
              </w:rPr>
              <w:t>Assists</w:t>
            </w:r>
            <w:r w:rsidRPr="006B3798">
              <w:rPr>
                <w:lang w:eastAsia="x-none"/>
              </w:rPr>
              <w:t xml:space="preserve"> identif</w:t>
            </w:r>
            <w:r>
              <w:rPr>
                <w:lang w:eastAsia="x-none"/>
              </w:rPr>
              <w:t>ication of</w:t>
            </w:r>
            <w:r w:rsidRPr="006B3798">
              <w:rPr>
                <w:lang w:eastAsia="x-none"/>
              </w:rPr>
              <w:t xml:space="preserve"> non-registered products</w:t>
            </w:r>
          </w:p>
        </w:tc>
        <w:tc>
          <w:tcPr>
            <w:tcW w:w="4739" w:type="dxa"/>
            <w:shd w:val="clear" w:color="auto" w:fill="auto"/>
          </w:tcPr>
          <w:p w14:paraId="68EE3718" w14:textId="77777777" w:rsidR="00B070CC" w:rsidRDefault="00B070CC" w:rsidP="009F4031">
            <w:pPr>
              <w:spacing w:after="0"/>
              <w:rPr>
                <w:lang w:eastAsia="x-none"/>
              </w:rPr>
            </w:pPr>
            <w:r>
              <w:rPr>
                <w:lang w:eastAsia="x-none"/>
              </w:rPr>
              <w:t>A</w:t>
            </w:r>
            <w:r w:rsidRPr="00330703">
              <w:rPr>
                <w:lang w:eastAsia="x-none"/>
              </w:rPr>
              <w:t>dministrative burden</w:t>
            </w:r>
            <w:r>
              <w:rPr>
                <w:lang w:eastAsia="x-none"/>
              </w:rPr>
              <w:t xml:space="preserve"> of registration and data management</w:t>
            </w:r>
          </w:p>
        </w:tc>
      </w:tr>
      <w:tr w:rsidR="00B070CC" w14:paraId="2C794818" w14:textId="77777777" w:rsidTr="006552C3">
        <w:trPr>
          <w:trHeight w:val="983"/>
        </w:trPr>
        <w:tc>
          <w:tcPr>
            <w:tcW w:w="4503" w:type="dxa"/>
            <w:shd w:val="clear" w:color="auto" w:fill="auto"/>
          </w:tcPr>
          <w:p w14:paraId="2DC56070" w14:textId="77777777" w:rsidR="00B070CC" w:rsidRDefault="00B070CC" w:rsidP="009F4031">
            <w:pPr>
              <w:spacing w:after="0"/>
            </w:pPr>
            <w:r>
              <w:rPr>
                <w:lang w:eastAsia="x-none"/>
              </w:rPr>
              <w:t xml:space="preserve">Enables enforcement, as it provides </w:t>
            </w:r>
            <w:r>
              <w:t xml:space="preserve">a clear: </w:t>
            </w:r>
          </w:p>
          <w:p w14:paraId="08117EB5" w14:textId="77777777" w:rsidR="00B070CC" w:rsidRDefault="00B070CC" w:rsidP="00320FDC">
            <w:pPr>
              <w:numPr>
                <w:ilvl w:val="0"/>
                <w:numId w:val="46"/>
              </w:numPr>
              <w:spacing w:after="0"/>
              <w:rPr>
                <w:lang w:eastAsia="x-none"/>
              </w:rPr>
            </w:pPr>
            <w:r>
              <w:t>claim of performance</w:t>
            </w:r>
            <w:r w:rsidRPr="00133CAE">
              <w:t xml:space="preserve"> </w:t>
            </w:r>
            <w:r>
              <w:t>that can be verified</w:t>
            </w:r>
            <w:r w:rsidR="008334F9">
              <w:t>; and</w:t>
            </w:r>
          </w:p>
          <w:p w14:paraId="2236AD50" w14:textId="77777777" w:rsidR="00B070CC" w:rsidRDefault="00B070CC" w:rsidP="00320FDC">
            <w:pPr>
              <w:numPr>
                <w:ilvl w:val="0"/>
                <w:numId w:val="46"/>
              </w:numPr>
              <w:spacing w:after="0"/>
              <w:rPr>
                <w:lang w:eastAsia="x-none"/>
              </w:rPr>
            </w:pPr>
            <w:r w:rsidRPr="00330703">
              <w:rPr>
                <w:lang w:eastAsia="x-none"/>
              </w:rPr>
              <w:t>link between models and supplier enables enforcement</w:t>
            </w:r>
            <w:r w:rsidR="008334F9">
              <w:rPr>
                <w:lang w:eastAsia="x-none"/>
              </w:rPr>
              <w:t>.</w:t>
            </w:r>
          </w:p>
          <w:p w14:paraId="26A39B73" w14:textId="77777777" w:rsidR="00B070CC" w:rsidRPr="00EA660B" w:rsidRDefault="00B070CC" w:rsidP="00334F4D">
            <w:pPr>
              <w:spacing w:after="0"/>
              <w:rPr>
                <w:color w:val="1F497D"/>
                <w:lang w:eastAsia="x-none"/>
              </w:rPr>
            </w:pPr>
            <w:r>
              <w:rPr>
                <w:lang w:eastAsia="x-none"/>
              </w:rPr>
              <w:t>S</w:t>
            </w:r>
            <w:r w:rsidRPr="00FB7104">
              <w:rPr>
                <w:lang w:eastAsia="x-none"/>
              </w:rPr>
              <w:t>everal industry stakeholders indicated that industry conducts more check testing on competitors’ products than the program does</w:t>
            </w:r>
            <w:r w:rsidR="00334F4D">
              <w:rPr>
                <w:lang w:eastAsia="x-none"/>
              </w:rPr>
              <w:t>.</w:t>
            </w:r>
            <w:r w:rsidRPr="00EA660B">
              <w:rPr>
                <w:color w:val="1F497D"/>
                <w:lang w:eastAsia="x-none"/>
              </w:rPr>
              <w:t xml:space="preserve"> </w:t>
            </w:r>
          </w:p>
        </w:tc>
        <w:tc>
          <w:tcPr>
            <w:tcW w:w="4739" w:type="dxa"/>
            <w:shd w:val="clear" w:color="auto" w:fill="auto"/>
          </w:tcPr>
          <w:p w14:paraId="6D8F45E5" w14:textId="77777777" w:rsidR="00B070CC" w:rsidRDefault="00B070CC" w:rsidP="009F4031">
            <w:pPr>
              <w:spacing w:after="0"/>
              <w:rPr>
                <w:lang w:eastAsia="x-none"/>
              </w:rPr>
            </w:pPr>
          </w:p>
        </w:tc>
      </w:tr>
      <w:tr w:rsidR="00B070CC" w14:paraId="59081867" w14:textId="77777777" w:rsidTr="006552C3">
        <w:tc>
          <w:tcPr>
            <w:tcW w:w="4503" w:type="dxa"/>
            <w:shd w:val="clear" w:color="auto" w:fill="auto"/>
          </w:tcPr>
          <w:p w14:paraId="43CF9BC2" w14:textId="77777777" w:rsidR="00B070CC" w:rsidRDefault="00B070CC" w:rsidP="009F4031">
            <w:pPr>
              <w:spacing w:after="0"/>
              <w:rPr>
                <w:lang w:eastAsia="x-none"/>
              </w:rPr>
            </w:pPr>
            <w:r>
              <w:rPr>
                <w:lang w:eastAsia="x-none"/>
              </w:rPr>
              <w:t>D</w:t>
            </w:r>
            <w:r w:rsidRPr="006B3798">
              <w:rPr>
                <w:lang w:eastAsia="x-none"/>
              </w:rPr>
              <w:t xml:space="preserve">ata can be used for other purposes – e.g. </w:t>
            </w:r>
            <w:r w:rsidR="00171943">
              <w:rPr>
                <w:lang w:eastAsia="x-none"/>
              </w:rPr>
              <w:t xml:space="preserve">impact assessment, informing </w:t>
            </w:r>
            <w:r w:rsidRPr="006B3798">
              <w:rPr>
                <w:lang w:eastAsia="x-none"/>
              </w:rPr>
              <w:t xml:space="preserve">new policies, </w:t>
            </w:r>
            <w:r w:rsidRPr="00D12827">
              <w:t>provid</w:t>
            </w:r>
            <w:r>
              <w:t>ing</w:t>
            </w:r>
            <w:r w:rsidRPr="00D12827">
              <w:t xml:space="preserve"> consumers with accurate information on products in the market</w:t>
            </w:r>
            <w:r w:rsidRPr="006B3798">
              <w:rPr>
                <w:lang w:eastAsia="x-none"/>
              </w:rPr>
              <w:t xml:space="preserve"> </w:t>
            </w:r>
            <w:r>
              <w:rPr>
                <w:lang w:eastAsia="x-none"/>
              </w:rPr>
              <w:t>via</w:t>
            </w:r>
            <w:r w:rsidRPr="006B3798">
              <w:rPr>
                <w:lang w:eastAsia="x-none"/>
              </w:rPr>
              <w:t xml:space="preserve"> the </w:t>
            </w:r>
            <w:r>
              <w:rPr>
                <w:lang w:eastAsia="x-none"/>
              </w:rPr>
              <w:t xml:space="preserve">Energy Rating </w:t>
            </w:r>
            <w:r w:rsidRPr="00D12827">
              <w:t xml:space="preserve">smartphone </w:t>
            </w:r>
            <w:r w:rsidR="00E545A4">
              <w:t>A</w:t>
            </w:r>
            <w:r w:rsidRPr="006B3798">
              <w:rPr>
                <w:lang w:eastAsia="x-none"/>
              </w:rPr>
              <w:t>pp.</w:t>
            </w:r>
          </w:p>
        </w:tc>
        <w:tc>
          <w:tcPr>
            <w:tcW w:w="4739" w:type="dxa"/>
            <w:shd w:val="clear" w:color="auto" w:fill="auto"/>
          </w:tcPr>
          <w:p w14:paraId="0E972F8E" w14:textId="77777777" w:rsidR="00B070CC" w:rsidRDefault="00B070CC" w:rsidP="009F4031">
            <w:pPr>
              <w:spacing w:after="0"/>
              <w:rPr>
                <w:lang w:eastAsia="x-none"/>
              </w:rPr>
            </w:pPr>
          </w:p>
        </w:tc>
      </w:tr>
    </w:tbl>
    <w:p w14:paraId="269CFBA4" w14:textId="77777777" w:rsidR="00134F1C" w:rsidRDefault="00134F1C" w:rsidP="009F4031">
      <w:pPr>
        <w:spacing w:after="0"/>
        <w:rPr>
          <w:u w:val="single"/>
          <w:lang w:eastAsia="x-none"/>
        </w:rPr>
      </w:pPr>
    </w:p>
    <w:p w14:paraId="6F6E7C58" w14:textId="77777777" w:rsidR="00B070CC" w:rsidRDefault="00B070CC" w:rsidP="009F4031">
      <w:pPr>
        <w:rPr>
          <w:u w:val="single"/>
          <w:lang w:eastAsia="x-none"/>
        </w:rPr>
      </w:pPr>
      <w:r w:rsidRPr="006B3798">
        <w:rPr>
          <w:u w:val="single"/>
          <w:lang w:eastAsia="x-none"/>
        </w:rPr>
        <w:t>Stakeholder views</w:t>
      </w:r>
    </w:p>
    <w:p w14:paraId="7CA53DE4" w14:textId="77777777" w:rsidR="00B070CC" w:rsidRDefault="00B070CC" w:rsidP="009F4031">
      <w:r w:rsidRPr="00133CAE">
        <w:t xml:space="preserve">Although a small number of industry respondents felt that registration of </w:t>
      </w:r>
      <w:r>
        <w:t>manufacturers</w:t>
      </w:r>
      <w:r w:rsidRPr="00133CAE">
        <w:t xml:space="preserve"> </w:t>
      </w:r>
      <w:r>
        <w:t xml:space="preserve">(rather than individual </w:t>
      </w:r>
      <w:r w:rsidRPr="00133CAE">
        <w:t>products</w:t>
      </w:r>
      <w:r>
        <w:t>)</w:t>
      </w:r>
      <w:r w:rsidRPr="00133CAE">
        <w:t xml:space="preserve"> would be simpler and cheaper, the majority of respondents valued registration as a source of data for compliance and consumer information. </w:t>
      </w:r>
      <w:r w:rsidR="00043EA8">
        <w:t xml:space="preserve"> </w:t>
      </w:r>
      <w:r w:rsidRPr="00133CAE">
        <w:t>A much greater concern was in ensuring that the process was as quick and straightforward as possible.</w:t>
      </w:r>
    </w:p>
    <w:p w14:paraId="6A4452D4" w14:textId="77777777" w:rsidR="00B070CC" w:rsidRPr="00FF0DC0" w:rsidRDefault="00B070CC" w:rsidP="00314807">
      <w:pPr>
        <w:rPr>
          <w:i/>
        </w:rPr>
      </w:pPr>
      <w:r w:rsidRPr="0036450B">
        <w:rPr>
          <w:i/>
        </w:rPr>
        <w:t>“These sites and information provide vital consumer information - the key to good decision making.”</w:t>
      </w:r>
      <w:r>
        <w:rPr>
          <w:i/>
        </w:rPr>
        <w:t xml:space="preserve"> </w:t>
      </w:r>
      <w:r w:rsidRPr="00314807">
        <w:t>(Retailer respondent)</w:t>
      </w:r>
    </w:p>
    <w:p w14:paraId="5A2A8AB9" w14:textId="77777777" w:rsidR="00B070CC" w:rsidRDefault="00B070CC" w:rsidP="009F4031">
      <w:pPr>
        <w:spacing w:after="120"/>
      </w:pPr>
      <w:r w:rsidRPr="00A71C14">
        <w:t xml:space="preserve">Industry respondents highlighted a number of concerns with aspects of the registration process, such as the practicalities of completing forms and making payments. </w:t>
      </w:r>
      <w:r w:rsidR="00043EA8">
        <w:t xml:space="preserve"> </w:t>
      </w:r>
      <w:r w:rsidRPr="00A71C14">
        <w:t xml:space="preserve">These are mainly administrative points and are therefore listed in </w:t>
      </w:r>
      <w:r>
        <w:t xml:space="preserve">the </w:t>
      </w:r>
      <w:r w:rsidRPr="00A71C14">
        <w:t xml:space="preserve">Appendix </w:t>
      </w:r>
      <w:r>
        <w:t>document</w:t>
      </w:r>
      <w:r w:rsidRPr="00A71C14">
        <w:t xml:space="preserve">. </w:t>
      </w:r>
      <w:r w:rsidR="00043EA8">
        <w:t xml:space="preserve"> </w:t>
      </w:r>
      <w:r w:rsidRPr="00A71C14">
        <w:t xml:space="preserve">Some </w:t>
      </w:r>
      <w:r>
        <w:t xml:space="preserve">industry </w:t>
      </w:r>
      <w:r w:rsidRPr="00A71C14">
        <w:t xml:space="preserve">respondents perceived that the registration fees had increased under GEMS (compared with the state- and territory-based programs) and felt that this was becoming onerous. </w:t>
      </w:r>
    </w:p>
    <w:p w14:paraId="2D18B0C7" w14:textId="77777777" w:rsidR="00B070CC" w:rsidRDefault="00B070CC" w:rsidP="00314807">
      <w:pPr>
        <w:spacing w:after="0"/>
        <w:rPr>
          <w:i/>
        </w:rPr>
      </w:pPr>
      <w:r w:rsidRPr="00FF0DC0">
        <w:rPr>
          <w:i/>
        </w:rPr>
        <w:t xml:space="preserve">“If the [registration] process was made more efficient then it would reduce the costs associated </w:t>
      </w:r>
      <w:r w:rsidRPr="00314807">
        <w:t>(Lighting industry respondent)</w:t>
      </w:r>
    </w:p>
    <w:p w14:paraId="27428668" w14:textId="77777777" w:rsidR="00B070CC" w:rsidRDefault="00B070CC" w:rsidP="009F4031">
      <w:pPr>
        <w:spacing w:after="0"/>
        <w:ind w:left="567"/>
        <w:rPr>
          <w:i/>
        </w:rPr>
      </w:pPr>
    </w:p>
    <w:p w14:paraId="3E2AFB87" w14:textId="77777777" w:rsidR="00B070CC" w:rsidRDefault="00B070CC" w:rsidP="009F4031">
      <w:pPr>
        <w:spacing w:after="120"/>
      </w:pPr>
      <w:r w:rsidRPr="00A71C14">
        <w:t xml:space="preserve">This </w:t>
      </w:r>
      <w:r>
        <w:t xml:space="preserve">concern about registration fees </w:t>
      </w:r>
      <w:r w:rsidRPr="00A71C14">
        <w:t>was not industry-specific, but could be mitigated by addressing some of the issues identified with the registration process, such as administrative difficulties or confusion around application of product families.</w:t>
      </w:r>
      <w:r w:rsidR="00043EA8">
        <w:t xml:space="preserve"> </w:t>
      </w:r>
      <w:r w:rsidRPr="00A71C14">
        <w:t xml:space="preserve"> </w:t>
      </w:r>
      <w:r>
        <w:t xml:space="preserve">In addition, the </w:t>
      </w:r>
      <w:r w:rsidR="007741DB">
        <w:t>D</w:t>
      </w:r>
      <w:r>
        <w:t xml:space="preserve">epartment’s recent efforts to simplify the registration process should continue, as the process currently collects more information than strictly necessary. </w:t>
      </w:r>
      <w:r w:rsidR="00043EA8">
        <w:t xml:space="preserve"> </w:t>
      </w:r>
      <w:r w:rsidR="00171943">
        <w:t xml:space="preserve">It is worth noting alongside this discussion that there is evidence that a </w:t>
      </w:r>
      <w:r w:rsidR="00171943">
        <w:lastRenderedPageBreak/>
        <w:t xml:space="preserve">number of issues on the registration process (particularly with regards to new product groups) have been considered </w:t>
      </w:r>
      <w:r w:rsidR="0096256F">
        <w:t xml:space="preserve">and amended by DoIS to the satisfaction of industry.  </w:t>
      </w:r>
    </w:p>
    <w:p w14:paraId="12004948" w14:textId="77777777" w:rsidR="00B070CC" w:rsidRPr="00A71C14" w:rsidRDefault="00B070CC" w:rsidP="009F4031">
      <w:pPr>
        <w:spacing w:after="120"/>
      </w:pPr>
      <w:r>
        <w:t xml:space="preserve">Consideration could be given to removing the requirement for test reports to be lodged. </w:t>
      </w:r>
      <w:r w:rsidR="00043EA8">
        <w:t xml:space="preserve"> </w:t>
      </w:r>
      <w:r>
        <w:t>Although the current requirements for the test reports are less onerous than some equivalent programs</w:t>
      </w:r>
      <w:r>
        <w:rPr>
          <w:rStyle w:val="FootnoteReference"/>
        </w:rPr>
        <w:footnoteReference w:id="162"/>
      </w:r>
      <w:r>
        <w:t xml:space="preserve">, the provision of a test report </w:t>
      </w:r>
      <w:r w:rsidRPr="003B6A7E">
        <w:t>does not reduce the liability of suppliers to supply compliant products in the market</w:t>
      </w:r>
      <w:r>
        <w:t xml:space="preserve">. </w:t>
      </w:r>
      <w:r w:rsidRPr="003B6A7E">
        <w:t xml:space="preserve"> </w:t>
      </w:r>
      <w:r>
        <w:t xml:space="preserve">There are already products under GEMS that don’t require submission of a test report </w:t>
      </w:r>
      <w:r w:rsidRPr="001D0742">
        <w:t>(e.g. commercial refrigeration)</w:t>
      </w:r>
      <w:r>
        <w:t xml:space="preserve"> and wider removal would simplify the registration process. </w:t>
      </w:r>
      <w:r w:rsidR="00043EA8">
        <w:t xml:space="preserve"> </w:t>
      </w:r>
      <w:r w:rsidRPr="001D0742">
        <w:t>In this case, suppliers would still be required to provide evidence for their declaration should the need arise.</w:t>
      </w:r>
    </w:p>
    <w:p w14:paraId="3007FD77" w14:textId="77777777" w:rsidR="0089375C" w:rsidRPr="00CA732E" w:rsidRDefault="0089375C" w:rsidP="009F4031">
      <w:r w:rsidRPr="00CA732E">
        <w:rPr>
          <w:u w:val="single"/>
        </w:rPr>
        <w:t>Examples of best practice in product registration</w:t>
      </w:r>
      <w:r w:rsidRPr="00CA732E">
        <w:t xml:space="preserve">:  As the main issues </w:t>
      </w:r>
      <w:r w:rsidR="00193AFD" w:rsidRPr="00CA732E">
        <w:t>pertained to administrative burden</w:t>
      </w:r>
      <w:r w:rsidR="00D54172" w:rsidRPr="00CA732E">
        <w:t>,</w:t>
      </w:r>
      <w:r w:rsidR="00193AFD" w:rsidRPr="00CA732E">
        <w:t xml:space="preserve"> we looked for other schemes which might take a different or improved approac</w:t>
      </w:r>
      <w:r w:rsidR="00D54172" w:rsidRPr="00CA732E">
        <w:t>h.</w:t>
      </w:r>
      <w:r w:rsidR="00043EA8">
        <w:t xml:space="preserve"> </w:t>
      </w:r>
      <w:r w:rsidR="00D54172" w:rsidRPr="00CA732E">
        <w:t xml:space="preserve"> In Canada, importers of regulated products are required to provide basic information on the documentation required by customs. </w:t>
      </w:r>
      <w:r w:rsidR="00043EA8">
        <w:t xml:space="preserve"> </w:t>
      </w:r>
      <w:r w:rsidR="00D54172" w:rsidRPr="00CA732E">
        <w:t>As many products regulated by GEMS are imported into Australia, this may provide an opportunity to streamline the administrative process.</w:t>
      </w:r>
      <w:r w:rsidR="00043EA8">
        <w:t xml:space="preserve"> </w:t>
      </w:r>
      <w:r w:rsidR="00D54172" w:rsidRPr="00CA732E">
        <w:t xml:space="preserve"> Other opportunities, including for products manufactured domestically, might include aligning with other </w:t>
      </w:r>
      <w:r w:rsidR="008334F9">
        <w:t>g</w:t>
      </w:r>
      <w:r w:rsidR="00D54172" w:rsidRPr="00CA732E">
        <w:t xml:space="preserve">overnment programs, such as electrical safety requirements (suggested by both a technical expert and some industry respondents). </w:t>
      </w:r>
      <w:r w:rsidR="00193AFD" w:rsidRPr="00CA732E">
        <w:t xml:space="preserve"> </w:t>
      </w:r>
      <w:r w:rsidR="00E0649D">
        <w:t xml:space="preserve">However, streamlining registrations or data across different programs </w:t>
      </w:r>
      <w:r w:rsidR="0036711A">
        <w:t xml:space="preserve">can be complicated and require legislative changes (to enable data sharing).  Data sharing becomes more complicated where </w:t>
      </w:r>
      <w:r w:rsidR="00E0649D">
        <w:t xml:space="preserve">some programs are run by the states and others by the Commonwealth, which raises </w:t>
      </w:r>
      <w:r w:rsidR="0036711A">
        <w:t xml:space="preserve">further </w:t>
      </w:r>
      <w:r w:rsidR="00E0649D">
        <w:t>legal, practical and other barriers.</w:t>
      </w:r>
    </w:p>
    <w:p w14:paraId="3D937B73" w14:textId="77777777" w:rsidR="00193AFD" w:rsidRPr="004B4909" w:rsidRDefault="00193AFD" w:rsidP="00997283">
      <w:pPr>
        <w:pStyle w:val="Heading4"/>
        <w:rPr>
          <w:color w:val="4F81BD"/>
        </w:rPr>
      </w:pPr>
      <w:r w:rsidRPr="004B4909">
        <w:t>Compliance</w:t>
      </w:r>
    </w:p>
    <w:p w14:paraId="5DF3AD9D" w14:textId="77777777" w:rsidR="00193AFD" w:rsidRDefault="00193AFD" w:rsidP="009F4031">
      <w:pPr>
        <w:rPr>
          <w:lang w:eastAsia="x-none"/>
        </w:rPr>
      </w:pPr>
      <w:r>
        <w:rPr>
          <w:lang w:eastAsia="x-none"/>
        </w:rPr>
        <w:t xml:space="preserve">The review </w:t>
      </w:r>
      <w:r w:rsidR="004B4909">
        <w:rPr>
          <w:lang w:eastAsia="x-none"/>
        </w:rPr>
        <w:t xml:space="preserve">explored the effectiveness of the current compliance process, </w:t>
      </w:r>
      <w:r w:rsidRPr="006B3798">
        <w:rPr>
          <w:lang w:eastAsia="x-none"/>
        </w:rPr>
        <w:t xml:space="preserve">how </w:t>
      </w:r>
      <w:r w:rsidR="004B4909">
        <w:rPr>
          <w:lang w:eastAsia="x-none"/>
        </w:rPr>
        <w:t>it</w:t>
      </w:r>
      <w:r w:rsidRPr="006B3798">
        <w:rPr>
          <w:lang w:eastAsia="x-none"/>
        </w:rPr>
        <w:t xml:space="preserve"> compares to other schemes</w:t>
      </w:r>
      <w:r w:rsidR="004B4909">
        <w:rPr>
          <w:lang w:eastAsia="x-none"/>
        </w:rPr>
        <w:t xml:space="preserve"> and </w:t>
      </w:r>
      <w:r>
        <w:rPr>
          <w:lang w:eastAsia="x-none"/>
        </w:rPr>
        <w:t xml:space="preserve">stakeholders views. </w:t>
      </w:r>
    </w:p>
    <w:p w14:paraId="68583AC5" w14:textId="77777777" w:rsidR="00D54172" w:rsidRDefault="00D54172" w:rsidP="00D54172">
      <w:pPr>
        <w:spacing w:after="0"/>
      </w:pPr>
      <w:r w:rsidRPr="00A71C14">
        <w:t xml:space="preserve">In order to act as an effective deterrent to non-compliance and to foster trust in GEMS, </w:t>
      </w:r>
      <w:r>
        <w:t>CLASP’s Practitioner’s Guidebook highlights th</w:t>
      </w:r>
      <w:r w:rsidR="009D16E9">
        <w:t xml:space="preserve">e importance of </w:t>
      </w:r>
      <w:r w:rsidRPr="00A71C14">
        <w:t>testing activity</w:t>
      </w:r>
      <w:r w:rsidR="0036711A">
        <w:t xml:space="preserve"> and undertaking registration and labelling surveys</w:t>
      </w:r>
      <w:r w:rsidR="009D16E9">
        <w:t xml:space="preserve">. </w:t>
      </w:r>
      <w:r w:rsidR="00043EA8">
        <w:t xml:space="preserve"> </w:t>
      </w:r>
      <w:r w:rsidR="009D16E9">
        <w:t xml:space="preserve">Further, </w:t>
      </w:r>
      <w:r w:rsidR="0036711A">
        <w:t xml:space="preserve">applying </w:t>
      </w:r>
      <w:r w:rsidRPr="00A71C14">
        <w:t xml:space="preserve">penalties </w:t>
      </w:r>
      <w:r w:rsidR="0036711A">
        <w:t>(where appropriate) in response to</w:t>
      </w:r>
      <w:r w:rsidR="0036711A" w:rsidRPr="00A71C14">
        <w:t xml:space="preserve"> </w:t>
      </w:r>
      <w:r w:rsidRPr="00A71C14">
        <w:t xml:space="preserve">violations </w:t>
      </w:r>
      <w:r w:rsidR="009D16E9">
        <w:t xml:space="preserve">also </w:t>
      </w:r>
      <w:r w:rsidRPr="00A71C14">
        <w:t>need</w:t>
      </w:r>
      <w:r w:rsidR="009D16E9">
        <w:t>s</w:t>
      </w:r>
      <w:r w:rsidRPr="00A71C14">
        <w:t xml:space="preserve"> to be </w:t>
      </w:r>
      <w:r>
        <w:t>plainly</w:t>
      </w:r>
      <w:r w:rsidRPr="00A71C14">
        <w:t xml:space="preserve"> visible</w:t>
      </w:r>
      <w:r w:rsidRPr="00A71C14">
        <w:rPr>
          <w:rStyle w:val="FootnoteReference"/>
        </w:rPr>
        <w:footnoteReference w:id="163"/>
      </w:r>
      <w:r w:rsidRPr="00A71C14">
        <w:t xml:space="preserve">. </w:t>
      </w:r>
      <w:r w:rsidR="00043EA8">
        <w:t xml:space="preserve"> </w:t>
      </w:r>
      <w:r w:rsidRPr="00A71C14">
        <w:t>Publicising this information more widely</w:t>
      </w:r>
      <w:r w:rsidRPr="00A71C14">
        <w:rPr>
          <w:rStyle w:val="FootnoteReference"/>
        </w:rPr>
        <w:footnoteReference w:id="164"/>
      </w:r>
      <w:r w:rsidRPr="00A71C14">
        <w:t xml:space="preserve"> (e.g. through the relevant industry bodies or publications) would also reassure the majority of non-</w:t>
      </w:r>
      <w:r w:rsidR="008334F9">
        <w:t>g</w:t>
      </w:r>
      <w:r>
        <w:t>overnment</w:t>
      </w:r>
      <w:r w:rsidRPr="00A71C14">
        <w:t xml:space="preserve"> respondents who were unclear on the amount of compliance activity DoI</w:t>
      </w:r>
      <w:r w:rsidR="00C70DE9">
        <w:t>S</w:t>
      </w:r>
      <w:r w:rsidRPr="00A71C14">
        <w:t xml:space="preserve"> undertakes and the many who were concerned about ‘cowboy’ operators.</w:t>
      </w:r>
    </w:p>
    <w:p w14:paraId="1BD3967F" w14:textId="77777777" w:rsidR="00D54172" w:rsidRDefault="00D54172" w:rsidP="00997283">
      <w:pPr>
        <w:spacing w:after="0"/>
        <w:rPr>
          <w:lang w:eastAsia="x-none"/>
        </w:rPr>
      </w:pPr>
    </w:p>
    <w:p w14:paraId="1F415470" w14:textId="77777777" w:rsidR="00193AFD" w:rsidRPr="001C0233" w:rsidRDefault="00193AFD" w:rsidP="009F4031">
      <w:pPr>
        <w:spacing w:after="0"/>
        <w:rPr>
          <w:u w:val="single"/>
          <w:lang w:eastAsia="x-none"/>
        </w:rPr>
      </w:pPr>
      <w:r w:rsidRPr="001C0233">
        <w:rPr>
          <w:u w:val="single"/>
          <w:lang w:eastAsia="x-none"/>
        </w:rPr>
        <w:t>Robustness</w:t>
      </w:r>
    </w:p>
    <w:p w14:paraId="28511F69" w14:textId="77777777" w:rsidR="00193AFD" w:rsidRDefault="00193AFD" w:rsidP="009F4031">
      <w:r w:rsidRPr="00133CAE">
        <w:t xml:space="preserve">Historically, Australia has undertaken greater compliance activity than most other S&amp;L programs and is perceived </w:t>
      </w:r>
      <w:r w:rsidR="0073169B">
        <w:t xml:space="preserve">internationally </w:t>
      </w:r>
      <w:r w:rsidRPr="00133CAE">
        <w:t>as having a thorough approach to compliance</w:t>
      </w:r>
      <w:r w:rsidR="00EF4631">
        <w:rPr>
          <w:rStyle w:val="FootnoteReference"/>
        </w:rPr>
        <w:footnoteReference w:id="165"/>
      </w:r>
      <w:r w:rsidRPr="00133CAE">
        <w:t xml:space="preserve">. </w:t>
      </w:r>
      <w:r w:rsidR="00043EA8">
        <w:t xml:space="preserve"> </w:t>
      </w:r>
      <w:r w:rsidRPr="00133CAE">
        <w:t xml:space="preserve">Both check-testing for adherence to MEPS and surveys of product </w:t>
      </w:r>
      <w:r>
        <w:t xml:space="preserve">registration and </w:t>
      </w:r>
      <w:r w:rsidRPr="00133CAE">
        <w:t>labelling have been undertaken, facilitated by the product registration database</w:t>
      </w:r>
      <w:r w:rsidRPr="00133CAE">
        <w:rPr>
          <w:rStyle w:val="FootnoteReference"/>
        </w:rPr>
        <w:footnoteReference w:id="166"/>
      </w:r>
      <w:r w:rsidRPr="00133CAE">
        <w:t xml:space="preserve">. </w:t>
      </w:r>
      <w:r w:rsidR="003051A4">
        <w:t xml:space="preserve"> Interviewed t</w:t>
      </w:r>
      <w:r>
        <w:t>echnical experts indicate</w:t>
      </w:r>
      <w:r w:rsidR="003051A4">
        <w:t>d</w:t>
      </w:r>
      <w:r>
        <w:t xml:space="preserve"> that t</w:t>
      </w:r>
      <w:r w:rsidRPr="00133CAE">
        <w:t>he transition to a national program strengthened the structures for compli</w:t>
      </w:r>
      <w:r w:rsidR="003051A4">
        <w:t>ance and drew</w:t>
      </w:r>
      <w:r w:rsidRPr="00133CAE">
        <w:t xml:space="preserve"> </w:t>
      </w:r>
      <w:r w:rsidRPr="00133CAE">
        <w:lastRenderedPageBreak/>
        <w:t xml:space="preserve">responsibilities together under </w:t>
      </w:r>
      <w:r w:rsidR="003051A4">
        <w:t xml:space="preserve">one </w:t>
      </w:r>
      <w:r w:rsidRPr="00133CAE">
        <w:t xml:space="preserve">regulator. </w:t>
      </w:r>
      <w:r w:rsidR="00043EA8">
        <w:t xml:space="preserve"> </w:t>
      </w:r>
      <w:r w:rsidRPr="00133CAE">
        <w:t>Under both GEMS and the state and territory-based programs, the results of check-testing and labelling surveys have been published</w:t>
      </w:r>
      <w:r w:rsidR="003051A4">
        <w:t xml:space="preserve"> in order to communicate to the markets and wider stakeholders the findings of the compliance program</w:t>
      </w:r>
      <w:r w:rsidRPr="00133CAE">
        <w:rPr>
          <w:rStyle w:val="FootnoteReference"/>
        </w:rPr>
        <w:footnoteReference w:id="167"/>
      </w:r>
      <w:r w:rsidRPr="00133CAE">
        <w:t xml:space="preserve">. </w:t>
      </w:r>
    </w:p>
    <w:p w14:paraId="4B2EC700" w14:textId="77777777" w:rsidR="00E362AD" w:rsidRPr="00EB78FA" w:rsidRDefault="00193AFD" w:rsidP="00E362AD">
      <w:pPr>
        <w:rPr>
          <w:iCs/>
        </w:rPr>
      </w:pPr>
      <w:r>
        <w:t>One technical expert noted that s</w:t>
      </w:r>
      <w:r w:rsidRPr="00347DB8">
        <w:t>ince the transition to GEMS, the</w:t>
      </w:r>
      <w:r>
        <w:t xml:space="preserve">re has been </w:t>
      </w:r>
      <w:r w:rsidR="003051A4">
        <w:t>a</w:t>
      </w:r>
      <w:r w:rsidRPr="00347DB8">
        <w:t xml:space="preserve"> focus on strengthening the compliance process and ensuring that manufacturers and retailers are aware of their obligations. </w:t>
      </w:r>
      <w:r w:rsidR="00043EA8">
        <w:t xml:space="preserve"> </w:t>
      </w:r>
      <w:r w:rsidR="00E362AD" w:rsidRPr="00EB78FA">
        <w:rPr>
          <w:iCs/>
        </w:rPr>
        <w:t>The GEMS Regulator’s objective is to maximise the number of responsible parties who choose to voluntarily comply with the GEMS Act, whilst implementing strategies and responses to identify, and then deter, non-compliance.  This is achieved via a compliance framework which includes:</w:t>
      </w:r>
    </w:p>
    <w:p w14:paraId="5C952C41" w14:textId="77777777" w:rsidR="00E362AD" w:rsidRPr="00EB78FA" w:rsidRDefault="00E362AD" w:rsidP="006649F2">
      <w:pPr>
        <w:pStyle w:val="ListParagraph"/>
        <w:numPr>
          <w:ilvl w:val="0"/>
          <w:numId w:val="77"/>
        </w:numPr>
        <w:spacing w:after="0" w:line="240" w:lineRule="auto"/>
        <w:contextualSpacing w:val="0"/>
        <w:rPr>
          <w:iCs/>
        </w:rPr>
      </w:pPr>
      <w:r w:rsidRPr="00EB78FA">
        <w:rPr>
          <w:iCs/>
        </w:rPr>
        <w:t>Engagement and education</w:t>
      </w:r>
      <w:r w:rsidR="0005286D">
        <w:rPr>
          <w:iCs/>
        </w:rPr>
        <w:t>;</w:t>
      </w:r>
    </w:p>
    <w:p w14:paraId="61CFB0F9" w14:textId="77777777" w:rsidR="00E362AD" w:rsidRPr="00EB78FA" w:rsidRDefault="00E362AD" w:rsidP="006649F2">
      <w:pPr>
        <w:pStyle w:val="ListParagraph"/>
        <w:numPr>
          <w:ilvl w:val="0"/>
          <w:numId w:val="77"/>
        </w:numPr>
        <w:spacing w:after="0" w:line="240" w:lineRule="auto"/>
        <w:contextualSpacing w:val="0"/>
        <w:rPr>
          <w:iCs/>
        </w:rPr>
      </w:pPr>
      <w:r w:rsidRPr="00EB78FA">
        <w:rPr>
          <w:iCs/>
        </w:rPr>
        <w:t>Monitoring compliance</w:t>
      </w:r>
      <w:r w:rsidR="006649F2">
        <w:rPr>
          <w:iCs/>
        </w:rPr>
        <w:t>;</w:t>
      </w:r>
    </w:p>
    <w:p w14:paraId="77C527DB" w14:textId="77777777" w:rsidR="00E362AD" w:rsidRPr="00EB78FA" w:rsidRDefault="00E362AD" w:rsidP="006649F2">
      <w:pPr>
        <w:pStyle w:val="ListParagraph"/>
        <w:numPr>
          <w:ilvl w:val="0"/>
          <w:numId w:val="77"/>
        </w:numPr>
        <w:spacing w:after="0" w:line="240" w:lineRule="auto"/>
        <w:contextualSpacing w:val="0"/>
        <w:rPr>
          <w:iCs/>
        </w:rPr>
      </w:pPr>
      <w:r w:rsidRPr="00EB78FA">
        <w:rPr>
          <w:iCs/>
        </w:rPr>
        <w:t>Investigating non-compliance</w:t>
      </w:r>
      <w:r w:rsidR="006649F2">
        <w:rPr>
          <w:iCs/>
        </w:rPr>
        <w:t>; and</w:t>
      </w:r>
    </w:p>
    <w:p w14:paraId="6196EFDF" w14:textId="77777777" w:rsidR="00E362AD" w:rsidRPr="00EB78FA" w:rsidRDefault="00E362AD" w:rsidP="006649F2">
      <w:pPr>
        <w:pStyle w:val="ListParagraph"/>
        <w:numPr>
          <w:ilvl w:val="0"/>
          <w:numId w:val="77"/>
        </w:numPr>
        <w:spacing w:after="0" w:line="240" w:lineRule="auto"/>
        <w:contextualSpacing w:val="0"/>
        <w:rPr>
          <w:iCs/>
        </w:rPr>
      </w:pPr>
      <w:r w:rsidRPr="00EB78FA">
        <w:rPr>
          <w:iCs/>
        </w:rPr>
        <w:t>Responding to non-compliance</w:t>
      </w:r>
      <w:r w:rsidR="0005286D">
        <w:rPr>
          <w:iCs/>
        </w:rPr>
        <w:t>.</w:t>
      </w:r>
    </w:p>
    <w:p w14:paraId="767D2CD4" w14:textId="77777777" w:rsidR="00E362AD" w:rsidRPr="00EB78FA" w:rsidRDefault="00E362AD" w:rsidP="00E362AD">
      <w:pPr>
        <w:rPr>
          <w:iCs/>
        </w:rPr>
      </w:pPr>
      <w:r w:rsidRPr="00EB78FA">
        <w:rPr>
          <w:iCs/>
        </w:rPr>
        <w:br/>
        <w:t>Framework policies and procedures have been developed to provide rigour to compliance monitoring activities and to ensure a transparent and defensible response to breaches of the legislation’s requirements.  Stakeholder engagement and education, via the likes of an enhanced web presence, and the publishing of compliance policies, compliance monitoring plans, and enforcement outcomes where appropriate, will also assist to raise the profile of GEMS compliance over the coming years.</w:t>
      </w:r>
    </w:p>
    <w:p w14:paraId="3B2DB3A8" w14:textId="77777777" w:rsidR="00193AFD" w:rsidRPr="00347DB8" w:rsidRDefault="00334F4D" w:rsidP="009F4031">
      <w:pPr>
        <w:spacing w:after="0"/>
      </w:pPr>
      <w:r>
        <w:t>Within the Department</w:t>
      </w:r>
      <w:r w:rsidR="00193AFD" w:rsidRPr="00347DB8">
        <w:t xml:space="preserve">, a compliance manual has been developed, documenting procedures for enforcing the regulations (e.g. correct methods for data collection, evidence required for action under the new legislation). </w:t>
      </w:r>
      <w:r w:rsidR="00043EA8">
        <w:t xml:space="preserve"> </w:t>
      </w:r>
      <w:r w:rsidR="00193AFD" w:rsidRPr="00347DB8">
        <w:t>Externally, the updated Energy Rating website provides guidance and information; DoI</w:t>
      </w:r>
      <w:r w:rsidR="00C70DE9">
        <w:t>S</w:t>
      </w:r>
      <w:r w:rsidR="00193AFD" w:rsidRPr="00347DB8">
        <w:t xml:space="preserve"> has published the protocol for check-testing and also the compliance and enforcement policy. </w:t>
      </w:r>
      <w:r w:rsidR="00043EA8">
        <w:t xml:space="preserve"> </w:t>
      </w:r>
      <w:r w:rsidR="00193AFD" w:rsidRPr="00347DB8">
        <w:t>This raises the profile of compliance requirements and activity, which is appropriate following the introduction of the new legislation.</w:t>
      </w:r>
    </w:p>
    <w:p w14:paraId="63520A92" w14:textId="77777777" w:rsidR="00193AFD" w:rsidRDefault="00193AFD" w:rsidP="009F4031">
      <w:pPr>
        <w:spacing w:after="0"/>
        <w:rPr>
          <w:lang w:eastAsia="x-none"/>
        </w:rPr>
      </w:pPr>
    </w:p>
    <w:p w14:paraId="5D6C7B5F" w14:textId="77777777" w:rsidR="00193AFD" w:rsidRPr="001C0233" w:rsidRDefault="00193AFD" w:rsidP="00997283">
      <w:pPr>
        <w:spacing w:after="0"/>
        <w:rPr>
          <w:u w:val="single"/>
          <w:lang w:eastAsia="x-none"/>
        </w:rPr>
      </w:pPr>
      <w:r w:rsidRPr="001C0233">
        <w:rPr>
          <w:u w:val="single"/>
          <w:lang w:eastAsia="x-none"/>
        </w:rPr>
        <w:t>Stakeholder views</w:t>
      </w:r>
    </w:p>
    <w:p w14:paraId="25C5E0C7" w14:textId="77777777" w:rsidR="00193AFD" w:rsidRDefault="00193AFD" w:rsidP="009F4031">
      <w:r w:rsidRPr="00640223">
        <w:t>A</w:t>
      </w:r>
      <w:r w:rsidRPr="00470714">
        <w:t xml:space="preserve">ll stakeholder groups </w:t>
      </w:r>
      <w:r>
        <w:t xml:space="preserve">viewed compliance activity as crucial and a key advantage of the program, as well as </w:t>
      </w:r>
      <w:r w:rsidRPr="00470714">
        <w:t>want</w:t>
      </w:r>
      <w:r>
        <w:t>ing</w:t>
      </w:r>
      <w:r w:rsidRPr="00470714">
        <w:t xml:space="preserve"> increased visibility of compliance activity. </w:t>
      </w:r>
      <w:r w:rsidR="00043EA8">
        <w:t xml:space="preserve"> </w:t>
      </w:r>
      <w:r w:rsidRPr="00133CAE">
        <w:t xml:space="preserve">Among both industry and consumer representatives, there is a desire for the testing results and any penalties imposed to be more widely publicised, as this was felt to be crucial to the integrity of the program. </w:t>
      </w:r>
    </w:p>
    <w:p w14:paraId="334CF009" w14:textId="77777777" w:rsidR="00193AFD" w:rsidRPr="00CA732E" w:rsidRDefault="00193AFD" w:rsidP="009F4031">
      <w:pPr>
        <w:rPr>
          <w:i/>
        </w:rPr>
      </w:pPr>
      <w:r w:rsidRPr="00133CAE">
        <w:t xml:space="preserve">As the program matures from the transition period and participants understand their obligations more thoroughly, further compliance activity is likely to be welcomed. </w:t>
      </w:r>
      <w:r w:rsidR="00043EA8">
        <w:t xml:space="preserve"> </w:t>
      </w:r>
      <w:r w:rsidRPr="00133CAE">
        <w:t xml:space="preserve">In conjunction with this, there was a strong preference for compliance activity to be targeted at perceived risk areas (e.g. imports) and for industry insight </w:t>
      </w:r>
      <w:r w:rsidRPr="00CA732E">
        <w:t xml:space="preserve">to be utilised, including a clear route to raise concerns about breaches.   </w:t>
      </w:r>
      <w:r w:rsidRPr="00CA732E">
        <w:rPr>
          <w:i/>
        </w:rPr>
        <w:t xml:space="preserve"> </w:t>
      </w:r>
    </w:p>
    <w:p w14:paraId="29A15686" w14:textId="77777777" w:rsidR="00193AFD" w:rsidRPr="00CA732E" w:rsidRDefault="00193AFD" w:rsidP="009F4031">
      <w:pPr>
        <w:spacing w:after="0"/>
        <w:ind w:left="567"/>
      </w:pPr>
      <w:r w:rsidRPr="009B3C64">
        <w:rPr>
          <w:i/>
        </w:rPr>
        <w:t>“[It’s] e</w:t>
      </w:r>
      <w:r w:rsidRPr="00BF0E67">
        <w:rPr>
          <w:i/>
        </w:rPr>
        <w:t>ssential that compliance is monitored by an entity that is separate from industry - one that is i</w:t>
      </w:r>
      <w:r w:rsidRPr="006015A1">
        <w:rPr>
          <w:i/>
        </w:rPr>
        <w:t>ndependent from poli</w:t>
      </w:r>
      <w:r w:rsidRPr="00CA732E">
        <w:rPr>
          <w:i/>
        </w:rPr>
        <w:t xml:space="preserve">tical and industry pressures.” </w:t>
      </w:r>
      <w:r w:rsidRPr="003738E3">
        <w:t>(Consumer representative)</w:t>
      </w:r>
    </w:p>
    <w:p w14:paraId="2D811092" w14:textId="77777777" w:rsidR="009C4717" w:rsidRDefault="009C4717" w:rsidP="00997283">
      <w:pPr>
        <w:pStyle w:val="Heading4"/>
        <w:rPr>
          <w:lang w:val="en-GB"/>
        </w:rPr>
      </w:pPr>
      <w:r w:rsidRPr="00CA732E">
        <w:lastRenderedPageBreak/>
        <w:t>Other policy development activities</w:t>
      </w:r>
    </w:p>
    <w:p w14:paraId="4B658C3A" w14:textId="77777777" w:rsidR="00E03F8F" w:rsidRPr="00997283" w:rsidRDefault="00E03F8F" w:rsidP="00997283">
      <w:pPr>
        <w:spacing w:after="0"/>
        <w:rPr>
          <w:lang w:eastAsia="x-none"/>
        </w:rPr>
      </w:pPr>
    </w:p>
    <w:p w14:paraId="11C16916" w14:textId="77777777" w:rsidR="009C4717" w:rsidRPr="00CA732E" w:rsidRDefault="000165D6" w:rsidP="00997283">
      <w:pPr>
        <w:spacing w:after="0"/>
        <w:rPr>
          <w:u w:val="single"/>
        </w:rPr>
      </w:pPr>
      <w:r w:rsidRPr="00CA732E">
        <w:rPr>
          <w:u w:val="single"/>
        </w:rPr>
        <w:t>Climate Labelling</w:t>
      </w:r>
    </w:p>
    <w:p w14:paraId="43E92691" w14:textId="77777777" w:rsidR="00CA732E" w:rsidRDefault="0082181A" w:rsidP="009F4031">
      <w:pPr>
        <w:rPr>
          <w:lang w:eastAsia="x-none"/>
        </w:rPr>
      </w:pPr>
      <w:r w:rsidRPr="00CA732E">
        <w:rPr>
          <w:lang w:eastAsia="x-none"/>
        </w:rPr>
        <w:t>The program has been developing a new type of energy label for products where energy performance can vary significantly based on climactic conditions (e.g. air conditioning</w:t>
      </w:r>
      <w:r w:rsidR="008E7D13">
        <w:rPr>
          <w:lang w:eastAsia="x-none"/>
        </w:rPr>
        <w:t xml:space="preserve">, heat pump </w:t>
      </w:r>
      <w:r w:rsidR="006A3ADD">
        <w:rPr>
          <w:lang w:eastAsia="x-none"/>
        </w:rPr>
        <w:t xml:space="preserve">water heaters </w:t>
      </w:r>
      <w:r w:rsidR="008E7D13">
        <w:rPr>
          <w:lang w:eastAsia="x-none"/>
        </w:rPr>
        <w:t>and</w:t>
      </w:r>
      <w:r w:rsidRPr="00CA732E">
        <w:rPr>
          <w:lang w:eastAsia="x-none"/>
        </w:rPr>
        <w:t xml:space="preserve"> solar water heaters). </w:t>
      </w:r>
      <w:r w:rsidR="00043EA8">
        <w:rPr>
          <w:lang w:eastAsia="x-none"/>
        </w:rPr>
        <w:t xml:space="preserve"> </w:t>
      </w:r>
      <w:r w:rsidRPr="00CA732E">
        <w:rPr>
          <w:lang w:eastAsia="x-none"/>
        </w:rPr>
        <w:t xml:space="preserve">The issue of </w:t>
      </w:r>
      <w:r w:rsidR="001E6BC9" w:rsidRPr="00CA732E">
        <w:rPr>
          <w:lang w:eastAsia="x-none"/>
        </w:rPr>
        <w:t xml:space="preserve">accurately </w:t>
      </w:r>
      <w:r w:rsidRPr="00CA732E">
        <w:rPr>
          <w:lang w:eastAsia="x-none"/>
        </w:rPr>
        <w:t xml:space="preserve">communicating performance variation due to climate differences was raised by several industry and some </w:t>
      </w:r>
      <w:r w:rsidR="00855F13">
        <w:rPr>
          <w:lang w:eastAsia="x-none"/>
        </w:rPr>
        <w:t>g</w:t>
      </w:r>
      <w:r w:rsidRPr="00CA732E">
        <w:rPr>
          <w:lang w:eastAsia="x-none"/>
        </w:rPr>
        <w:t xml:space="preserve">overnment and NGO respondents as an important factor in ensuring that </w:t>
      </w:r>
      <w:r w:rsidR="00855F13">
        <w:rPr>
          <w:lang w:eastAsia="x-none"/>
        </w:rPr>
        <w:t xml:space="preserve">a </w:t>
      </w:r>
      <w:r w:rsidR="001E6BC9" w:rsidRPr="00CA732E">
        <w:rPr>
          <w:lang w:eastAsia="x-none"/>
        </w:rPr>
        <w:t xml:space="preserve">product’s performance is fairly reported and that </w:t>
      </w:r>
      <w:r w:rsidRPr="00CA732E">
        <w:rPr>
          <w:lang w:eastAsia="x-none"/>
        </w:rPr>
        <w:t xml:space="preserve">consumers can make informed decisions. </w:t>
      </w:r>
      <w:r w:rsidR="006015A1">
        <w:rPr>
          <w:lang w:eastAsia="x-none"/>
        </w:rPr>
        <w:t xml:space="preserve"> As a result, the development of </w:t>
      </w:r>
      <w:r w:rsidR="00855F13">
        <w:rPr>
          <w:lang w:eastAsia="x-none"/>
        </w:rPr>
        <w:t>c</w:t>
      </w:r>
      <w:r w:rsidR="006015A1">
        <w:rPr>
          <w:lang w:eastAsia="x-none"/>
        </w:rPr>
        <w:t xml:space="preserve">limate </w:t>
      </w:r>
      <w:r w:rsidR="00855F13">
        <w:rPr>
          <w:lang w:eastAsia="x-none"/>
        </w:rPr>
        <w:t>l</w:t>
      </w:r>
      <w:r w:rsidR="006015A1">
        <w:rPr>
          <w:lang w:eastAsia="x-none"/>
        </w:rPr>
        <w:t xml:space="preserve">abelling is seen as a welcome step, which should be brought in as soon as possible. </w:t>
      </w:r>
    </w:p>
    <w:p w14:paraId="62795DA5" w14:textId="77777777" w:rsidR="009C4717" w:rsidRPr="00CA732E" w:rsidRDefault="000165D6" w:rsidP="00997283">
      <w:pPr>
        <w:spacing w:after="0"/>
        <w:rPr>
          <w:u w:val="single"/>
        </w:rPr>
      </w:pPr>
      <w:r w:rsidRPr="00CA732E">
        <w:rPr>
          <w:u w:val="single"/>
        </w:rPr>
        <w:t xml:space="preserve">Energy </w:t>
      </w:r>
      <w:r w:rsidR="009D16E9">
        <w:rPr>
          <w:u w:val="single"/>
        </w:rPr>
        <w:t>Rating</w:t>
      </w:r>
      <w:r w:rsidR="009D16E9" w:rsidRPr="00CA732E">
        <w:rPr>
          <w:u w:val="single"/>
        </w:rPr>
        <w:t xml:space="preserve"> </w:t>
      </w:r>
      <w:r w:rsidRPr="00CA732E">
        <w:rPr>
          <w:u w:val="single"/>
        </w:rPr>
        <w:t>website</w:t>
      </w:r>
      <w:r w:rsidR="001E6BC9" w:rsidRPr="00CA732E">
        <w:rPr>
          <w:u w:val="single"/>
        </w:rPr>
        <w:t xml:space="preserve"> and </w:t>
      </w:r>
      <w:r w:rsidR="00E545A4">
        <w:rPr>
          <w:u w:val="single"/>
        </w:rPr>
        <w:t xml:space="preserve">smartphone </w:t>
      </w:r>
      <w:r w:rsidR="001E6BC9" w:rsidRPr="00CA732E">
        <w:rPr>
          <w:u w:val="single"/>
        </w:rPr>
        <w:t>App</w:t>
      </w:r>
    </w:p>
    <w:p w14:paraId="650A5C07" w14:textId="77777777" w:rsidR="0082181A" w:rsidRPr="00CA732E" w:rsidRDefault="0082181A" w:rsidP="001E6BC9">
      <w:pPr>
        <w:rPr>
          <w:lang w:eastAsia="x-none"/>
        </w:rPr>
      </w:pPr>
      <w:r w:rsidRPr="00CA732E">
        <w:rPr>
          <w:lang w:eastAsia="x-none"/>
        </w:rPr>
        <w:t>The Energy Rating website</w:t>
      </w:r>
      <w:r w:rsidR="0096256F">
        <w:rPr>
          <w:rStyle w:val="FootnoteReference"/>
          <w:lang w:eastAsia="x-none"/>
        </w:rPr>
        <w:footnoteReference w:id="168"/>
      </w:r>
      <w:r w:rsidRPr="00CA732E">
        <w:rPr>
          <w:lang w:eastAsia="x-none"/>
        </w:rPr>
        <w:t xml:space="preserve"> and recently launched smartphone </w:t>
      </w:r>
      <w:r w:rsidR="00E545A4">
        <w:rPr>
          <w:lang w:eastAsia="x-none"/>
        </w:rPr>
        <w:t>App</w:t>
      </w:r>
      <w:r w:rsidR="00E545A4" w:rsidRPr="00CA732E">
        <w:rPr>
          <w:lang w:eastAsia="x-none"/>
        </w:rPr>
        <w:t xml:space="preserve"> </w:t>
      </w:r>
      <w:r w:rsidRPr="00CA732E">
        <w:rPr>
          <w:lang w:eastAsia="x-none"/>
        </w:rPr>
        <w:t>provide information and guidance for consumers to compare energy use of different models of registered products and cost calculators to help inform purchase decisions.</w:t>
      </w:r>
    </w:p>
    <w:p w14:paraId="5979779F" w14:textId="77777777" w:rsidR="001E6BC9" w:rsidRPr="005345E3" w:rsidRDefault="001E6BC9" w:rsidP="001E6BC9">
      <w:pPr>
        <w:rPr>
          <w:lang w:eastAsia="x-none"/>
        </w:rPr>
      </w:pPr>
      <w:r w:rsidRPr="00CA732E">
        <w:rPr>
          <w:lang w:eastAsia="x-none"/>
        </w:rPr>
        <w:t>Industry representatives had mixed experiences of using the website</w:t>
      </w:r>
      <w:r>
        <w:rPr>
          <w:lang w:eastAsia="x-none"/>
        </w:rPr>
        <w:t xml:space="preserve">. </w:t>
      </w:r>
      <w:r w:rsidR="00043EA8">
        <w:rPr>
          <w:lang w:eastAsia="x-none"/>
        </w:rPr>
        <w:t xml:space="preserve"> </w:t>
      </w:r>
      <w:r>
        <w:rPr>
          <w:lang w:eastAsia="x-none"/>
        </w:rPr>
        <w:t>Most felt it was an important mechanism for providing information to consumers and some had used it personally, to assist a purchase decision</w:t>
      </w:r>
      <w:r w:rsidR="00C3573B">
        <w:rPr>
          <w:lang w:eastAsia="x-none"/>
        </w:rPr>
        <w:t>, although others hadn’t viewed it at all</w:t>
      </w:r>
      <w:r>
        <w:rPr>
          <w:lang w:eastAsia="x-none"/>
        </w:rPr>
        <w:t xml:space="preserve">. </w:t>
      </w:r>
      <w:r w:rsidR="00043EA8">
        <w:rPr>
          <w:lang w:eastAsia="x-none"/>
        </w:rPr>
        <w:t xml:space="preserve"> </w:t>
      </w:r>
      <w:r w:rsidR="00C3573B">
        <w:rPr>
          <w:lang w:eastAsia="x-none"/>
        </w:rPr>
        <w:t xml:space="preserve">While some users reported a good experience, others noted that it could be more user-friendly. </w:t>
      </w:r>
      <w:r w:rsidR="00043EA8">
        <w:rPr>
          <w:lang w:eastAsia="x-none"/>
        </w:rPr>
        <w:t xml:space="preserve"> </w:t>
      </w:r>
      <w:r w:rsidR="00C3573B">
        <w:rPr>
          <w:lang w:eastAsia="x-none"/>
        </w:rPr>
        <w:t xml:space="preserve">The Department has made improvements to the website </w:t>
      </w:r>
      <w:r w:rsidR="009D16E9">
        <w:rPr>
          <w:lang w:eastAsia="x-none"/>
        </w:rPr>
        <w:t>in the second half of 2014</w:t>
      </w:r>
      <w:r w:rsidR="00C3573B">
        <w:rPr>
          <w:lang w:eastAsia="x-none"/>
        </w:rPr>
        <w:t xml:space="preserve"> and it</w:t>
      </w:r>
      <w:r w:rsidR="006015A1">
        <w:rPr>
          <w:lang w:eastAsia="x-none"/>
        </w:rPr>
        <w:t xml:space="preserve"> is likely </w:t>
      </w:r>
      <w:r w:rsidR="00C3573B">
        <w:rPr>
          <w:lang w:eastAsia="x-none"/>
        </w:rPr>
        <w:t xml:space="preserve">that some users were referring to the previous version. </w:t>
      </w:r>
    </w:p>
    <w:p w14:paraId="23EEEB00" w14:textId="77777777" w:rsidR="0082181A" w:rsidRPr="00CA732E" w:rsidRDefault="00C3573B" w:rsidP="009F4031">
      <w:r w:rsidRPr="00CA732E">
        <w:t>Most consumer organisations had used the website</w:t>
      </w:r>
      <w:r w:rsidR="006015A1">
        <w:t xml:space="preserve"> and App</w:t>
      </w:r>
      <w:r w:rsidRPr="00CA732E">
        <w:t xml:space="preserve"> and reported positive experiences. </w:t>
      </w:r>
      <w:r w:rsidR="00043EA8">
        <w:t xml:space="preserve"> </w:t>
      </w:r>
      <w:r w:rsidRPr="00CA732E">
        <w:t xml:space="preserve">The information was seen to be user-friendly, although some weren’t sure how widely the website had been publicised, as not all had visited it before becoming aware of the GEMS Review. </w:t>
      </w:r>
    </w:p>
    <w:p w14:paraId="1FBA297B" w14:textId="77777777" w:rsidR="00C3573B" w:rsidRPr="00CA732E" w:rsidRDefault="00C3573B" w:rsidP="003738E3">
      <w:pPr>
        <w:rPr>
          <w:i/>
        </w:rPr>
      </w:pPr>
      <w:r w:rsidRPr="00CA732E">
        <w:rPr>
          <w:i/>
        </w:rPr>
        <w:t xml:space="preserve">“Things that are particularly good is how easy it is to get to the product comparison pages from the front page (easily identified and only 2 clicks) and the information presented in the comparison tables themselves is clear and consistent between products” </w:t>
      </w:r>
      <w:r w:rsidRPr="003738E3">
        <w:t>(Consumer representative)</w:t>
      </w:r>
    </w:p>
    <w:p w14:paraId="43D61C4A" w14:textId="77777777" w:rsidR="00995B0D" w:rsidRDefault="00C3573B" w:rsidP="009F4031">
      <w:r w:rsidRPr="00CA732E">
        <w:t>The main reservation about the website</w:t>
      </w:r>
      <w:r w:rsidR="0003474B" w:rsidRPr="00CA732E">
        <w:t xml:space="preserve"> was that it may not be effective for communicating with all types of consumer</w:t>
      </w:r>
      <w:r w:rsidR="00855F13">
        <w:t>s</w:t>
      </w:r>
      <w:r w:rsidR="0003474B" w:rsidRPr="00CA732E">
        <w:t xml:space="preserve">. </w:t>
      </w:r>
      <w:r w:rsidR="00043EA8">
        <w:t xml:space="preserve"> </w:t>
      </w:r>
      <w:r w:rsidR="0003474B" w:rsidRPr="00CA732E">
        <w:t xml:space="preserve">These groups include those who don’t read English or who are unable to access the internet (e.g. low income, seniors, migrants) and they need alternative communication methods, such as own language newspapers and radio. </w:t>
      </w:r>
    </w:p>
    <w:p w14:paraId="08081D1A" w14:textId="77777777" w:rsidR="009C4717" w:rsidRPr="00CA732E" w:rsidRDefault="00C3573B" w:rsidP="009F4031">
      <w:r w:rsidRPr="00CA732E">
        <w:t>The app was also viewed positively, as a handy way for consumers to access information:</w:t>
      </w:r>
    </w:p>
    <w:p w14:paraId="3A51163C" w14:textId="77777777" w:rsidR="00C3573B" w:rsidRPr="00CA732E" w:rsidRDefault="00C3573B" w:rsidP="003738E3">
      <w:pPr>
        <w:rPr>
          <w:i/>
        </w:rPr>
      </w:pPr>
      <w:r w:rsidRPr="00CA732E">
        <w:rPr>
          <w:i/>
        </w:rPr>
        <w:t>“The app is a fantastic starting point</w:t>
      </w:r>
      <w:r w:rsidR="00AC532E" w:rsidRPr="00CA732E">
        <w:rPr>
          <w:i/>
        </w:rPr>
        <w:t xml:space="preserve"> … </w:t>
      </w:r>
      <w:r w:rsidRPr="00CA732E">
        <w:rPr>
          <w:i/>
        </w:rPr>
        <w:t xml:space="preserve">a great way to encourage people to think about the different running costs of the appliances.” </w:t>
      </w:r>
      <w:r w:rsidRPr="003738E3">
        <w:t>(Consumer representative)</w:t>
      </w:r>
    </w:p>
    <w:p w14:paraId="53CEC095" w14:textId="77777777" w:rsidR="00BF0E67" w:rsidRDefault="005E70D9" w:rsidP="000165D6">
      <w:pPr>
        <w:spacing w:after="0"/>
      </w:pPr>
      <w:r>
        <w:t xml:space="preserve">Opportunities for streamlining to make program administration more efficient and opportunities to improve effectiveness are explored below.  </w:t>
      </w:r>
    </w:p>
    <w:p w14:paraId="3DBEE43A" w14:textId="77777777" w:rsidR="00320022" w:rsidRDefault="00320022" w:rsidP="000165D6">
      <w:pPr>
        <w:spacing w:after="0"/>
      </w:pPr>
    </w:p>
    <w:p w14:paraId="5F466594" w14:textId="77777777" w:rsidR="0096256F" w:rsidRDefault="0096256F" w:rsidP="0096256F">
      <w:pPr>
        <w:pStyle w:val="Heading3"/>
      </w:pPr>
      <w:bookmarkStart w:id="113" w:name="_Toc422298414"/>
      <w:r w:rsidRPr="00D50FBA">
        <w:lastRenderedPageBreak/>
        <w:t>Conclusions</w:t>
      </w:r>
      <w:r w:rsidRPr="005B4C1A">
        <w:t xml:space="preserve"> </w:t>
      </w:r>
      <w:r>
        <w:t xml:space="preserve">on the </w:t>
      </w:r>
      <w:r w:rsidRPr="00803559">
        <w:t xml:space="preserve">effectiveness of </w:t>
      </w:r>
      <w:r>
        <w:t>administration</w:t>
      </w:r>
      <w:bookmarkEnd w:id="113"/>
      <w:r w:rsidRPr="00803559">
        <w:t xml:space="preserve"> </w:t>
      </w:r>
    </w:p>
    <w:p w14:paraId="2AB3B6CF" w14:textId="77777777" w:rsidR="0096256F" w:rsidRPr="00997283" w:rsidRDefault="0096256F" w:rsidP="00997283">
      <w:pPr>
        <w:spacing w:after="0"/>
        <w:rPr>
          <w:lang w:eastAsia="x-none"/>
        </w:rPr>
      </w:pPr>
    </w:p>
    <w:p w14:paraId="4B78E715" w14:textId="77777777" w:rsidR="0096256F" w:rsidRDefault="0096256F" w:rsidP="006649F2">
      <w:pPr>
        <w:numPr>
          <w:ilvl w:val="0"/>
          <w:numId w:val="70"/>
        </w:numPr>
        <w:spacing w:after="0"/>
        <w:ind w:left="426"/>
      </w:pPr>
      <w:r>
        <w:t>The program</w:t>
      </w:r>
      <w:r w:rsidR="007C5973">
        <w:t>, under the GEMS Act,</w:t>
      </w:r>
      <w:r>
        <w:t xml:space="preserve"> is still bedding into its delivery role.  Bearing this in mind, broadly the program’s administration is being delivered reasonably effectively.  The review has uncovered some gaps and issues which require addressing to improve effectiveness</w:t>
      </w:r>
      <w:r w:rsidR="00043EA8">
        <w:t xml:space="preserve">.  However, </w:t>
      </w:r>
      <w:r w:rsidR="00D569C4">
        <w:t xml:space="preserve">with the exception of the timescale issues addressed above, </w:t>
      </w:r>
      <w:r>
        <w:t>none of the</w:t>
      </w:r>
      <w:r w:rsidR="00043EA8">
        <w:t xml:space="preserve">se </w:t>
      </w:r>
      <w:r>
        <w:t xml:space="preserve">represent a fundamental risk to the achievement of </w:t>
      </w:r>
      <w:r w:rsidR="00855F13">
        <w:t xml:space="preserve">the program’s </w:t>
      </w:r>
      <w:r>
        <w:t xml:space="preserve">objectives.  </w:t>
      </w:r>
    </w:p>
    <w:p w14:paraId="78460032" w14:textId="77777777" w:rsidR="0096256F" w:rsidRDefault="0096256F" w:rsidP="0096256F">
      <w:pPr>
        <w:spacing w:after="0"/>
        <w:ind w:left="284"/>
      </w:pPr>
    </w:p>
    <w:p w14:paraId="308269C3" w14:textId="77777777" w:rsidR="0096256F" w:rsidRDefault="0096256F" w:rsidP="006649F2">
      <w:pPr>
        <w:numPr>
          <w:ilvl w:val="0"/>
          <w:numId w:val="70"/>
        </w:numPr>
        <w:spacing w:after="0"/>
        <w:ind w:left="426"/>
      </w:pPr>
      <w:r>
        <w:t xml:space="preserve">Some aspects of administration demonstrate best practice in delivery.  This includes compliance and enforcement activities and the program infrastructure put in place to allow this (e.g. the GEMS database).  These activities are highly valued by industry and other interested stakeholders, although action could be taken to address concerns (whether perceived or real) about levels of check testing and compliance monitoring. </w:t>
      </w:r>
    </w:p>
    <w:p w14:paraId="16203163" w14:textId="77777777" w:rsidR="0096256F" w:rsidRDefault="0096256F" w:rsidP="0096256F">
      <w:pPr>
        <w:spacing w:after="0"/>
        <w:ind w:left="284"/>
      </w:pPr>
    </w:p>
    <w:p w14:paraId="6C136ABE" w14:textId="77777777" w:rsidR="0096256F" w:rsidRDefault="0096256F" w:rsidP="006649F2">
      <w:pPr>
        <w:numPr>
          <w:ilvl w:val="0"/>
          <w:numId w:val="70"/>
        </w:numPr>
        <w:spacing w:after="0"/>
        <w:ind w:left="426"/>
      </w:pPr>
      <w:r>
        <w:t>The process for developing GEMS determinations appears to be broadly robust in the purpose it serves, and examples of efficiency are demonstrated through international harmonisation efforts and use of analyses (e.g. technical analysis) undertaken by other administrations, rather than repeating them for Australia and New Zealand.  There are areas where the process could be improved however, which include</w:t>
      </w:r>
      <w:r w:rsidR="00855F13">
        <w:t>:</w:t>
      </w:r>
    </w:p>
    <w:p w14:paraId="3FF2FBAD" w14:textId="77777777" w:rsidR="0096256F" w:rsidRDefault="006A3ADD" w:rsidP="006649F2">
      <w:pPr>
        <w:numPr>
          <w:ilvl w:val="0"/>
          <w:numId w:val="71"/>
        </w:numPr>
        <w:spacing w:after="0"/>
        <w:ind w:left="851"/>
      </w:pPr>
      <w:r>
        <w:tab/>
      </w:r>
      <w:r w:rsidR="0096256F">
        <w:t>Further use of primary evidence to better inform market failures and barriers;</w:t>
      </w:r>
    </w:p>
    <w:p w14:paraId="67ADF10A" w14:textId="77777777" w:rsidR="0096256F" w:rsidRDefault="0096256F" w:rsidP="006649F2">
      <w:pPr>
        <w:numPr>
          <w:ilvl w:val="0"/>
          <w:numId w:val="71"/>
        </w:numPr>
        <w:tabs>
          <w:tab w:val="left" w:pos="851"/>
        </w:tabs>
        <w:spacing w:after="0"/>
        <w:ind w:left="851"/>
      </w:pPr>
      <w:r>
        <w:t>Exploration of all policy measures in detail (e.g. voluntary measures) within the assessment of options (noting that all RISs reviewed were developed pre-GEMS);</w:t>
      </w:r>
    </w:p>
    <w:p w14:paraId="1704FAA1" w14:textId="77777777" w:rsidR="0096256F" w:rsidRDefault="0096256F" w:rsidP="006649F2">
      <w:pPr>
        <w:numPr>
          <w:ilvl w:val="0"/>
          <w:numId w:val="71"/>
        </w:numPr>
        <w:tabs>
          <w:tab w:val="left" w:pos="851"/>
        </w:tabs>
        <w:spacing w:after="0"/>
        <w:ind w:left="851"/>
      </w:pPr>
      <w:r>
        <w:t>Consistency in approach to stakeholder consultation, including seeking out more involvement from non-industry stakeholder groups more proactively;</w:t>
      </w:r>
    </w:p>
    <w:p w14:paraId="350FBED7" w14:textId="77777777" w:rsidR="0096256F" w:rsidRDefault="0096256F" w:rsidP="006649F2">
      <w:pPr>
        <w:numPr>
          <w:ilvl w:val="0"/>
          <w:numId w:val="71"/>
        </w:numPr>
        <w:tabs>
          <w:tab w:val="left" w:pos="851"/>
        </w:tabs>
        <w:spacing w:after="0"/>
        <w:ind w:left="851"/>
      </w:pPr>
      <w:r>
        <w:t>Increasing the pace at which determinations are developed and agreed</w:t>
      </w:r>
      <w:r w:rsidR="00D569C4">
        <w:t>, by addressing some of the issues around delays in timescales discussed above</w:t>
      </w:r>
      <w:r>
        <w:t>; and</w:t>
      </w:r>
    </w:p>
    <w:p w14:paraId="38191B78" w14:textId="77777777" w:rsidR="0096256F" w:rsidRDefault="0096256F" w:rsidP="006649F2">
      <w:pPr>
        <w:numPr>
          <w:ilvl w:val="0"/>
          <w:numId w:val="71"/>
        </w:numPr>
        <w:tabs>
          <w:tab w:val="left" w:pos="851"/>
        </w:tabs>
        <w:spacing w:after="0"/>
        <w:ind w:left="851"/>
      </w:pPr>
      <w:r>
        <w:t xml:space="preserve">Better </w:t>
      </w:r>
      <w:r w:rsidR="007C5973">
        <w:t xml:space="preserve">two-way </w:t>
      </w:r>
      <w:r>
        <w:t>interaction with OBPR.</w:t>
      </w:r>
    </w:p>
    <w:p w14:paraId="363F8A82" w14:textId="77777777" w:rsidR="0096256F" w:rsidRDefault="0096256F" w:rsidP="0096256F">
      <w:pPr>
        <w:spacing w:after="0"/>
      </w:pPr>
    </w:p>
    <w:p w14:paraId="3EB174BE" w14:textId="77777777" w:rsidR="0096256F" w:rsidRPr="005E70D9" w:rsidRDefault="0096256F" w:rsidP="006649F2">
      <w:pPr>
        <w:numPr>
          <w:ilvl w:val="0"/>
          <w:numId w:val="70"/>
        </w:numPr>
        <w:spacing w:after="0"/>
        <w:ind w:left="426"/>
      </w:pPr>
      <w:r>
        <w:t xml:space="preserve">Product registration serves its intended purpose and is robust.  However there are some issues creating administrative problems for those undertaking </w:t>
      </w:r>
      <w:r w:rsidRPr="005E70D9">
        <w:t>registrations and making payments.  This is a key issue which industry is concerned is resolved.  The Department is aware of the issue</w:t>
      </w:r>
      <w:r>
        <w:t>s and is</w:t>
      </w:r>
      <w:r w:rsidRPr="005E70D9">
        <w:t xml:space="preserve"> working through a program of improvements. </w:t>
      </w:r>
    </w:p>
    <w:p w14:paraId="38D87CDC" w14:textId="77777777" w:rsidR="0096256F" w:rsidRDefault="0096256F" w:rsidP="0096256F">
      <w:pPr>
        <w:spacing w:after="0"/>
        <w:ind w:left="284"/>
      </w:pPr>
    </w:p>
    <w:p w14:paraId="643AC39C" w14:textId="77777777" w:rsidR="00F051D8" w:rsidRDefault="00F051D8" w:rsidP="00F051D8">
      <w:pPr>
        <w:numPr>
          <w:ilvl w:val="0"/>
          <w:numId w:val="70"/>
        </w:numPr>
        <w:spacing w:after="0"/>
        <w:ind w:left="426"/>
      </w:pPr>
      <w:r>
        <w:t>Activities can experience delays for a number of reasons, including negotiations with industry, particularly where new stakeholders joined the process at a late stage; reaching agreement within the E3 Committee; slow progress through OBPR approval; and internal disruptions within jurisdictions (such as agency reorganisations and staff turnover).</w:t>
      </w:r>
    </w:p>
    <w:p w14:paraId="3D6F20A6" w14:textId="77777777" w:rsidR="00F051D8" w:rsidRPr="005E70D9" w:rsidRDefault="00F051D8" w:rsidP="0096256F">
      <w:pPr>
        <w:spacing w:after="0"/>
        <w:ind w:left="284"/>
      </w:pPr>
    </w:p>
    <w:p w14:paraId="6B444623" w14:textId="77777777" w:rsidR="0096256F" w:rsidRPr="005E70D9" w:rsidRDefault="0096256F" w:rsidP="006649F2">
      <w:pPr>
        <w:numPr>
          <w:ilvl w:val="0"/>
          <w:numId w:val="70"/>
        </w:numPr>
        <w:spacing w:after="0"/>
        <w:ind w:left="426"/>
      </w:pPr>
      <w:r>
        <w:t>Effective s</w:t>
      </w:r>
      <w:r w:rsidRPr="005E70D9">
        <w:t>trategic planning</w:t>
      </w:r>
      <w:r>
        <w:t xml:space="preserve"> is a gap currently</w:t>
      </w:r>
      <w:r w:rsidRPr="005E70D9">
        <w:t xml:space="preserve">.  This is an area recognised by the program and actions are in place to address it. </w:t>
      </w:r>
    </w:p>
    <w:p w14:paraId="354391A5" w14:textId="77777777" w:rsidR="0096256F" w:rsidRDefault="0096256F" w:rsidP="0096256F">
      <w:pPr>
        <w:spacing w:after="0"/>
        <w:ind w:left="284"/>
      </w:pPr>
    </w:p>
    <w:p w14:paraId="7C373430" w14:textId="77777777" w:rsidR="0096256F" w:rsidRDefault="0096256F" w:rsidP="006649F2">
      <w:pPr>
        <w:numPr>
          <w:ilvl w:val="0"/>
          <w:numId w:val="70"/>
        </w:numPr>
        <w:ind w:left="426"/>
      </w:pPr>
      <w:r>
        <w:t xml:space="preserve">There are a number of opportunities identified for </w:t>
      </w:r>
      <w:r w:rsidRPr="009F1284">
        <w:t xml:space="preserve">streamlining to improve efficiency and for amendment to improve effectiveness.  </w:t>
      </w:r>
    </w:p>
    <w:p w14:paraId="6CDA200D" w14:textId="77777777" w:rsidR="0096256F" w:rsidRDefault="0096256F" w:rsidP="006649F2">
      <w:pPr>
        <w:numPr>
          <w:ilvl w:val="0"/>
          <w:numId w:val="70"/>
        </w:numPr>
        <w:spacing w:after="0"/>
        <w:ind w:left="426"/>
      </w:pPr>
      <w:r>
        <w:lastRenderedPageBreak/>
        <w:t xml:space="preserve">Finally, the development of other policy supporting initiatives, such as climate labelling and further development of the website and recently launched App were seen as positive steps which will help achieve policy objectives more effectively.   </w:t>
      </w:r>
    </w:p>
    <w:p w14:paraId="070C946D" w14:textId="77777777" w:rsidR="0096256F" w:rsidRDefault="0096256F" w:rsidP="00997283">
      <w:pPr>
        <w:spacing w:after="0"/>
      </w:pPr>
      <w:r>
        <w:t xml:space="preserve">The following two sub-sections explore opportunities which have been identified to improve program efficiency and outcomes.  </w:t>
      </w:r>
    </w:p>
    <w:p w14:paraId="08A6DD43" w14:textId="77777777" w:rsidR="0096256F" w:rsidRDefault="0096256F" w:rsidP="00997283">
      <w:pPr>
        <w:pStyle w:val="Heading3"/>
        <w:numPr>
          <w:ilvl w:val="0"/>
          <w:numId w:val="0"/>
        </w:numPr>
        <w:spacing w:before="0"/>
        <w:ind w:left="426"/>
      </w:pPr>
    </w:p>
    <w:p w14:paraId="048307A5" w14:textId="77777777" w:rsidR="000165D6" w:rsidRPr="002A1F99" w:rsidRDefault="000165D6" w:rsidP="00997283">
      <w:pPr>
        <w:pStyle w:val="Heading3"/>
        <w:spacing w:before="0"/>
      </w:pPr>
      <w:bookmarkStart w:id="114" w:name="_Toc422298415"/>
      <w:r w:rsidRPr="002A1F99">
        <w:t xml:space="preserve">Opportunities to </w:t>
      </w:r>
      <w:r w:rsidR="0096256F">
        <w:t>reduce regulatory burden</w:t>
      </w:r>
      <w:bookmarkEnd w:id="114"/>
    </w:p>
    <w:p w14:paraId="31C8F02D" w14:textId="77777777" w:rsidR="0096256F" w:rsidRDefault="0096256F" w:rsidP="000165D6">
      <w:pPr>
        <w:spacing w:after="0"/>
        <w:rPr>
          <w:u w:val="single"/>
        </w:rPr>
      </w:pPr>
    </w:p>
    <w:p w14:paraId="04B2C0C6" w14:textId="77777777" w:rsidR="0096256F" w:rsidRPr="00997283" w:rsidRDefault="0096256F" w:rsidP="006649F2">
      <w:pPr>
        <w:numPr>
          <w:ilvl w:val="0"/>
          <w:numId w:val="73"/>
        </w:numPr>
        <w:spacing w:after="0"/>
        <w:rPr>
          <w:u w:val="single"/>
        </w:rPr>
      </w:pPr>
      <w:r>
        <w:rPr>
          <w:u w:val="single"/>
        </w:rPr>
        <w:t>GEMS determinations</w:t>
      </w:r>
    </w:p>
    <w:p w14:paraId="589A17E9" w14:textId="77777777" w:rsidR="001D5A82" w:rsidRPr="00997283" w:rsidRDefault="001D5A82" w:rsidP="0096256F">
      <w:pPr>
        <w:spacing w:after="0"/>
        <w:rPr>
          <w:u w:val="single"/>
        </w:rPr>
      </w:pPr>
      <w:r>
        <w:t>Whilst recognising the achievements of the program, stakeholders believe a</w:t>
      </w:r>
      <w:r w:rsidR="00DA54CF">
        <w:t xml:space="preserve"> continued focus on </w:t>
      </w:r>
      <w:r>
        <w:t>international harmonisation (for both test methods and energy efficiency standards) will be key in mitigating regulatory burden</w:t>
      </w:r>
      <w:r w:rsidR="0096256F">
        <w:t xml:space="preserve"> in future</w:t>
      </w:r>
      <w:r>
        <w:t>.</w:t>
      </w:r>
    </w:p>
    <w:p w14:paraId="2A943763" w14:textId="77777777" w:rsidR="001D5A82" w:rsidRDefault="001D5A82" w:rsidP="000165D6">
      <w:pPr>
        <w:spacing w:after="0"/>
      </w:pPr>
    </w:p>
    <w:p w14:paraId="131DA078" w14:textId="77777777" w:rsidR="000165D6" w:rsidRPr="00A71C14" w:rsidRDefault="000165D6" w:rsidP="000165D6">
      <w:pPr>
        <w:spacing w:after="0"/>
      </w:pPr>
      <w:r>
        <w:t xml:space="preserve">There might be cases where a streamlined process could expedite the RIS, for example where there is clear agreement from stakeholders on the measures or where international standards are being adopted. </w:t>
      </w:r>
      <w:r w:rsidR="00043EA8">
        <w:t xml:space="preserve"> </w:t>
      </w:r>
      <w:r>
        <w:t>The US ‘</w:t>
      </w:r>
      <w:r w:rsidRPr="006546F9">
        <w:t>negotiated rulemaking</w:t>
      </w:r>
      <w:r>
        <w:t>’</w:t>
      </w:r>
      <w:r w:rsidRPr="006546F9">
        <w:t xml:space="preserve"> </w:t>
      </w:r>
      <w:r>
        <w:t xml:space="preserve">process might provide a framework for consideration. </w:t>
      </w:r>
      <w:r w:rsidR="00043EA8">
        <w:t xml:space="preserve"> </w:t>
      </w:r>
      <w:r>
        <w:t xml:space="preserve">This fast-track process could reduce the administrative costs for all involved, at the same time as providing certainty for manufacturers more quickly. </w:t>
      </w:r>
      <w:r w:rsidR="007B3E39">
        <w:t xml:space="preserve"> It would, though, require a change to the current COAG RIS processes.</w:t>
      </w:r>
    </w:p>
    <w:p w14:paraId="72A1C45A" w14:textId="77777777" w:rsidR="000165D6" w:rsidRDefault="000165D6" w:rsidP="000165D6">
      <w:pPr>
        <w:spacing w:after="0"/>
        <w:rPr>
          <w:b/>
          <w:i/>
          <w:color w:val="1F497D"/>
        </w:rPr>
      </w:pPr>
    </w:p>
    <w:p w14:paraId="42F6A9B4" w14:textId="77777777" w:rsidR="0096256F" w:rsidRDefault="000165D6" w:rsidP="006649F2">
      <w:pPr>
        <w:numPr>
          <w:ilvl w:val="0"/>
          <w:numId w:val="73"/>
        </w:numPr>
        <w:spacing w:after="120"/>
      </w:pPr>
      <w:r w:rsidRPr="00B87B44">
        <w:rPr>
          <w:u w:val="single"/>
        </w:rPr>
        <w:t>Product registration</w:t>
      </w:r>
    </w:p>
    <w:p w14:paraId="0BD945B8" w14:textId="77777777" w:rsidR="00B87B44" w:rsidRDefault="00B87B44" w:rsidP="00882E7A">
      <w:pPr>
        <w:spacing w:after="120"/>
      </w:pPr>
      <w:r>
        <w:t xml:space="preserve">Industry respondents are concerned that the Department progress </w:t>
      </w:r>
      <w:r w:rsidR="000E6D4C">
        <w:t xml:space="preserve">several </w:t>
      </w:r>
      <w:r>
        <w:t xml:space="preserve">practical actions to resolve identified </w:t>
      </w:r>
      <w:r w:rsidR="00882E7A">
        <w:t xml:space="preserve">issues with </w:t>
      </w:r>
      <w:r w:rsidR="000E6D4C">
        <w:t xml:space="preserve">the </w:t>
      </w:r>
      <w:r w:rsidR="00882E7A">
        <w:t xml:space="preserve">registration </w:t>
      </w:r>
      <w:r w:rsidR="000E6D4C">
        <w:t xml:space="preserve">system </w:t>
      </w:r>
      <w:r w:rsidR="00882E7A">
        <w:t xml:space="preserve">to simplify the process (see </w:t>
      </w:r>
      <w:r w:rsidR="007D55B8">
        <w:t>A</w:t>
      </w:r>
      <w:r w:rsidR="00882E7A">
        <w:t xml:space="preserve">ppendix for further details).  This includes some </w:t>
      </w:r>
      <w:r w:rsidR="000165D6" w:rsidRPr="00A71C14">
        <w:t>practic</w:t>
      </w:r>
      <w:r w:rsidR="00882E7A">
        <w:t xml:space="preserve">alities of completing forms, </w:t>
      </w:r>
      <w:r w:rsidR="000165D6" w:rsidRPr="00A71C14">
        <w:t>making payments</w:t>
      </w:r>
      <w:r w:rsidR="00882E7A">
        <w:t xml:space="preserve"> and removing any information collected w</w:t>
      </w:r>
      <w:r w:rsidR="00534202">
        <w:t>hich isn’t strictly necessary.</w:t>
      </w:r>
    </w:p>
    <w:p w14:paraId="295469D4" w14:textId="77777777" w:rsidR="00B87B44" w:rsidRDefault="00B87B44" w:rsidP="000165D6">
      <w:pPr>
        <w:spacing w:after="120"/>
      </w:pPr>
      <w:r>
        <w:t>A few industry respondents noted increases in costs for registrations</w:t>
      </w:r>
      <w:r w:rsidR="00882E7A">
        <w:t xml:space="preserve"> in the transition to GEMS</w:t>
      </w:r>
      <w:r>
        <w:t>.  Whilst most respondents were accepting that contribution</w:t>
      </w:r>
      <w:r w:rsidR="00882E7A">
        <w:t xml:space="preserve">s were appropriate, a reduction in fees would be welcome amongst industry (although it </w:t>
      </w:r>
      <w:r w:rsidR="000E6D4C">
        <w:t xml:space="preserve">is </w:t>
      </w:r>
      <w:r w:rsidR="00882E7A">
        <w:t>less of a concern than administrative issues</w:t>
      </w:r>
      <w:r w:rsidR="000E6D4C" w:rsidRPr="000E6D4C">
        <w:t xml:space="preserve"> </w:t>
      </w:r>
      <w:r w:rsidR="000E6D4C">
        <w:t>being addressed</w:t>
      </w:r>
      <w:r w:rsidR="00882E7A">
        <w:t xml:space="preserve">).  </w:t>
      </w:r>
    </w:p>
    <w:p w14:paraId="266CB685" w14:textId="77777777" w:rsidR="00E03F8F" w:rsidRDefault="00882E7A" w:rsidP="00997283">
      <w:pPr>
        <w:spacing w:after="120"/>
        <w:rPr>
          <w:u w:val="single"/>
        </w:rPr>
      </w:pPr>
      <w:r>
        <w:t>Furthermore, c</w:t>
      </w:r>
      <w:r w:rsidR="000165D6">
        <w:t xml:space="preserve">onsideration could be given to removing the requirement for test reports to be lodged. </w:t>
      </w:r>
    </w:p>
    <w:p w14:paraId="33A2D140" w14:textId="77777777" w:rsidR="0096256F" w:rsidRDefault="000165D6" w:rsidP="006649F2">
      <w:pPr>
        <w:numPr>
          <w:ilvl w:val="0"/>
          <w:numId w:val="73"/>
        </w:numPr>
        <w:spacing w:after="120"/>
      </w:pPr>
      <w:r w:rsidRPr="009F1284">
        <w:rPr>
          <w:u w:val="single"/>
        </w:rPr>
        <w:t xml:space="preserve">Communication &amp; </w:t>
      </w:r>
      <w:r w:rsidR="0096256F">
        <w:rPr>
          <w:u w:val="single"/>
        </w:rPr>
        <w:t>e</w:t>
      </w:r>
      <w:r w:rsidRPr="009F1284">
        <w:rPr>
          <w:u w:val="single"/>
        </w:rPr>
        <w:t xml:space="preserve">ngagement with </w:t>
      </w:r>
      <w:r w:rsidR="0096256F">
        <w:rPr>
          <w:u w:val="single"/>
        </w:rPr>
        <w:t>s</w:t>
      </w:r>
      <w:r w:rsidRPr="009F1284">
        <w:rPr>
          <w:u w:val="single"/>
        </w:rPr>
        <w:t>takeholders</w:t>
      </w:r>
      <w:r w:rsidRPr="00A71C14">
        <w:t xml:space="preserve"> </w:t>
      </w:r>
    </w:p>
    <w:p w14:paraId="0842624A" w14:textId="77777777" w:rsidR="000165D6" w:rsidRDefault="000165D6" w:rsidP="0096256F">
      <w:pPr>
        <w:spacing w:after="0"/>
      </w:pPr>
      <w:r w:rsidRPr="00A71C14">
        <w:t>Industry respondents had mixed experiences of communication with DoI</w:t>
      </w:r>
      <w:r w:rsidR="00C70DE9">
        <w:t>S</w:t>
      </w:r>
      <w:r w:rsidRPr="00A71C14">
        <w:t xml:space="preserve">, although all preferred a participatory and collaborative approach. </w:t>
      </w:r>
      <w:r w:rsidR="00043EA8">
        <w:t xml:space="preserve"> </w:t>
      </w:r>
      <w:r w:rsidRPr="00A71C14">
        <w:t xml:space="preserve">The introduction of a stakeholder engagement plan would ensure that best practice is shared throughout the team (for example, the air conditioning industry noted their positive experiences), whilst allowing flexibility to tailor the approach to the industry circumstances. </w:t>
      </w:r>
      <w:r w:rsidR="00043EA8">
        <w:t xml:space="preserve"> </w:t>
      </w:r>
      <w:r w:rsidRPr="00A71C14">
        <w:t>This would contribute to accelerating the RIS process, as any potential difficulties wou</w:t>
      </w:r>
      <w:r w:rsidR="005E70D9">
        <w:t xml:space="preserve">ld already have been explored. </w:t>
      </w:r>
    </w:p>
    <w:p w14:paraId="75C162C8" w14:textId="77777777" w:rsidR="00320022" w:rsidRDefault="00320022" w:rsidP="0096256F">
      <w:pPr>
        <w:spacing w:after="0"/>
      </w:pPr>
    </w:p>
    <w:p w14:paraId="16F791D0" w14:textId="77777777" w:rsidR="00320022" w:rsidRDefault="00320022" w:rsidP="0096256F">
      <w:pPr>
        <w:spacing w:after="0"/>
      </w:pPr>
    </w:p>
    <w:p w14:paraId="32A1957B" w14:textId="77777777" w:rsidR="00320022" w:rsidRPr="005E70D9" w:rsidRDefault="00320022" w:rsidP="0096256F">
      <w:pPr>
        <w:spacing w:after="0"/>
      </w:pPr>
    </w:p>
    <w:p w14:paraId="7BF05D02" w14:textId="77777777" w:rsidR="000165D6" w:rsidRPr="002A1F99" w:rsidRDefault="000165D6" w:rsidP="005E70D9">
      <w:pPr>
        <w:pStyle w:val="Heading3"/>
      </w:pPr>
      <w:bookmarkStart w:id="115" w:name="_Toc422298416"/>
      <w:r w:rsidRPr="002A1F99">
        <w:lastRenderedPageBreak/>
        <w:t xml:space="preserve">Opportunities to </w:t>
      </w:r>
      <w:r w:rsidR="000078B2">
        <w:t>improve outcomes</w:t>
      </w:r>
      <w:bookmarkEnd w:id="115"/>
    </w:p>
    <w:p w14:paraId="4F2D00F3" w14:textId="77777777" w:rsidR="00E03F8F" w:rsidRDefault="00E03F8F" w:rsidP="006649F2">
      <w:pPr>
        <w:numPr>
          <w:ilvl w:val="3"/>
          <w:numId w:val="73"/>
        </w:numPr>
        <w:spacing w:after="0"/>
        <w:ind w:left="426"/>
        <w:rPr>
          <w:u w:val="single"/>
        </w:rPr>
      </w:pPr>
      <w:r w:rsidRPr="00997283">
        <w:rPr>
          <w:u w:val="single"/>
        </w:rPr>
        <w:t>Communication with stakeholders</w:t>
      </w:r>
      <w:r>
        <w:rPr>
          <w:u w:val="single"/>
        </w:rPr>
        <w:t xml:space="preserve"> and strategic planning</w:t>
      </w:r>
    </w:p>
    <w:p w14:paraId="0C8A416C" w14:textId="77777777" w:rsidR="00E03F8F" w:rsidRDefault="00E03F8F" w:rsidP="00E03F8F">
      <w:pPr>
        <w:spacing w:after="0"/>
      </w:pPr>
    </w:p>
    <w:p w14:paraId="2EFC893A" w14:textId="77777777" w:rsidR="00E03F8F" w:rsidRDefault="00E03F8F" w:rsidP="006649F2">
      <w:pPr>
        <w:pStyle w:val="ListParagraph"/>
        <w:numPr>
          <w:ilvl w:val="1"/>
          <w:numId w:val="66"/>
        </w:numPr>
        <w:tabs>
          <w:tab w:val="left" w:pos="851"/>
        </w:tabs>
        <w:spacing w:after="0"/>
        <w:ind w:left="851"/>
      </w:pPr>
      <w:r>
        <w:t xml:space="preserve">Stakeholders reported </w:t>
      </w:r>
      <w:r w:rsidRPr="00A71C14">
        <w:t>mixed experiences of communication with DoI</w:t>
      </w:r>
      <w:r>
        <w:t xml:space="preserve">S, an element of which included a lack of understanding and engagement on the strategic direction of the program.  </w:t>
      </w:r>
      <w:r w:rsidRPr="00A71C14">
        <w:t xml:space="preserve">The introduction of </w:t>
      </w:r>
      <w:r>
        <w:t xml:space="preserve">three year strategic planning and </w:t>
      </w:r>
      <w:r w:rsidRPr="00A71C14">
        <w:t xml:space="preserve">a stakeholder engagement plan </w:t>
      </w:r>
      <w:r>
        <w:t>sh</w:t>
      </w:r>
      <w:r w:rsidRPr="00A71C14">
        <w:t xml:space="preserve">ould </w:t>
      </w:r>
      <w:r>
        <w:t>help improve this.  Improved stakeholder awareness, understanding and ability to influence the direction of the program at an early stage would bring a number of potential benefits, such as accelerating RIS processes</w:t>
      </w:r>
      <w:r w:rsidRPr="00A71C14">
        <w:t>, as any potential difficulties wou</w:t>
      </w:r>
      <w:r>
        <w:t xml:space="preserve">ld already have been explored prior to it starting.  </w:t>
      </w:r>
    </w:p>
    <w:p w14:paraId="29294A5E" w14:textId="77777777" w:rsidR="00E03F8F" w:rsidRDefault="00E03F8F" w:rsidP="00997283">
      <w:pPr>
        <w:pStyle w:val="ListParagraph"/>
        <w:tabs>
          <w:tab w:val="left" w:pos="851"/>
        </w:tabs>
        <w:spacing w:after="0"/>
        <w:ind w:left="851"/>
      </w:pPr>
    </w:p>
    <w:p w14:paraId="3016B8E3" w14:textId="77777777" w:rsidR="00E03F8F" w:rsidRDefault="00E03F8F" w:rsidP="006649F2">
      <w:pPr>
        <w:pStyle w:val="ListParagraph"/>
        <w:numPr>
          <w:ilvl w:val="1"/>
          <w:numId w:val="66"/>
        </w:numPr>
        <w:tabs>
          <w:tab w:val="left" w:pos="851"/>
        </w:tabs>
        <w:spacing w:after="0"/>
        <w:ind w:left="851"/>
      </w:pPr>
      <w:r>
        <w:t>The input of consumer and environmental groups could be improved.  Input from</w:t>
      </w:r>
      <w:r w:rsidRPr="00A71C14">
        <w:t xml:space="preserve"> consumer and environmental representatives was identified as essential in ensuring that GEMS reflects the full range of views on product energy efficiency. </w:t>
      </w:r>
      <w:r w:rsidR="00043EA8">
        <w:t xml:space="preserve"> </w:t>
      </w:r>
      <w:r w:rsidRPr="00A71C14">
        <w:t xml:space="preserve">Funding and resources are key barriers to participation for these organisations, particularly as the scheme is complex and requires them to keep abreast of many technical issues and documents in order to effectively represent their members’ views. </w:t>
      </w:r>
      <w:r w:rsidR="00043EA8">
        <w:t xml:space="preserve"> </w:t>
      </w:r>
      <w:r w:rsidRPr="00A71C14">
        <w:t>The Consumer Advocacy Panel</w:t>
      </w:r>
      <w:r w:rsidRPr="00A71C14">
        <w:rPr>
          <w:rStyle w:val="FootnoteReference"/>
        </w:rPr>
        <w:footnoteReference w:id="169"/>
      </w:r>
      <w:r w:rsidRPr="00A71C14">
        <w:t xml:space="preserve"> was highlighted as an organisation that is supporting the input of NGOs well, by providing resources for participation and grants for research. </w:t>
      </w:r>
      <w:r w:rsidR="00043EA8">
        <w:t xml:space="preserve"> </w:t>
      </w:r>
      <w:r w:rsidRPr="00A71C14">
        <w:t xml:space="preserve">As well as a role in informing the current impact and future development of GEMS, there could be a role for consumer organisations to disseminate information and educate consumers. </w:t>
      </w:r>
      <w:r w:rsidR="00043EA8">
        <w:t xml:space="preserve"> </w:t>
      </w:r>
      <w:r w:rsidRPr="00A71C14">
        <w:t>This provides a less intensive commitment for organisations whose main focus is not energy efficiency, but could enable DoI</w:t>
      </w:r>
      <w:r>
        <w:t>S</w:t>
      </w:r>
      <w:r w:rsidRPr="00A71C14">
        <w:t xml:space="preserve"> to reach specific audiences and especially those less likely to access the Energy Rating website (e.g. low income households, seniors, non-English-speaking communities).</w:t>
      </w:r>
    </w:p>
    <w:p w14:paraId="72BFB3E7" w14:textId="77777777" w:rsidR="00E03F8F" w:rsidRDefault="00E03F8F" w:rsidP="00E03F8F">
      <w:pPr>
        <w:spacing w:after="0"/>
        <w:rPr>
          <w:u w:val="single"/>
        </w:rPr>
      </w:pPr>
    </w:p>
    <w:p w14:paraId="3F65A426" w14:textId="77777777" w:rsidR="00E03F8F" w:rsidRPr="005C33B9" w:rsidRDefault="00E03F8F" w:rsidP="006649F2">
      <w:pPr>
        <w:numPr>
          <w:ilvl w:val="3"/>
          <w:numId w:val="73"/>
        </w:numPr>
        <w:spacing w:after="0"/>
        <w:ind w:left="426"/>
        <w:rPr>
          <w:u w:val="single"/>
        </w:rPr>
      </w:pPr>
      <w:r>
        <w:rPr>
          <w:u w:val="single"/>
        </w:rPr>
        <w:t>Compliance</w:t>
      </w:r>
    </w:p>
    <w:p w14:paraId="395709C4" w14:textId="77777777" w:rsidR="00E03F8F" w:rsidRDefault="00E03F8F" w:rsidP="000165D6">
      <w:pPr>
        <w:spacing w:after="0"/>
        <w:rPr>
          <w:u w:val="single"/>
        </w:rPr>
      </w:pPr>
    </w:p>
    <w:p w14:paraId="5B1E7460" w14:textId="77777777" w:rsidR="009E71A3" w:rsidRDefault="000165D6" w:rsidP="000165D6">
      <w:pPr>
        <w:spacing w:after="0"/>
      </w:pPr>
      <w:r>
        <w:t>The</w:t>
      </w:r>
      <w:r w:rsidR="005900A7">
        <w:t>re is a perception that the</w:t>
      </w:r>
      <w:r>
        <w:t xml:space="preserve"> amount of check-testing </w:t>
      </w:r>
      <w:r w:rsidR="005900A7">
        <w:t xml:space="preserve">and compliance monitoring of sales outlets has been </w:t>
      </w:r>
      <w:r>
        <w:t>lower under GEMS than has been undertaken previously</w:t>
      </w:r>
      <w:r w:rsidR="009E71A3">
        <w:t xml:space="preserve"> (although DoIS records show that check testing levels have remained similar pre and post implementation of GEMS).  </w:t>
      </w:r>
    </w:p>
    <w:p w14:paraId="3A636E5A" w14:textId="77777777" w:rsidR="000165D6" w:rsidRDefault="000165D6" w:rsidP="000165D6">
      <w:pPr>
        <w:spacing w:after="0"/>
      </w:pPr>
    </w:p>
    <w:p w14:paraId="138D469E" w14:textId="77777777" w:rsidR="000165D6" w:rsidRDefault="000165D6" w:rsidP="000165D6">
      <w:pPr>
        <w:spacing w:after="0"/>
      </w:pPr>
      <w:r w:rsidRPr="00A71C14">
        <w:t xml:space="preserve">In order to act as an effective deterrent to non-compliance and to foster trust in GEMS, </w:t>
      </w:r>
      <w:r>
        <w:t xml:space="preserve">registration and labelling surveys, </w:t>
      </w:r>
      <w:r w:rsidRPr="00A71C14">
        <w:t>testing activity and the penalties imposed for violations need to be more visible</w:t>
      </w:r>
      <w:r w:rsidRPr="00A71C14">
        <w:rPr>
          <w:rStyle w:val="FootnoteReference"/>
        </w:rPr>
        <w:footnoteReference w:id="170"/>
      </w:r>
      <w:r w:rsidRPr="00A71C14">
        <w:t xml:space="preserve">. </w:t>
      </w:r>
      <w:r w:rsidR="00043EA8">
        <w:t xml:space="preserve"> </w:t>
      </w:r>
      <w:r w:rsidRPr="00A71C14">
        <w:t>Publicising this information more widely</w:t>
      </w:r>
      <w:r w:rsidRPr="00A71C14">
        <w:rPr>
          <w:rStyle w:val="FootnoteReference"/>
        </w:rPr>
        <w:footnoteReference w:id="171"/>
      </w:r>
      <w:r w:rsidRPr="00A71C14">
        <w:t xml:space="preserve"> (e.g. through the relevant industry bodies or publications) would also reassure the majority of non-</w:t>
      </w:r>
      <w:r w:rsidR="00855F13">
        <w:t>g</w:t>
      </w:r>
      <w:r>
        <w:t>overnment</w:t>
      </w:r>
      <w:r w:rsidRPr="00A71C14">
        <w:t xml:space="preserve"> respondents who were unclear on the amount of compliance activity DoI</w:t>
      </w:r>
      <w:r w:rsidR="00C70DE9">
        <w:t>S</w:t>
      </w:r>
      <w:r w:rsidRPr="00A71C14">
        <w:t xml:space="preserve"> undertakes and the many who were concerned about ‘cowboy’ operators.</w:t>
      </w:r>
    </w:p>
    <w:p w14:paraId="2DDADFA9" w14:textId="77777777" w:rsidR="000165D6" w:rsidRPr="00A71C14" w:rsidRDefault="000165D6" w:rsidP="000165D6">
      <w:pPr>
        <w:spacing w:after="0"/>
      </w:pPr>
    </w:p>
    <w:p w14:paraId="40C31C14" w14:textId="77777777" w:rsidR="000165D6" w:rsidRPr="00A71C14" w:rsidRDefault="000165D6" w:rsidP="000165D6">
      <w:pPr>
        <w:spacing w:after="0"/>
      </w:pPr>
      <w:r w:rsidRPr="00A71C14">
        <w:t xml:space="preserve">Both </w:t>
      </w:r>
      <w:r w:rsidR="00043EA8">
        <w:t>g</w:t>
      </w:r>
      <w:r>
        <w:t>overnment</w:t>
      </w:r>
      <w:r w:rsidRPr="00A71C14">
        <w:t xml:space="preserve"> and industry respondents suggested </w:t>
      </w:r>
      <w:r>
        <w:t xml:space="preserve">there are </w:t>
      </w:r>
      <w:r w:rsidRPr="00A71C14">
        <w:t>opportunities to further target check-testing in areas at risk of non-compliance.</w:t>
      </w:r>
      <w:r w:rsidR="00043EA8">
        <w:t xml:space="preserve"> </w:t>
      </w:r>
      <w:r w:rsidRPr="00A71C14">
        <w:t xml:space="preserve"> </w:t>
      </w:r>
      <w:r>
        <w:t xml:space="preserve">The </w:t>
      </w:r>
      <w:r w:rsidR="006A3ADD">
        <w:t>D</w:t>
      </w:r>
      <w:r>
        <w:t xml:space="preserve">epartment could emphasise the role of </w:t>
      </w:r>
      <w:r>
        <w:lastRenderedPageBreak/>
        <w:t>industry in highlighting non-compliance, providing safeguards are in place to ensure this doesn’t provide an avenue to unfairly target competitors.</w:t>
      </w:r>
      <w:r w:rsidR="00043EA8">
        <w:t xml:space="preserve"> </w:t>
      </w:r>
      <w:r>
        <w:t xml:space="preserve"> </w:t>
      </w:r>
      <w:r w:rsidR="007C5973">
        <w:t>Stakeholders suggested that, i</w:t>
      </w:r>
      <w:r>
        <w:t xml:space="preserve">n order to ensure increased compliance activity remains affordable, </w:t>
      </w:r>
      <w:r w:rsidR="00FB6A96">
        <w:t xml:space="preserve">the </w:t>
      </w:r>
      <w:r w:rsidR="004D32B9">
        <w:t>GEMS Regulator</w:t>
      </w:r>
      <w:r w:rsidR="00FB6A96">
        <w:t xml:space="preserve"> </w:t>
      </w:r>
      <w:r>
        <w:t xml:space="preserve">could consider putting the initial onus of proof on the party alleged to be in breach of the regulations and encouraging remediation action. </w:t>
      </w:r>
      <w:r w:rsidR="00043EA8">
        <w:t xml:space="preserve"> </w:t>
      </w:r>
      <w:r w:rsidR="007C5973">
        <w:t>However, t</w:t>
      </w:r>
      <w:r w:rsidR="007B3E39">
        <w:t>his could be</w:t>
      </w:r>
      <w:r w:rsidR="00434162">
        <w:t xml:space="preserve"> problematic, as </w:t>
      </w:r>
      <w:r w:rsidR="007B3E39">
        <w:t xml:space="preserve">presumably </w:t>
      </w:r>
      <w:r w:rsidR="00434162">
        <w:t>the Regulator would have first had to check test the products and found potential non-compliance.  In any case</w:t>
      </w:r>
      <w:r>
        <w:t>, it is important to ensure the full range of enforcement action is available (from informal advice to prosecution) to maintain effective sanctions</w:t>
      </w:r>
      <w:r w:rsidRPr="00A71C14">
        <w:rPr>
          <w:rStyle w:val="FootnoteReference"/>
        </w:rPr>
        <w:footnoteReference w:id="172"/>
      </w:r>
      <w:r>
        <w:t xml:space="preserve">. </w:t>
      </w:r>
    </w:p>
    <w:p w14:paraId="18190243" w14:textId="77777777" w:rsidR="006015A1" w:rsidRDefault="006015A1" w:rsidP="002A1F99">
      <w:pPr>
        <w:pStyle w:val="Heading3"/>
      </w:pPr>
      <w:bookmarkStart w:id="116" w:name="_Toc422298417"/>
      <w:r>
        <w:t>Recommendations</w:t>
      </w:r>
      <w:bookmarkEnd w:id="116"/>
    </w:p>
    <w:p w14:paraId="12787366" w14:textId="77777777" w:rsidR="00AA50D4" w:rsidRPr="00AA50D4" w:rsidRDefault="00AA50D4" w:rsidP="00AA50D4">
      <w:pPr>
        <w:spacing w:after="0"/>
        <w:ind w:left="284"/>
      </w:pPr>
    </w:p>
    <w:p w14:paraId="31EFC63B" w14:textId="77777777" w:rsidR="001C1AB4" w:rsidRDefault="001C1AB4" w:rsidP="00D569C4">
      <w:pPr>
        <w:numPr>
          <w:ilvl w:val="0"/>
          <w:numId w:val="85"/>
        </w:numPr>
        <w:spacing w:after="0"/>
        <w:ind w:left="426"/>
      </w:pPr>
      <w:r w:rsidRPr="005D3ACB">
        <w:rPr>
          <w:u w:val="single"/>
        </w:rPr>
        <w:t>Compliance and enforcement</w:t>
      </w:r>
      <w:r>
        <w:t xml:space="preserve"> - Delivering compliance and enforcement effectively should remain a top priority.  </w:t>
      </w:r>
    </w:p>
    <w:p w14:paraId="5694856C" w14:textId="77777777" w:rsidR="001C1AB4" w:rsidRDefault="001C1AB4" w:rsidP="001C1AB4">
      <w:pPr>
        <w:spacing w:after="0"/>
        <w:ind w:left="284"/>
      </w:pPr>
    </w:p>
    <w:p w14:paraId="1ACF5EB9" w14:textId="77777777" w:rsidR="00AA50D4" w:rsidRDefault="007374AB" w:rsidP="00D569C4">
      <w:pPr>
        <w:numPr>
          <w:ilvl w:val="0"/>
          <w:numId w:val="85"/>
        </w:numPr>
        <w:spacing w:after="0"/>
        <w:ind w:left="426"/>
      </w:pPr>
      <w:r>
        <w:rPr>
          <w:u w:val="single"/>
        </w:rPr>
        <w:t>Strategic planning</w:t>
      </w:r>
      <w:r w:rsidR="006015A1" w:rsidRPr="00CA732E">
        <w:t xml:space="preserve"> – the </w:t>
      </w:r>
      <w:r w:rsidR="00434162">
        <w:t xml:space="preserve">E3 Committee </w:t>
      </w:r>
      <w:r w:rsidR="006015A1" w:rsidRPr="00CA732E">
        <w:t xml:space="preserve">should continue its efforts to extend and formalise </w:t>
      </w:r>
      <w:r>
        <w:t xml:space="preserve">strategic </w:t>
      </w:r>
      <w:r w:rsidR="006015A1" w:rsidRPr="00CA732E">
        <w:t xml:space="preserve">planning for GEMS, </w:t>
      </w:r>
      <w:r w:rsidR="0000725F">
        <w:t>considering</w:t>
      </w:r>
      <w:r w:rsidR="0000725F" w:rsidRPr="00CA732E">
        <w:t xml:space="preserve"> </w:t>
      </w:r>
      <w:r w:rsidR="006015A1" w:rsidRPr="00CA732E">
        <w:t xml:space="preserve">the best practice examples of the US and EU programs. </w:t>
      </w:r>
      <w:r w:rsidR="00043EA8">
        <w:t xml:space="preserve"> </w:t>
      </w:r>
      <w:r w:rsidR="006015A1" w:rsidRPr="00CA732E">
        <w:t xml:space="preserve">This could include making strategic planning a formal part of the process through the </w:t>
      </w:r>
      <w:r w:rsidR="0000725F">
        <w:t>Act or as part of the E3 policy approach</w:t>
      </w:r>
      <w:r w:rsidR="006015A1" w:rsidRPr="00CA732E">
        <w:t>.</w:t>
      </w:r>
    </w:p>
    <w:p w14:paraId="2071948F" w14:textId="77777777" w:rsidR="005D3ACB" w:rsidRPr="005D3ACB" w:rsidRDefault="005D3ACB" w:rsidP="005D3ACB">
      <w:pPr>
        <w:spacing w:after="0"/>
        <w:ind w:left="284"/>
      </w:pPr>
    </w:p>
    <w:p w14:paraId="405CF203" w14:textId="77777777" w:rsidR="00AA50D4" w:rsidRDefault="007374AB" w:rsidP="00D569C4">
      <w:pPr>
        <w:numPr>
          <w:ilvl w:val="0"/>
          <w:numId w:val="85"/>
        </w:numPr>
        <w:spacing w:after="0"/>
        <w:ind w:left="426"/>
      </w:pPr>
      <w:r w:rsidRPr="00AA50D4">
        <w:rPr>
          <w:u w:val="single"/>
        </w:rPr>
        <w:t>GEMS determinations</w:t>
      </w:r>
      <w:r>
        <w:t xml:space="preserve"> </w:t>
      </w:r>
      <w:r w:rsidR="006015A1" w:rsidRPr="00CA732E">
        <w:t>–</w:t>
      </w:r>
      <w:r w:rsidR="00B87B44">
        <w:t xml:space="preserve"> </w:t>
      </w:r>
      <w:r w:rsidR="006015A1" w:rsidRPr="00CA732E">
        <w:t xml:space="preserve">the </w:t>
      </w:r>
      <w:r w:rsidR="006015A1">
        <w:t xml:space="preserve">overall </w:t>
      </w:r>
      <w:r w:rsidR="001D5A82">
        <w:t>GEMS determination</w:t>
      </w:r>
      <w:r w:rsidR="00EF4631" w:rsidRPr="00EF4631">
        <w:t xml:space="preserve"> </w:t>
      </w:r>
      <w:r w:rsidR="00EF4631" w:rsidRPr="00CA732E">
        <w:t xml:space="preserve">process </w:t>
      </w:r>
      <w:r w:rsidR="006015A1">
        <w:t>should be maintained</w:t>
      </w:r>
      <w:r>
        <w:t xml:space="preserve"> and opportunities for improvements identified within the review explored, in particular those which will improve stakeholder consultation and expedite development timescales.  Any improvements should be balanced with practical constraints such as time and costs.</w:t>
      </w:r>
    </w:p>
    <w:p w14:paraId="48BD428B" w14:textId="77777777" w:rsidR="00AA50D4" w:rsidRPr="00AA50D4" w:rsidRDefault="00AA50D4" w:rsidP="00AA50D4">
      <w:pPr>
        <w:spacing w:after="0"/>
        <w:ind w:left="284"/>
      </w:pPr>
    </w:p>
    <w:p w14:paraId="1FAEA617" w14:textId="77777777" w:rsidR="006015A1" w:rsidRPr="007A4D50" w:rsidRDefault="00B87B44" w:rsidP="00D569C4">
      <w:pPr>
        <w:numPr>
          <w:ilvl w:val="0"/>
          <w:numId w:val="85"/>
        </w:numPr>
        <w:spacing w:after="0"/>
        <w:ind w:left="426"/>
      </w:pPr>
      <w:r w:rsidRPr="007A4D50">
        <w:rPr>
          <w:u w:val="single"/>
        </w:rPr>
        <w:t xml:space="preserve">Registration </w:t>
      </w:r>
      <w:r w:rsidRPr="007A4D50">
        <w:t xml:space="preserve">- </w:t>
      </w:r>
      <w:r w:rsidR="005D3ACB" w:rsidRPr="007A4D50">
        <w:t xml:space="preserve">practical issues with registration should be addressed as a priority to reduce administrative burden.  A reduction in registration fees could also be considered.  </w:t>
      </w:r>
    </w:p>
    <w:p w14:paraId="0A2680CC" w14:textId="77777777" w:rsidR="001C1AB4" w:rsidRDefault="001C1AB4" w:rsidP="001C1AB4">
      <w:pPr>
        <w:spacing w:after="0"/>
        <w:ind w:left="284"/>
      </w:pPr>
    </w:p>
    <w:p w14:paraId="0227CDAE" w14:textId="77777777" w:rsidR="00F051D8" w:rsidRPr="00F051D8" w:rsidRDefault="00F051D8" w:rsidP="00F051D8">
      <w:pPr>
        <w:numPr>
          <w:ilvl w:val="0"/>
          <w:numId w:val="85"/>
        </w:numPr>
        <w:spacing w:after="0"/>
        <w:ind w:left="426"/>
        <w:rPr>
          <w:u w:val="single"/>
        </w:rPr>
      </w:pPr>
      <w:r w:rsidRPr="00F051D8">
        <w:t>Program oversight</w:t>
      </w:r>
      <w:r>
        <w:rPr>
          <w:u w:val="single"/>
        </w:rPr>
        <w:t xml:space="preserve"> – </w:t>
      </w:r>
      <w:r w:rsidRPr="00F051D8">
        <w:rPr>
          <w:u w:val="single"/>
        </w:rPr>
        <w:t>the E3 Committee hold teleconferences once every two months to review progress with work plan activities.</w:t>
      </w:r>
    </w:p>
    <w:p w14:paraId="4C0A4F32" w14:textId="77777777" w:rsidR="00F051D8" w:rsidRPr="001C1AB4" w:rsidRDefault="00F051D8" w:rsidP="001C1AB4">
      <w:pPr>
        <w:spacing w:after="0"/>
        <w:ind w:left="284"/>
      </w:pPr>
    </w:p>
    <w:p w14:paraId="428D19D7" w14:textId="77777777" w:rsidR="005D3ACB" w:rsidRPr="005D3ACB" w:rsidRDefault="005D3ACB" w:rsidP="00D569C4">
      <w:pPr>
        <w:numPr>
          <w:ilvl w:val="0"/>
          <w:numId w:val="85"/>
        </w:numPr>
        <w:spacing w:after="0"/>
        <w:ind w:left="426"/>
      </w:pPr>
      <w:r w:rsidRPr="001C1AB4">
        <w:rPr>
          <w:u w:val="single"/>
        </w:rPr>
        <w:t>Other policy initiatives</w:t>
      </w:r>
      <w:r w:rsidRPr="005D3ACB">
        <w:t xml:space="preserve"> – such as climate labelling, the website and </w:t>
      </w:r>
      <w:r w:rsidR="00855F13">
        <w:t>App</w:t>
      </w:r>
      <w:r w:rsidRPr="005D3ACB">
        <w:t xml:space="preserve"> should continue to be developed</w:t>
      </w:r>
      <w:r w:rsidR="00237842">
        <w:t xml:space="preserve"> and implemented as soon as possible</w:t>
      </w:r>
      <w:r w:rsidRPr="005D3ACB">
        <w:t>.</w:t>
      </w:r>
    </w:p>
    <w:p w14:paraId="3A25346F" w14:textId="77777777" w:rsidR="00294374" w:rsidRDefault="00294374" w:rsidP="009F4031">
      <w:pPr>
        <w:rPr>
          <w:color w:val="4F81BD"/>
        </w:rPr>
      </w:pPr>
    </w:p>
    <w:p w14:paraId="40594C4F" w14:textId="77777777" w:rsidR="003051A4" w:rsidRPr="006468DE" w:rsidRDefault="003051A4" w:rsidP="000165D6">
      <w:pPr>
        <w:pStyle w:val="Heading2"/>
      </w:pPr>
      <w:bookmarkStart w:id="117" w:name="_Ref409337798"/>
      <w:bookmarkStart w:id="118" w:name="_Toc422298418"/>
      <w:r w:rsidRPr="006468DE">
        <w:t>Funding</w:t>
      </w:r>
      <w:bookmarkEnd w:id="117"/>
      <w:bookmarkEnd w:id="118"/>
      <w:r w:rsidRPr="006468DE">
        <w:t xml:space="preserve"> </w:t>
      </w:r>
    </w:p>
    <w:p w14:paraId="3CD13F34" w14:textId="77777777" w:rsidR="00A47802" w:rsidRPr="006468DE" w:rsidRDefault="00A47802" w:rsidP="009F4031">
      <w:pPr>
        <w:spacing w:after="0"/>
        <w:rPr>
          <w:i/>
          <w:color w:val="4F81BD"/>
        </w:rPr>
      </w:pPr>
    </w:p>
    <w:p w14:paraId="427272D3" w14:textId="77777777" w:rsidR="00C02975" w:rsidRPr="00413102" w:rsidRDefault="00C02975" w:rsidP="00C02975">
      <w:pPr>
        <w:pStyle w:val="ColorfulList-Accent12"/>
        <w:ind w:left="0"/>
        <w:rPr>
          <w:lang w:eastAsia="x-none"/>
        </w:rPr>
      </w:pPr>
      <w:r w:rsidRPr="006468DE">
        <w:rPr>
          <w:lang w:eastAsia="x-none"/>
        </w:rPr>
        <w:t xml:space="preserve">The current funding arrangement for the program operates under the IGA and is described in section </w:t>
      </w:r>
      <w:r w:rsidRPr="006468DE">
        <w:rPr>
          <w:lang w:eastAsia="x-none"/>
        </w:rPr>
        <w:fldChar w:fldCharType="begin"/>
      </w:r>
      <w:r w:rsidRPr="006468DE">
        <w:rPr>
          <w:lang w:eastAsia="x-none"/>
        </w:rPr>
        <w:instrText xml:space="preserve"> REF _Ref409255108 \r \h </w:instrText>
      </w:r>
      <w:r w:rsidR="00413102" w:rsidRPr="006468DE">
        <w:rPr>
          <w:lang w:eastAsia="x-none"/>
        </w:rPr>
        <w:instrText xml:space="preserve"> \* MERGEFORMAT </w:instrText>
      </w:r>
      <w:r w:rsidRPr="006468DE">
        <w:rPr>
          <w:lang w:eastAsia="x-none"/>
        </w:rPr>
      </w:r>
      <w:r w:rsidRPr="006468DE">
        <w:rPr>
          <w:lang w:eastAsia="x-none"/>
        </w:rPr>
        <w:fldChar w:fldCharType="separate"/>
      </w:r>
      <w:r w:rsidR="00BE13BF">
        <w:rPr>
          <w:lang w:eastAsia="x-none"/>
        </w:rPr>
        <w:t>3.1.3</w:t>
      </w:r>
      <w:r w:rsidRPr="006468DE">
        <w:rPr>
          <w:lang w:eastAsia="x-none"/>
        </w:rPr>
        <w:fldChar w:fldCharType="end"/>
      </w:r>
      <w:r w:rsidRPr="006468DE">
        <w:rPr>
          <w:lang w:eastAsia="x-none"/>
        </w:rPr>
        <w:t>.  The importance</w:t>
      </w:r>
      <w:r w:rsidRPr="00413102">
        <w:rPr>
          <w:lang w:eastAsia="x-none"/>
        </w:rPr>
        <w:t xml:space="preserve"> of funding and resources to the success or failure of standards and labelling programs is well documented in the evidence and best practice guidance</w:t>
      </w:r>
      <w:r w:rsidR="009F0CF6">
        <w:rPr>
          <w:lang w:eastAsia="x-none"/>
        </w:rPr>
        <w:t xml:space="preserve"> discussed in the sections above</w:t>
      </w:r>
      <w:r w:rsidRPr="00413102">
        <w:rPr>
          <w:lang w:eastAsia="x-none"/>
        </w:rPr>
        <w:t xml:space="preserve">.  </w:t>
      </w:r>
    </w:p>
    <w:p w14:paraId="3BABE6B0" w14:textId="77777777" w:rsidR="00C02975" w:rsidRDefault="00C02975" w:rsidP="00C02975">
      <w:pPr>
        <w:pStyle w:val="ColorfulList-Accent12"/>
        <w:ind w:left="0"/>
        <w:rPr>
          <w:color w:val="4F81BD"/>
          <w:lang w:eastAsia="x-none"/>
        </w:rPr>
      </w:pPr>
    </w:p>
    <w:p w14:paraId="4CBDC634" w14:textId="77777777" w:rsidR="00320022" w:rsidRDefault="00320022" w:rsidP="00C02975">
      <w:pPr>
        <w:pStyle w:val="ColorfulList-Accent12"/>
        <w:ind w:left="0"/>
        <w:rPr>
          <w:lang w:eastAsia="x-none"/>
        </w:rPr>
      </w:pPr>
    </w:p>
    <w:p w14:paraId="276991AF" w14:textId="77777777" w:rsidR="00320022" w:rsidRDefault="00320022" w:rsidP="00C02975">
      <w:pPr>
        <w:pStyle w:val="ColorfulList-Accent12"/>
        <w:ind w:left="0"/>
        <w:rPr>
          <w:lang w:eastAsia="x-none"/>
        </w:rPr>
      </w:pPr>
    </w:p>
    <w:p w14:paraId="1806A36B" w14:textId="77777777" w:rsidR="00393EE4" w:rsidRPr="00413102" w:rsidRDefault="00393EE4" w:rsidP="00C02975">
      <w:pPr>
        <w:pStyle w:val="ColorfulList-Accent12"/>
        <w:ind w:left="0"/>
        <w:rPr>
          <w:lang w:eastAsia="x-none"/>
        </w:rPr>
      </w:pPr>
      <w:r w:rsidRPr="00413102">
        <w:rPr>
          <w:lang w:eastAsia="x-none"/>
        </w:rPr>
        <w:lastRenderedPageBreak/>
        <w:t>There are two main areas which can be explored</w:t>
      </w:r>
      <w:r w:rsidR="009F0CF6">
        <w:rPr>
          <w:lang w:eastAsia="x-none"/>
        </w:rPr>
        <w:t xml:space="preserve"> with regards to funding models</w:t>
      </w:r>
    </w:p>
    <w:p w14:paraId="51B8063A" w14:textId="77777777" w:rsidR="00413102" w:rsidRPr="00413102" w:rsidRDefault="00C02975" w:rsidP="00320FDC">
      <w:pPr>
        <w:pStyle w:val="ColorfulList-Accent12"/>
        <w:numPr>
          <w:ilvl w:val="0"/>
          <w:numId w:val="49"/>
        </w:numPr>
        <w:ind w:left="426"/>
        <w:rPr>
          <w:lang w:eastAsia="x-none"/>
        </w:rPr>
      </w:pPr>
      <w:r w:rsidRPr="00500E41">
        <w:rPr>
          <w:b/>
          <w:lang w:eastAsia="x-none"/>
        </w:rPr>
        <w:t>C</w:t>
      </w:r>
      <w:r w:rsidR="00413102" w:rsidRPr="00500E41">
        <w:rPr>
          <w:b/>
          <w:lang w:eastAsia="x-none"/>
        </w:rPr>
        <w:t>ost recovery</w:t>
      </w:r>
      <w:r w:rsidR="00413102" w:rsidRPr="00413102">
        <w:rPr>
          <w:lang w:eastAsia="x-none"/>
        </w:rPr>
        <w:t>:  This involves obtaining contributions from regulated parties (i.e. industry) to fund the scheme</w:t>
      </w:r>
      <w:r w:rsidR="00866500">
        <w:rPr>
          <w:lang w:eastAsia="x-none"/>
        </w:rPr>
        <w:t xml:space="preserve"> through registration fees</w:t>
      </w:r>
      <w:r w:rsidR="00413102" w:rsidRPr="00413102">
        <w:rPr>
          <w:lang w:eastAsia="x-none"/>
        </w:rPr>
        <w:t>.  Different models of cost recovery can be explored, including</w:t>
      </w:r>
      <w:r w:rsidR="00FC42E8">
        <w:rPr>
          <w:lang w:eastAsia="x-none"/>
        </w:rPr>
        <w:t>:</w:t>
      </w:r>
    </w:p>
    <w:p w14:paraId="1BD3CE6B" w14:textId="77777777" w:rsidR="00413102" w:rsidRPr="00413102" w:rsidRDefault="00413102" w:rsidP="00320FDC">
      <w:pPr>
        <w:pStyle w:val="ColorfulList-Accent12"/>
        <w:numPr>
          <w:ilvl w:val="1"/>
          <w:numId w:val="49"/>
        </w:numPr>
        <w:ind w:left="851"/>
        <w:rPr>
          <w:lang w:eastAsia="x-none"/>
        </w:rPr>
      </w:pPr>
      <w:r w:rsidRPr="00413102">
        <w:rPr>
          <w:lang w:eastAsia="x-none"/>
        </w:rPr>
        <w:t>Partial cost recovery – where industry funds some elements of the scheme, such as compliance and enforcement activities</w:t>
      </w:r>
      <w:r w:rsidR="00FC42E8">
        <w:rPr>
          <w:lang w:eastAsia="x-none"/>
        </w:rPr>
        <w:t>; and</w:t>
      </w:r>
      <w:r w:rsidRPr="00413102">
        <w:rPr>
          <w:lang w:eastAsia="x-none"/>
        </w:rPr>
        <w:t xml:space="preserve"> </w:t>
      </w:r>
    </w:p>
    <w:p w14:paraId="27A28F34" w14:textId="77777777" w:rsidR="00413102" w:rsidRPr="00413102" w:rsidRDefault="00413102" w:rsidP="00320FDC">
      <w:pPr>
        <w:pStyle w:val="ColorfulList-Accent12"/>
        <w:numPr>
          <w:ilvl w:val="1"/>
          <w:numId w:val="49"/>
        </w:numPr>
        <w:ind w:left="851"/>
        <w:rPr>
          <w:lang w:eastAsia="x-none"/>
        </w:rPr>
      </w:pPr>
      <w:r w:rsidRPr="00413102">
        <w:rPr>
          <w:lang w:eastAsia="x-none"/>
        </w:rPr>
        <w:t xml:space="preserve">Full cost recovery – where all elements of the scheme are funded. </w:t>
      </w:r>
    </w:p>
    <w:p w14:paraId="225C7770" w14:textId="77777777" w:rsidR="00393EE4" w:rsidRPr="00413102" w:rsidRDefault="009F0CF6" w:rsidP="00320FDC">
      <w:pPr>
        <w:pStyle w:val="ColorfulList-Accent12"/>
        <w:numPr>
          <w:ilvl w:val="0"/>
          <w:numId w:val="49"/>
        </w:numPr>
        <w:ind w:left="426"/>
        <w:rPr>
          <w:lang w:eastAsia="x-none"/>
        </w:rPr>
      </w:pPr>
      <w:r>
        <w:rPr>
          <w:b/>
          <w:lang w:eastAsia="x-none"/>
        </w:rPr>
        <w:t>Alternative Government funding options</w:t>
      </w:r>
      <w:r w:rsidR="00500E41">
        <w:rPr>
          <w:lang w:eastAsia="x-none"/>
        </w:rPr>
        <w:t xml:space="preserve">: </w:t>
      </w:r>
      <w:r w:rsidR="00393EE4" w:rsidRPr="00413102">
        <w:rPr>
          <w:lang w:eastAsia="x-none"/>
        </w:rPr>
        <w:t xml:space="preserve"> This is explored in more detail with </w:t>
      </w:r>
      <w:r>
        <w:rPr>
          <w:lang w:eastAsia="x-none"/>
        </w:rPr>
        <w:t xml:space="preserve">Commonwealth </w:t>
      </w:r>
      <w:r w:rsidR="00FC42E8">
        <w:rPr>
          <w:lang w:eastAsia="x-none"/>
        </w:rPr>
        <w:t>and s</w:t>
      </w:r>
      <w:r>
        <w:rPr>
          <w:lang w:eastAsia="x-none"/>
        </w:rPr>
        <w:t xml:space="preserve">tates and </w:t>
      </w:r>
      <w:r w:rsidR="00FC42E8">
        <w:rPr>
          <w:lang w:eastAsia="x-none"/>
        </w:rPr>
        <w:t>t</w:t>
      </w:r>
      <w:r>
        <w:rPr>
          <w:lang w:eastAsia="x-none"/>
        </w:rPr>
        <w:t xml:space="preserve">erritories </w:t>
      </w:r>
      <w:r w:rsidR="00FC42E8">
        <w:rPr>
          <w:lang w:eastAsia="x-none"/>
        </w:rPr>
        <w:t>g</w:t>
      </w:r>
      <w:r>
        <w:rPr>
          <w:lang w:eastAsia="x-none"/>
        </w:rPr>
        <w:t xml:space="preserve">overnment respondents and other stakeholders. </w:t>
      </w:r>
    </w:p>
    <w:p w14:paraId="505ECA58" w14:textId="77777777" w:rsidR="00F50E7E" w:rsidRDefault="00393EE4" w:rsidP="00F50E7E">
      <w:pPr>
        <w:pStyle w:val="Heading3"/>
      </w:pPr>
      <w:bookmarkStart w:id="119" w:name="_Toc422298419"/>
      <w:r w:rsidRPr="00AD5548">
        <w:t>Limitations</w:t>
      </w:r>
      <w:bookmarkEnd w:id="119"/>
    </w:p>
    <w:p w14:paraId="5F8576D2" w14:textId="77777777" w:rsidR="00F50E7E" w:rsidRDefault="00F50E7E" w:rsidP="00F50E7E">
      <w:pPr>
        <w:pStyle w:val="ColorfulList-Accent12"/>
        <w:ind w:left="0"/>
        <w:rPr>
          <w:lang w:eastAsia="x-none"/>
        </w:rPr>
      </w:pPr>
      <w:r>
        <w:rPr>
          <w:lang w:eastAsia="x-none"/>
        </w:rPr>
        <w:t>The following limitations are noteworthy for this element of the review</w:t>
      </w:r>
      <w:r w:rsidR="00043EA8">
        <w:rPr>
          <w:lang w:eastAsia="x-none"/>
        </w:rPr>
        <w:t>:</w:t>
      </w:r>
      <w:r>
        <w:rPr>
          <w:lang w:eastAsia="x-none"/>
        </w:rPr>
        <w:t xml:space="preserve">  </w:t>
      </w:r>
    </w:p>
    <w:p w14:paraId="1E2C42DD" w14:textId="77777777" w:rsidR="00F50E7E" w:rsidRDefault="00F50E7E" w:rsidP="00F50E7E">
      <w:pPr>
        <w:pStyle w:val="ColorfulList-Accent12"/>
        <w:ind w:left="0"/>
        <w:rPr>
          <w:lang w:eastAsia="x-none"/>
        </w:rPr>
      </w:pPr>
    </w:p>
    <w:p w14:paraId="230DD355" w14:textId="77777777" w:rsidR="0051063F" w:rsidRDefault="00F50E7E" w:rsidP="00320FDC">
      <w:pPr>
        <w:pStyle w:val="ColorfulList-Accent12"/>
        <w:numPr>
          <w:ilvl w:val="3"/>
          <w:numId w:val="40"/>
        </w:numPr>
        <w:ind w:left="0"/>
        <w:rPr>
          <w:lang w:eastAsia="x-none"/>
        </w:rPr>
      </w:pPr>
      <w:r w:rsidRPr="006E5038">
        <w:rPr>
          <w:u w:val="single"/>
          <w:lang w:eastAsia="x-none"/>
        </w:rPr>
        <w:t>Reliance on stakeholder views</w:t>
      </w:r>
      <w:r w:rsidRPr="006E5038">
        <w:rPr>
          <w:lang w:eastAsia="x-none"/>
        </w:rPr>
        <w:t xml:space="preserve">:  Whilst some evidence and insight can be drawn from experience of funding of other schemes, the issues are very specific to GEMS </w:t>
      </w:r>
      <w:r w:rsidR="00656B20">
        <w:rPr>
          <w:lang w:eastAsia="x-none"/>
        </w:rPr>
        <w:t xml:space="preserve">and so </w:t>
      </w:r>
      <w:r w:rsidRPr="006E5038">
        <w:rPr>
          <w:lang w:eastAsia="x-none"/>
        </w:rPr>
        <w:t>the exploration of funding models rel</w:t>
      </w:r>
      <w:r w:rsidR="00656B20">
        <w:rPr>
          <w:lang w:eastAsia="x-none"/>
        </w:rPr>
        <w:t>ies</w:t>
      </w:r>
      <w:r w:rsidRPr="006E5038">
        <w:rPr>
          <w:lang w:eastAsia="x-none"/>
        </w:rPr>
        <w:t xml:space="preserve"> </w:t>
      </w:r>
      <w:r w:rsidR="00194F92" w:rsidRPr="006E5038">
        <w:rPr>
          <w:lang w:eastAsia="x-none"/>
        </w:rPr>
        <w:t>heavily</w:t>
      </w:r>
      <w:r w:rsidRPr="006E5038">
        <w:rPr>
          <w:lang w:eastAsia="x-none"/>
        </w:rPr>
        <w:t xml:space="preserve"> on </w:t>
      </w:r>
      <w:r w:rsidR="0051063F">
        <w:rPr>
          <w:lang w:eastAsia="x-none"/>
        </w:rPr>
        <w:t>discussions</w:t>
      </w:r>
      <w:r w:rsidRPr="006E5038">
        <w:rPr>
          <w:lang w:eastAsia="x-none"/>
        </w:rPr>
        <w:t xml:space="preserve"> with stakeholders.  There are risks associated with this as stakeholder responses are limited by their knowledge and awareness, and also have the potential to be affected by bias.  These were mitigated by exploring issues with several different stakeholders</w:t>
      </w:r>
      <w:r w:rsidR="00194F92" w:rsidRPr="006E5038">
        <w:rPr>
          <w:rStyle w:val="FootnoteReference"/>
          <w:lang w:eastAsia="x-none"/>
        </w:rPr>
        <w:footnoteReference w:id="173"/>
      </w:r>
      <w:r w:rsidRPr="006E5038">
        <w:rPr>
          <w:lang w:eastAsia="x-none"/>
        </w:rPr>
        <w:t xml:space="preserve">, however this limitation should be considered alongside any conclusions and recommendations drawn.   </w:t>
      </w:r>
    </w:p>
    <w:p w14:paraId="64711C73" w14:textId="77777777" w:rsidR="0051063F" w:rsidRDefault="0051063F" w:rsidP="0051063F">
      <w:pPr>
        <w:pStyle w:val="ColorfulList-Accent12"/>
        <w:ind w:left="0"/>
        <w:rPr>
          <w:lang w:eastAsia="x-none"/>
        </w:rPr>
      </w:pPr>
    </w:p>
    <w:p w14:paraId="625D46EF" w14:textId="77777777" w:rsidR="00F50E7E" w:rsidRDefault="00194F92" w:rsidP="0051063F">
      <w:pPr>
        <w:pStyle w:val="ColorfulList-Accent12"/>
        <w:ind w:left="0"/>
        <w:rPr>
          <w:lang w:eastAsia="x-none"/>
        </w:rPr>
      </w:pPr>
      <w:r w:rsidRPr="006E5038">
        <w:rPr>
          <w:lang w:eastAsia="x-none"/>
        </w:rPr>
        <w:t xml:space="preserve">One specific limitation of the approach was that whilst a range of </w:t>
      </w:r>
      <w:r w:rsidR="00FC42E8">
        <w:rPr>
          <w:lang w:eastAsia="x-none"/>
        </w:rPr>
        <w:t>s</w:t>
      </w:r>
      <w:r w:rsidRPr="006E5038">
        <w:rPr>
          <w:lang w:eastAsia="x-none"/>
        </w:rPr>
        <w:t xml:space="preserve">tate and </w:t>
      </w:r>
      <w:r w:rsidR="00FC42E8">
        <w:rPr>
          <w:lang w:eastAsia="x-none"/>
        </w:rPr>
        <w:t>t</w:t>
      </w:r>
      <w:r w:rsidRPr="006E5038">
        <w:rPr>
          <w:lang w:eastAsia="x-none"/>
        </w:rPr>
        <w:t xml:space="preserve">erritory </w:t>
      </w:r>
      <w:r w:rsidR="00FC42E8">
        <w:rPr>
          <w:lang w:eastAsia="x-none"/>
        </w:rPr>
        <w:t>g</w:t>
      </w:r>
      <w:r w:rsidRPr="006E5038">
        <w:rPr>
          <w:lang w:eastAsia="x-none"/>
        </w:rPr>
        <w:t xml:space="preserve">overnment representatives were included in the sample, resources only </w:t>
      </w:r>
      <w:r w:rsidR="00C0421B">
        <w:rPr>
          <w:lang w:eastAsia="x-none"/>
        </w:rPr>
        <w:t xml:space="preserve">generally </w:t>
      </w:r>
      <w:r w:rsidRPr="006E5038">
        <w:rPr>
          <w:lang w:eastAsia="x-none"/>
        </w:rPr>
        <w:t xml:space="preserve">allowed for </w:t>
      </w:r>
      <w:r w:rsidR="0051063F">
        <w:rPr>
          <w:lang w:eastAsia="x-none"/>
        </w:rPr>
        <w:t>coverage of</w:t>
      </w:r>
      <w:r w:rsidR="00C50C88">
        <w:rPr>
          <w:lang w:eastAsia="x-none"/>
        </w:rPr>
        <w:t xml:space="preserve"> </w:t>
      </w:r>
      <w:r w:rsidR="00C0421B">
        <w:rPr>
          <w:lang w:eastAsia="x-none"/>
        </w:rPr>
        <w:t>E3 Committee o</w:t>
      </w:r>
      <w:r w:rsidR="00C50C88">
        <w:rPr>
          <w:lang w:eastAsia="x-none"/>
        </w:rPr>
        <w:t>fficials’</w:t>
      </w:r>
      <w:r w:rsidR="0051063F">
        <w:rPr>
          <w:lang w:eastAsia="x-none"/>
        </w:rPr>
        <w:t xml:space="preserve"> views</w:t>
      </w:r>
      <w:r w:rsidRPr="006E5038">
        <w:rPr>
          <w:lang w:eastAsia="x-none"/>
        </w:rPr>
        <w:t xml:space="preserve">.  </w:t>
      </w:r>
      <w:r w:rsidR="00C0421B">
        <w:rPr>
          <w:lang w:eastAsia="x-none"/>
        </w:rPr>
        <w:t>It was not possible to seek the views of all government agencies in all jurisdictions involved in decisions on the program.</w:t>
      </w:r>
      <w:r w:rsidRPr="006E5038">
        <w:rPr>
          <w:lang w:eastAsia="x-none"/>
        </w:rPr>
        <w:t xml:space="preserve"> </w:t>
      </w:r>
      <w:r w:rsidR="008F36B4">
        <w:rPr>
          <w:lang w:eastAsia="x-none"/>
        </w:rPr>
        <w:t xml:space="preserve"> </w:t>
      </w:r>
    </w:p>
    <w:p w14:paraId="2F7732E4" w14:textId="77777777" w:rsidR="00C55D31" w:rsidRDefault="00C55D31" w:rsidP="008F36B4">
      <w:pPr>
        <w:rPr>
          <w:rFonts w:eastAsia="Calibri"/>
          <w:szCs w:val="22"/>
          <w:lang w:eastAsia="x-none"/>
        </w:rPr>
      </w:pPr>
      <w:r>
        <w:rPr>
          <w:rFonts w:eastAsia="Calibri"/>
          <w:szCs w:val="22"/>
          <w:lang w:eastAsia="x-none"/>
        </w:rPr>
        <w:t>L</w:t>
      </w:r>
      <w:r w:rsidRPr="00C55D31">
        <w:rPr>
          <w:rFonts w:eastAsia="Calibri"/>
          <w:szCs w:val="22"/>
          <w:lang w:eastAsia="x-none"/>
        </w:rPr>
        <w:t>inked to the previous discussion</w:t>
      </w:r>
      <w:r>
        <w:rPr>
          <w:rFonts w:eastAsia="Calibri"/>
          <w:szCs w:val="22"/>
          <w:lang w:eastAsia="x-none"/>
        </w:rPr>
        <w:t xml:space="preserve">, </w:t>
      </w:r>
      <w:r w:rsidRPr="00C55D31">
        <w:rPr>
          <w:rFonts w:eastAsia="Calibri"/>
          <w:szCs w:val="22"/>
          <w:lang w:eastAsia="x-none"/>
        </w:rPr>
        <w:t>some (industry) stakeholders interviewed did not address the issue of funding sources, since they believed that the program had underspent its budget in recent years, and therefore felt</w:t>
      </w:r>
      <w:r>
        <w:rPr>
          <w:rFonts w:eastAsia="Calibri"/>
          <w:szCs w:val="22"/>
          <w:lang w:eastAsia="x-none"/>
        </w:rPr>
        <w:t xml:space="preserve"> there wasn’t a budgetary issue.  </w:t>
      </w:r>
    </w:p>
    <w:p w14:paraId="0AE8162B" w14:textId="77777777" w:rsidR="006E5038" w:rsidRPr="006E5038" w:rsidRDefault="00194F92" w:rsidP="00320FDC">
      <w:pPr>
        <w:pStyle w:val="ColorfulList-Accent12"/>
        <w:numPr>
          <w:ilvl w:val="3"/>
          <w:numId w:val="40"/>
        </w:numPr>
        <w:ind w:left="0"/>
        <w:rPr>
          <w:lang w:eastAsia="x-none"/>
        </w:rPr>
      </w:pPr>
      <w:r w:rsidRPr="0051063F">
        <w:rPr>
          <w:u w:val="single"/>
          <w:lang w:eastAsia="x-none"/>
        </w:rPr>
        <w:t>Approach to exploring funding scenarios</w:t>
      </w:r>
      <w:r w:rsidRPr="006E5038">
        <w:rPr>
          <w:lang w:eastAsia="x-none"/>
        </w:rPr>
        <w:t xml:space="preserve">:  Exploring funding scenarios can be a sensitive issue, particularly when there is likely to be a direct impact on respondents interviewed.  To mitigate for this and </w:t>
      </w:r>
      <w:r w:rsidR="0051063F">
        <w:rPr>
          <w:lang w:eastAsia="x-none"/>
        </w:rPr>
        <w:t xml:space="preserve">to </w:t>
      </w:r>
      <w:r w:rsidRPr="006E5038">
        <w:rPr>
          <w:lang w:eastAsia="x-none"/>
        </w:rPr>
        <w:t xml:space="preserve">encourage an open and honest discussion, funding scenarios were explored in an ‘open’ way with stakeholders, as opposed to exploring fixed funding scenarios (e.g. </w:t>
      </w:r>
      <w:r w:rsidR="006E5038" w:rsidRPr="006E5038">
        <w:rPr>
          <w:lang w:eastAsia="x-none"/>
        </w:rPr>
        <w:t xml:space="preserve">full cost recovery) which could </w:t>
      </w:r>
      <w:r w:rsidR="0051063F">
        <w:rPr>
          <w:lang w:eastAsia="x-none"/>
        </w:rPr>
        <w:t xml:space="preserve">have </w:t>
      </w:r>
      <w:r w:rsidR="006E5038" w:rsidRPr="006E5038">
        <w:rPr>
          <w:lang w:eastAsia="x-none"/>
        </w:rPr>
        <w:t>result</w:t>
      </w:r>
      <w:r w:rsidR="0051063F">
        <w:rPr>
          <w:lang w:eastAsia="x-none"/>
        </w:rPr>
        <w:t>ed in a negative discussions or a lack of willingness to participate</w:t>
      </w:r>
      <w:r w:rsidR="006E5038" w:rsidRPr="006E5038">
        <w:rPr>
          <w:rStyle w:val="FootnoteReference"/>
          <w:lang w:eastAsia="x-none"/>
        </w:rPr>
        <w:footnoteReference w:id="174"/>
      </w:r>
      <w:r w:rsidR="006E0C1B">
        <w:rPr>
          <w:lang w:eastAsia="x-none"/>
        </w:rPr>
        <w:t>.</w:t>
      </w:r>
    </w:p>
    <w:p w14:paraId="04A73216" w14:textId="77777777" w:rsidR="006E5038" w:rsidRDefault="00393EE4" w:rsidP="006E5038">
      <w:pPr>
        <w:pStyle w:val="Heading3"/>
      </w:pPr>
      <w:bookmarkStart w:id="120" w:name="_Toc422298420"/>
      <w:r w:rsidRPr="00AD5548">
        <w:t>Cost recovery</w:t>
      </w:r>
      <w:bookmarkEnd w:id="120"/>
    </w:p>
    <w:p w14:paraId="1D392DE4" w14:textId="77777777" w:rsidR="00A738AA" w:rsidRDefault="00705336" w:rsidP="00A738AA">
      <w:r>
        <w:t>The e</w:t>
      </w:r>
      <w:r w:rsidR="00A738AA">
        <w:t>stablishment of the GEMS Regulator was based on initially recovering part-only of the Regulator’s product registration and compliance functions through registration fees. It was planned that registration fees would be reviewed every three years in order to eventually move to full cost recovery</w:t>
      </w:r>
      <w:r w:rsidR="00EE6D1C">
        <w:t xml:space="preserve"> of the Regulator</w:t>
      </w:r>
      <w:r w:rsidR="00A738AA">
        <w:t xml:space="preserve">. </w:t>
      </w:r>
      <w:r w:rsidR="00EE6D1C">
        <w:t>T</w:t>
      </w:r>
      <w:r w:rsidR="00A738AA">
        <w:t xml:space="preserve">he point for reaching this is not firmly set, </w:t>
      </w:r>
      <w:r w:rsidR="00EE6D1C">
        <w:t>however, t</w:t>
      </w:r>
      <w:r w:rsidR="00A738AA">
        <w:t>he end of the first three</w:t>
      </w:r>
      <w:r w:rsidR="00EE6D1C">
        <w:t>-</w:t>
      </w:r>
      <w:r w:rsidR="00A738AA">
        <w:t>year fee cycle is October 2015</w:t>
      </w:r>
      <w:r w:rsidR="00676EB2">
        <w:t>.</w:t>
      </w:r>
    </w:p>
    <w:p w14:paraId="35A24AA3" w14:textId="77777777" w:rsidR="00EE6D1C" w:rsidRDefault="00A738AA" w:rsidP="00676EB2">
      <w:r>
        <w:lastRenderedPageBreak/>
        <w:t>Industry has generally support</w:t>
      </w:r>
      <w:r w:rsidR="00676EB2">
        <w:t>ed</w:t>
      </w:r>
      <w:r>
        <w:t xml:space="preserve"> the program and acknowledg</w:t>
      </w:r>
      <w:r w:rsidR="00676EB2">
        <w:t xml:space="preserve">ed the importance of </w:t>
      </w:r>
      <w:r>
        <w:t>cost recovery</w:t>
      </w:r>
      <w:r w:rsidR="00676EB2">
        <w:t xml:space="preserve"> of registration and </w:t>
      </w:r>
      <w:r>
        <w:t>compliance activities</w:t>
      </w:r>
      <w:r w:rsidR="00676EB2">
        <w:t xml:space="preserve">, in that </w:t>
      </w:r>
      <w:r>
        <w:t xml:space="preserve">these </w:t>
      </w:r>
      <w:r w:rsidR="00676EB2">
        <w:t xml:space="preserve">activities </w:t>
      </w:r>
      <w:r>
        <w:t xml:space="preserve">provide the basis for </w:t>
      </w:r>
      <w:r w:rsidRPr="005511BF">
        <w:rPr>
          <w:i/>
        </w:rPr>
        <w:t>compliant</w:t>
      </w:r>
      <w:r>
        <w:t xml:space="preserve"> products being sold in the Australian (and New Zealand) market, thus providing the </w:t>
      </w:r>
      <w:r w:rsidR="00676EB2">
        <w:t xml:space="preserve">foundation </w:t>
      </w:r>
      <w:r w:rsidR="00EE6D1C">
        <w:t>for</w:t>
      </w:r>
      <w:r w:rsidR="00676EB2">
        <w:t xml:space="preserve"> </w:t>
      </w:r>
      <w:r>
        <w:t xml:space="preserve">a level playing field for all companies. </w:t>
      </w:r>
    </w:p>
    <w:p w14:paraId="2E161BA5" w14:textId="77777777" w:rsidR="00A738AA" w:rsidRDefault="00676EB2" w:rsidP="00676EB2">
      <w:r>
        <w:t>I</w:t>
      </w:r>
      <w:r w:rsidR="00A738AA">
        <w:t>ncreased levels of compliance activity and greater visibility of this</w:t>
      </w:r>
      <w:r>
        <w:t xml:space="preserve"> – e</w:t>
      </w:r>
      <w:r w:rsidR="005A1E74">
        <w:t>.</w:t>
      </w:r>
      <w:r>
        <w:t>g</w:t>
      </w:r>
      <w:r w:rsidR="005A1E74">
        <w:t>.</w:t>
      </w:r>
      <w:r>
        <w:t xml:space="preserve"> more </w:t>
      </w:r>
      <w:r w:rsidR="00A738AA">
        <w:t>information of what compliance actions are being undertaken</w:t>
      </w:r>
      <w:r>
        <w:t xml:space="preserve"> </w:t>
      </w:r>
      <w:r w:rsidR="00A738AA">
        <w:t>and the results of those actions (without breaching confidentiality provisions in the Act)</w:t>
      </w:r>
      <w:r>
        <w:t xml:space="preserve"> – sends a </w:t>
      </w:r>
      <w:r w:rsidR="00A738AA">
        <w:t>strong signal to companies registering products for supply and sale that the compliance provisions in the Act are being implemented</w:t>
      </w:r>
      <w:r>
        <w:t xml:space="preserve">. The result is that </w:t>
      </w:r>
      <w:r w:rsidR="00A738AA">
        <w:t>identified non-compliant products are either made compliant or are withdrawn from the market</w:t>
      </w:r>
      <w:r>
        <w:t>.</w:t>
      </w:r>
    </w:p>
    <w:p w14:paraId="212F46E9" w14:textId="77777777" w:rsidR="00A738AA" w:rsidRDefault="00676EB2" w:rsidP="002333FD">
      <w:pPr>
        <w:rPr>
          <w:b/>
        </w:rPr>
      </w:pPr>
      <w:r>
        <w:t xml:space="preserve">In calendar year 2014, product registrants paid $2.3 million to register products against GEMS determinations. In the same year it cost about $4.6 million to provide a product registration service (inclusive of a registration website, helpdesk and functionality enhancements, registration assessments, and associated staffing) and registration compliance services (inclusive of check testing, compliance monitoring, reporting and education and associated staffing). Industry - </w:t>
      </w:r>
      <w:r w:rsidRPr="0098065A">
        <w:t>through registration fees</w:t>
      </w:r>
      <w:r>
        <w:t xml:space="preserve"> - </w:t>
      </w:r>
      <w:r w:rsidRPr="0098065A">
        <w:t>is</w:t>
      </w:r>
      <w:r>
        <w:t xml:space="preserve"> currently </w:t>
      </w:r>
      <w:r w:rsidRPr="0098065A">
        <w:t xml:space="preserve">contributing </w:t>
      </w:r>
      <w:r w:rsidRPr="00D47FCD">
        <w:t xml:space="preserve">about </w:t>
      </w:r>
      <w:r>
        <w:t xml:space="preserve">fifty percent </w:t>
      </w:r>
      <w:r w:rsidRPr="00D47FCD">
        <w:t>of the full cost of</w:t>
      </w:r>
      <w:r w:rsidRPr="0098065A">
        <w:t xml:space="preserve"> </w:t>
      </w:r>
      <w:r>
        <w:t>registration and compliance.</w:t>
      </w:r>
      <w:r w:rsidRPr="00F83E0C">
        <w:rPr>
          <w:b/>
        </w:rPr>
        <w:t xml:space="preserve"> </w:t>
      </w:r>
    </w:p>
    <w:p w14:paraId="2DC01470" w14:textId="77777777" w:rsidR="00676EB2" w:rsidRDefault="00EE6D1C" w:rsidP="00705336">
      <w:r>
        <w:t xml:space="preserve">The Department has advised it plans to commence a review of registration fees at the end of the first three-year fee anniversary (October 2015) and finalise this review in the first half of 2016. This partly aligns with </w:t>
      </w:r>
      <w:r w:rsidR="00705336">
        <w:t>a</w:t>
      </w:r>
      <w:r>
        <w:t xml:space="preserve"> broader review of functions for which fees are charged across a range of activities implemented by the Department - which is to be undertaken in 2016/17. Thus the approach being taken with GEMS fees will be considered in conjunction with the approach for other programs. B</w:t>
      </w:r>
      <w:r w:rsidR="00676EB2">
        <w:t>road discussions with industry on cost recovery issues across a range of services and programs</w:t>
      </w:r>
      <w:r>
        <w:t xml:space="preserve"> will allow a </w:t>
      </w:r>
      <w:r w:rsidR="00676EB2">
        <w:t>more holistic approach</w:t>
      </w:r>
      <w:r>
        <w:t xml:space="preserve"> to re-calibrating GEMS registration fees</w:t>
      </w:r>
      <w:r w:rsidR="00676EB2">
        <w:t>.</w:t>
      </w:r>
    </w:p>
    <w:p w14:paraId="3CDCE494" w14:textId="77777777" w:rsidR="00676EB2" w:rsidRPr="00705336" w:rsidRDefault="00676EB2" w:rsidP="005F019B">
      <w:pPr>
        <w:pStyle w:val="ColorfulList-Accent12"/>
        <w:ind w:left="0"/>
        <w:contextualSpacing w:val="0"/>
        <w:rPr>
          <w:b/>
          <w:lang w:eastAsia="x-none"/>
        </w:rPr>
      </w:pPr>
      <w:r w:rsidRPr="00705336">
        <w:rPr>
          <w:b/>
          <w:lang w:eastAsia="x-none"/>
        </w:rPr>
        <w:t>Cost recovery research</w:t>
      </w:r>
    </w:p>
    <w:p w14:paraId="0139DE15" w14:textId="77777777" w:rsidR="00172DF9" w:rsidRDefault="00B77520" w:rsidP="005F019B">
      <w:pPr>
        <w:pStyle w:val="ColorfulList-Accent12"/>
        <w:ind w:left="0"/>
        <w:rPr>
          <w:lang w:eastAsia="x-none"/>
        </w:rPr>
      </w:pPr>
      <w:r>
        <w:rPr>
          <w:lang w:eastAsia="x-none"/>
        </w:rPr>
        <w:t xml:space="preserve">Cost recovery in standards and labelling programs </w:t>
      </w:r>
      <w:r w:rsidR="00676EB2">
        <w:rPr>
          <w:lang w:eastAsia="x-none"/>
        </w:rPr>
        <w:t xml:space="preserve">has </w:t>
      </w:r>
      <w:r>
        <w:rPr>
          <w:lang w:eastAsia="x-none"/>
        </w:rPr>
        <w:t xml:space="preserve">recently been explored in a report </w:t>
      </w:r>
      <w:r w:rsidR="00656B20">
        <w:rPr>
          <w:lang w:eastAsia="x-none"/>
        </w:rPr>
        <w:t xml:space="preserve">funded by </w:t>
      </w:r>
      <w:r w:rsidR="004D32B9">
        <w:rPr>
          <w:lang w:eastAsia="x-none"/>
        </w:rPr>
        <w:t xml:space="preserve">the Australian Government </w:t>
      </w:r>
      <w:r>
        <w:rPr>
          <w:lang w:eastAsia="x-none"/>
        </w:rPr>
        <w:t xml:space="preserve">for </w:t>
      </w:r>
      <w:r w:rsidR="00CE07C6">
        <w:rPr>
          <w:lang w:eastAsia="x-none"/>
        </w:rPr>
        <w:t>the Vietnamese Ministry of Industry and Trade</w:t>
      </w:r>
      <w:r w:rsidR="00656B20">
        <w:rPr>
          <w:lang w:eastAsia="x-none"/>
        </w:rPr>
        <w:t>,</w:t>
      </w:r>
      <w:r w:rsidR="00CE07C6">
        <w:rPr>
          <w:lang w:eastAsia="x-none"/>
        </w:rPr>
        <w:t xml:space="preserve"> </w:t>
      </w:r>
      <w:r w:rsidR="00656B20">
        <w:rPr>
          <w:lang w:eastAsia="x-none"/>
        </w:rPr>
        <w:t>under the Vietnamese Energy Efficiency S&amp;L Program</w:t>
      </w:r>
      <w:r>
        <w:rPr>
          <w:rStyle w:val="FootnoteReference"/>
          <w:lang w:eastAsia="x-none"/>
        </w:rPr>
        <w:footnoteReference w:id="175"/>
      </w:r>
      <w:r>
        <w:rPr>
          <w:lang w:eastAsia="x-none"/>
        </w:rPr>
        <w:t xml:space="preserve">.  </w:t>
      </w:r>
      <w:r w:rsidR="00172DF9">
        <w:rPr>
          <w:lang w:eastAsia="x-none"/>
        </w:rPr>
        <w:t>The report shows that cost recovery has been increasingly undertaken by standards and labelling programs internationally, in most cases obtaining a reasonably minor contribution (as a proportion of total program costs) from participants</w:t>
      </w:r>
      <w:r w:rsidR="00172DF9">
        <w:rPr>
          <w:rStyle w:val="FootnoteReference"/>
          <w:lang w:eastAsia="x-none"/>
        </w:rPr>
        <w:footnoteReference w:id="176"/>
      </w:r>
      <w:r w:rsidR="00172DF9">
        <w:rPr>
          <w:lang w:eastAsia="x-none"/>
        </w:rPr>
        <w:t xml:space="preserve">. </w:t>
      </w:r>
      <w:r w:rsidR="00AE29E2">
        <w:rPr>
          <w:lang w:eastAsia="x-none"/>
        </w:rPr>
        <w:t xml:space="preserve"> </w:t>
      </w:r>
      <w:r w:rsidR="00CC7884">
        <w:rPr>
          <w:lang w:eastAsia="x-none"/>
        </w:rPr>
        <w:t xml:space="preserve">Further details are provided in the </w:t>
      </w:r>
      <w:r w:rsidR="00C70DE9" w:rsidRPr="00A71C14">
        <w:t>DoI</w:t>
      </w:r>
      <w:r w:rsidR="00C70DE9">
        <w:t>S</w:t>
      </w:r>
      <w:r w:rsidR="00CC7884">
        <w:rPr>
          <w:lang w:eastAsia="x-none"/>
        </w:rPr>
        <w:t xml:space="preserve"> cost recovery report, however in summary; c</w:t>
      </w:r>
      <w:r w:rsidR="00AE29E2">
        <w:rPr>
          <w:lang w:eastAsia="x-none"/>
        </w:rPr>
        <w:t>osts are recovered through two main routes</w:t>
      </w:r>
      <w:r w:rsidR="00CC7884">
        <w:rPr>
          <w:lang w:eastAsia="x-none"/>
        </w:rPr>
        <w:t>:</w:t>
      </w:r>
    </w:p>
    <w:p w14:paraId="240976B7" w14:textId="77777777" w:rsidR="00393EE4" w:rsidRPr="00AE29E2" w:rsidRDefault="00393EE4" w:rsidP="005F019B">
      <w:pPr>
        <w:pStyle w:val="ColorfulList-Accent12"/>
        <w:numPr>
          <w:ilvl w:val="7"/>
          <w:numId w:val="26"/>
        </w:numPr>
        <w:ind w:left="426" w:hanging="426"/>
        <w:rPr>
          <w:lang w:eastAsia="x-none"/>
        </w:rPr>
      </w:pPr>
      <w:r w:rsidRPr="00AE29E2">
        <w:rPr>
          <w:lang w:eastAsia="x-none"/>
        </w:rPr>
        <w:t>Registration fees</w:t>
      </w:r>
      <w:r w:rsidR="00AE29E2" w:rsidRPr="00AE29E2">
        <w:rPr>
          <w:lang w:eastAsia="x-none"/>
        </w:rPr>
        <w:t xml:space="preserve"> – when a supplier registers a product</w:t>
      </w:r>
      <w:r w:rsidR="008E0870">
        <w:rPr>
          <w:lang w:eastAsia="x-none"/>
        </w:rPr>
        <w:t>; and</w:t>
      </w:r>
      <w:r w:rsidR="00AE29E2" w:rsidRPr="00AE29E2">
        <w:rPr>
          <w:lang w:eastAsia="x-none"/>
        </w:rPr>
        <w:t xml:space="preserve"> </w:t>
      </w:r>
    </w:p>
    <w:p w14:paraId="1A1C0EF8" w14:textId="77777777" w:rsidR="00AE29E2" w:rsidRPr="00AE29E2" w:rsidRDefault="00393EE4" w:rsidP="005F019B">
      <w:pPr>
        <w:pStyle w:val="ColorfulList-Accent12"/>
        <w:numPr>
          <w:ilvl w:val="7"/>
          <w:numId w:val="26"/>
        </w:numPr>
        <w:ind w:left="425" w:hanging="425"/>
        <w:contextualSpacing w:val="0"/>
        <w:rPr>
          <w:lang w:eastAsia="x-none"/>
        </w:rPr>
      </w:pPr>
      <w:r w:rsidRPr="00AE29E2">
        <w:rPr>
          <w:lang w:eastAsia="x-none"/>
        </w:rPr>
        <w:t>Check testing fees</w:t>
      </w:r>
      <w:r w:rsidR="00AE29E2" w:rsidRPr="00AE29E2">
        <w:rPr>
          <w:lang w:eastAsia="x-none"/>
        </w:rPr>
        <w:t xml:space="preserve"> – usually these are to pay for follow up tests, when a product has failed an initial test undertaken through compliance and enforcement activities.  </w:t>
      </w:r>
    </w:p>
    <w:p w14:paraId="4176FFD2" w14:textId="77777777" w:rsidR="008F36B4" w:rsidRPr="008F36B4" w:rsidRDefault="0051063F" w:rsidP="00AE29E2">
      <w:pPr>
        <w:pStyle w:val="ColorfulList-Accent12"/>
        <w:ind w:left="0"/>
        <w:rPr>
          <w:lang w:eastAsia="x-none"/>
        </w:rPr>
      </w:pPr>
      <w:r>
        <w:rPr>
          <w:lang w:eastAsia="x-none"/>
        </w:rPr>
        <w:t>There are</w:t>
      </w:r>
      <w:r w:rsidR="008F36B4" w:rsidRPr="008F36B4">
        <w:rPr>
          <w:lang w:eastAsia="x-none"/>
        </w:rPr>
        <w:t xml:space="preserve"> also </w:t>
      </w:r>
      <w:r>
        <w:rPr>
          <w:lang w:eastAsia="x-none"/>
        </w:rPr>
        <w:t xml:space="preserve">one or two examples </w:t>
      </w:r>
      <w:r w:rsidR="008F36B4" w:rsidRPr="008F36B4">
        <w:rPr>
          <w:lang w:eastAsia="x-none"/>
        </w:rPr>
        <w:t xml:space="preserve">of charging </w:t>
      </w:r>
      <w:r w:rsidR="00C55D31">
        <w:rPr>
          <w:lang w:eastAsia="x-none"/>
        </w:rPr>
        <w:t xml:space="preserve">for </w:t>
      </w:r>
      <w:r w:rsidR="008F36B4" w:rsidRPr="008F36B4">
        <w:rPr>
          <w:lang w:eastAsia="x-none"/>
        </w:rPr>
        <w:t>voluntary endorsement labelling</w:t>
      </w:r>
      <w:r w:rsidR="00C55D31">
        <w:rPr>
          <w:lang w:eastAsia="x-none"/>
        </w:rPr>
        <w:t xml:space="preserve"> (an annual registration fee)</w:t>
      </w:r>
      <w:r w:rsidR="008F36B4" w:rsidRPr="008F36B4">
        <w:rPr>
          <w:lang w:eastAsia="x-none"/>
        </w:rPr>
        <w:t xml:space="preserve">.  </w:t>
      </w:r>
    </w:p>
    <w:p w14:paraId="0D40F492" w14:textId="77777777" w:rsidR="008F36B4" w:rsidRDefault="008F36B4" w:rsidP="00AE29E2">
      <w:pPr>
        <w:pStyle w:val="ColorfulList-Accent12"/>
        <w:ind w:left="0"/>
        <w:rPr>
          <w:color w:val="4F81BD"/>
          <w:lang w:eastAsia="x-none"/>
        </w:rPr>
      </w:pPr>
    </w:p>
    <w:p w14:paraId="0FF33599" w14:textId="77777777" w:rsidR="00B3496A" w:rsidRPr="00CC7884" w:rsidRDefault="00C1142B" w:rsidP="00CC7884">
      <w:pPr>
        <w:pStyle w:val="ColorfulList-Accent12"/>
        <w:ind w:left="0"/>
        <w:rPr>
          <w:lang w:eastAsia="x-none"/>
        </w:rPr>
      </w:pPr>
      <w:r w:rsidRPr="00CC7884">
        <w:rPr>
          <w:lang w:eastAsia="x-none"/>
        </w:rPr>
        <w:lastRenderedPageBreak/>
        <w:t xml:space="preserve">Currently GEMS charges fees through both </w:t>
      </w:r>
      <w:r w:rsidR="008F36B4">
        <w:rPr>
          <w:lang w:eastAsia="x-none"/>
        </w:rPr>
        <w:t xml:space="preserve">of the above </w:t>
      </w:r>
      <w:r w:rsidRPr="00CC7884">
        <w:rPr>
          <w:lang w:eastAsia="x-none"/>
        </w:rPr>
        <w:t>routes and registration fees are published</w:t>
      </w:r>
      <w:r w:rsidRPr="00CC7884">
        <w:rPr>
          <w:rStyle w:val="FootnoteReference"/>
          <w:lang w:eastAsia="x-none"/>
        </w:rPr>
        <w:footnoteReference w:id="177"/>
      </w:r>
      <w:r w:rsidR="0051063F">
        <w:rPr>
          <w:lang w:eastAsia="x-none"/>
        </w:rPr>
        <w:t xml:space="preserve">, which </w:t>
      </w:r>
      <w:r w:rsidRPr="00CC7884">
        <w:rPr>
          <w:lang w:eastAsia="x-none"/>
        </w:rPr>
        <w:t>range between AUD$440 to $780.  Other programs internationally also do both, o</w:t>
      </w:r>
      <w:r w:rsidR="00CC7884" w:rsidRPr="00CC7884">
        <w:rPr>
          <w:lang w:eastAsia="x-none"/>
        </w:rPr>
        <w:t xml:space="preserve">r one or the other and have registration fees which are broadly similar to GEMS.  </w:t>
      </w:r>
      <w:r w:rsidR="00B3496A">
        <w:rPr>
          <w:lang w:eastAsia="x-none"/>
        </w:rPr>
        <w:t>T</w:t>
      </w:r>
      <w:r w:rsidR="00CC7884">
        <w:rPr>
          <w:lang w:eastAsia="x-none"/>
        </w:rPr>
        <w:t>he extent to which these reflect actual registration and/or other program costs is not known</w:t>
      </w:r>
      <w:r w:rsidR="00CC7884">
        <w:rPr>
          <w:rStyle w:val="FootnoteReference"/>
          <w:lang w:eastAsia="x-none"/>
        </w:rPr>
        <w:footnoteReference w:id="178"/>
      </w:r>
      <w:r w:rsidR="00B3496A">
        <w:rPr>
          <w:lang w:eastAsia="x-none"/>
        </w:rPr>
        <w:t xml:space="preserve">, although in terms of broad scale it is known that they are predominately funded by </w:t>
      </w:r>
      <w:r w:rsidR="008E0870">
        <w:rPr>
          <w:lang w:eastAsia="x-none"/>
        </w:rPr>
        <w:t>g</w:t>
      </w:r>
      <w:r w:rsidR="00B3496A">
        <w:rPr>
          <w:lang w:eastAsia="x-none"/>
        </w:rPr>
        <w:t>overnment</w:t>
      </w:r>
      <w:r w:rsidR="00B3496A" w:rsidRPr="00EC7DD0">
        <w:rPr>
          <w:rStyle w:val="FootnoteReference"/>
        </w:rPr>
        <w:footnoteReference w:id="179"/>
      </w:r>
      <w:r w:rsidR="00B3496A" w:rsidRPr="00D12827">
        <w:t>.</w:t>
      </w:r>
    </w:p>
    <w:p w14:paraId="005BD6AC" w14:textId="77777777" w:rsidR="00CC7884" w:rsidRPr="00B0086E" w:rsidRDefault="00CC7884" w:rsidP="00CC7884">
      <w:pPr>
        <w:pStyle w:val="ColorfulList-Accent12"/>
        <w:ind w:left="0"/>
        <w:rPr>
          <w:lang w:eastAsia="x-none"/>
        </w:rPr>
      </w:pPr>
    </w:p>
    <w:p w14:paraId="5E473EC7" w14:textId="77777777" w:rsidR="008F36B4" w:rsidRDefault="00CC7884" w:rsidP="00CC7884">
      <w:pPr>
        <w:pStyle w:val="ColorfulList-Accent12"/>
        <w:ind w:left="0"/>
        <w:rPr>
          <w:lang w:eastAsia="x-none"/>
        </w:rPr>
      </w:pPr>
      <w:r w:rsidRPr="00B0086E">
        <w:rPr>
          <w:lang w:eastAsia="x-none"/>
        </w:rPr>
        <w:t xml:space="preserve">The </w:t>
      </w:r>
      <w:r w:rsidR="00C70DE9" w:rsidRPr="00A71C14">
        <w:t>DoI</w:t>
      </w:r>
      <w:r w:rsidR="00C70DE9">
        <w:t>S</w:t>
      </w:r>
      <w:r w:rsidRPr="00B0086E">
        <w:rPr>
          <w:lang w:eastAsia="x-none"/>
        </w:rPr>
        <w:t xml:space="preserve"> cost recovery report examines a number of issues including what program elements are best suited to cost recovery, what level of cost recovery (e.g. partial or full) and the likely impact on the market.  The report states that all costs relating to maintaining an open and fair market could legitimately be funded.  This includes costs associated with operating a registration (or similar) process, as well as the monitoring, verification and enforcement of </w:t>
      </w:r>
      <w:r w:rsidR="008E0870">
        <w:rPr>
          <w:lang w:eastAsia="x-none"/>
        </w:rPr>
        <w:t>p</w:t>
      </w:r>
      <w:r w:rsidRPr="00B0086E">
        <w:rPr>
          <w:lang w:eastAsia="x-none"/>
        </w:rPr>
        <w:t>rogram rules</w:t>
      </w:r>
      <w:r w:rsidR="008E0870">
        <w:rPr>
          <w:lang w:eastAsia="x-none"/>
        </w:rPr>
        <w:t>.</w:t>
      </w:r>
      <w:r w:rsidRPr="00B0086E">
        <w:rPr>
          <w:lang w:eastAsia="x-none"/>
        </w:rPr>
        <w:t xml:space="preserve"> </w:t>
      </w:r>
    </w:p>
    <w:p w14:paraId="6E403E45" w14:textId="77777777" w:rsidR="00EB78FA" w:rsidRDefault="00EB78FA" w:rsidP="008F36B4">
      <w:pPr>
        <w:pStyle w:val="ColorfulList-Accent12"/>
        <w:ind w:left="0"/>
        <w:rPr>
          <w:lang w:eastAsia="x-none"/>
        </w:rPr>
      </w:pPr>
    </w:p>
    <w:p w14:paraId="31A1CD76" w14:textId="77777777" w:rsidR="008F36B4" w:rsidRDefault="004B13A1" w:rsidP="008F36B4">
      <w:pPr>
        <w:pStyle w:val="ColorfulList-Accent12"/>
        <w:ind w:left="0"/>
        <w:rPr>
          <w:lang w:eastAsia="x-none"/>
        </w:rPr>
      </w:pPr>
      <w:r w:rsidRPr="008F36B4">
        <w:rPr>
          <w:lang w:eastAsia="x-none"/>
        </w:rPr>
        <w:t xml:space="preserve">The report also discusses whether there should be full or partial cost recovery, but states there is no universal view on this, and that it needs to be explored with the market.  </w:t>
      </w:r>
      <w:r w:rsidR="008F36B4" w:rsidRPr="008F36B4">
        <w:rPr>
          <w:lang w:eastAsia="x-none"/>
        </w:rPr>
        <w:t xml:space="preserve">It does note that </w:t>
      </w:r>
      <w:r w:rsidR="00393EE4" w:rsidRPr="008F36B4">
        <w:rPr>
          <w:lang w:eastAsia="x-none"/>
        </w:rPr>
        <w:t xml:space="preserve">while industry </w:t>
      </w:r>
      <w:r w:rsidR="008F36B4" w:rsidRPr="008F36B4">
        <w:rPr>
          <w:lang w:eastAsia="x-none"/>
        </w:rPr>
        <w:t xml:space="preserve">is unlikely to </w:t>
      </w:r>
      <w:r w:rsidR="00393EE4" w:rsidRPr="008F36B4">
        <w:rPr>
          <w:lang w:eastAsia="x-none"/>
        </w:rPr>
        <w:t>welcome additional costs, they are small compared to other costs</w:t>
      </w:r>
      <w:r w:rsidR="008F36B4" w:rsidRPr="008F36B4">
        <w:rPr>
          <w:lang w:eastAsia="x-none"/>
        </w:rPr>
        <w:t xml:space="preserve"> of bringing products to market</w:t>
      </w:r>
      <w:r w:rsidR="00393EE4" w:rsidRPr="008F36B4">
        <w:rPr>
          <w:lang w:eastAsia="x-none"/>
        </w:rPr>
        <w:t xml:space="preserve">, and most </w:t>
      </w:r>
      <w:r w:rsidR="008F36B4" w:rsidRPr="008F36B4">
        <w:rPr>
          <w:lang w:eastAsia="x-none"/>
        </w:rPr>
        <w:t>of industry understands</w:t>
      </w:r>
      <w:r w:rsidR="00393EE4" w:rsidRPr="008F36B4">
        <w:rPr>
          <w:lang w:eastAsia="x-none"/>
        </w:rPr>
        <w:t xml:space="preserve"> that they ensure fair operation of the market</w:t>
      </w:r>
      <w:r w:rsidR="008F36B4" w:rsidRPr="008F36B4">
        <w:rPr>
          <w:rStyle w:val="FootnoteReference"/>
          <w:lang w:eastAsia="x-none"/>
        </w:rPr>
        <w:footnoteReference w:id="180"/>
      </w:r>
      <w:r w:rsidR="00393EE4" w:rsidRPr="008F36B4">
        <w:rPr>
          <w:lang w:eastAsia="x-none"/>
        </w:rPr>
        <w:t xml:space="preserve">.  </w:t>
      </w:r>
      <w:r w:rsidR="008F36B4" w:rsidRPr="008F36B4">
        <w:rPr>
          <w:lang w:eastAsia="x-none"/>
        </w:rPr>
        <w:t xml:space="preserve">Finally, the report also notes </w:t>
      </w:r>
      <w:r w:rsidR="00393EE4" w:rsidRPr="008F36B4">
        <w:rPr>
          <w:lang w:eastAsia="x-none"/>
        </w:rPr>
        <w:t>that some sectors (e.g. low volume</w:t>
      </w:r>
      <w:r w:rsidR="008F36B4" w:rsidRPr="008F36B4">
        <w:rPr>
          <w:lang w:eastAsia="x-none"/>
        </w:rPr>
        <w:t xml:space="preserve"> product groups</w:t>
      </w:r>
      <w:r w:rsidR="00393EE4" w:rsidRPr="008F36B4">
        <w:rPr>
          <w:lang w:eastAsia="x-none"/>
        </w:rPr>
        <w:t>) would be affected more</w:t>
      </w:r>
      <w:r w:rsidR="008E0870">
        <w:rPr>
          <w:lang w:eastAsia="x-none"/>
        </w:rPr>
        <w:t>,</w:t>
      </w:r>
      <w:r w:rsidR="00393EE4" w:rsidRPr="008F36B4">
        <w:rPr>
          <w:lang w:eastAsia="x-none"/>
        </w:rPr>
        <w:t xml:space="preserve"> if registration is continued to be the main mechanism by which recovery is take</w:t>
      </w:r>
      <w:r w:rsidR="008F36B4" w:rsidRPr="008F36B4">
        <w:rPr>
          <w:lang w:eastAsia="x-none"/>
        </w:rPr>
        <w:t>n</w:t>
      </w:r>
      <w:r w:rsidR="008F36B4">
        <w:rPr>
          <w:lang w:eastAsia="x-none"/>
        </w:rPr>
        <w:t xml:space="preserve">.  </w:t>
      </w:r>
    </w:p>
    <w:p w14:paraId="2753ED07" w14:textId="77777777" w:rsidR="008F36B4" w:rsidRDefault="008F36B4" w:rsidP="008F36B4">
      <w:pPr>
        <w:pStyle w:val="ColorfulList-Accent12"/>
        <w:ind w:left="0"/>
        <w:rPr>
          <w:lang w:eastAsia="x-none"/>
        </w:rPr>
      </w:pPr>
    </w:p>
    <w:p w14:paraId="59B8F21E" w14:textId="77777777" w:rsidR="00393EE4" w:rsidRPr="00B3496A" w:rsidRDefault="00393EE4" w:rsidP="008F36B4">
      <w:pPr>
        <w:pStyle w:val="ColorfulList-Accent12"/>
        <w:ind w:left="0"/>
        <w:rPr>
          <w:b/>
          <w:lang w:eastAsia="x-none"/>
        </w:rPr>
      </w:pPr>
      <w:r w:rsidRPr="00B3496A">
        <w:rPr>
          <w:b/>
          <w:lang w:eastAsia="x-none"/>
        </w:rPr>
        <w:t>Testing cost recovery with industry and other stakeholders</w:t>
      </w:r>
    </w:p>
    <w:p w14:paraId="272D5B2A" w14:textId="77777777" w:rsidR="00B3496A" w:rsidRDefault="00B3496A" w:rsidP="008F36B4">
      <w:pPr>
        <w:pStyle w:val="ColorfulList-Accent12"/>
        <w:ind w:left="0"/>
        <w:rPr>
          <w:color w:val="4F81BD"/>
          <w:u w:val="single"/>
          <w:lang w:eastAsia="x-none"/>
        </w:rPr>
      </w:pPr>
    </w:p>
    <w:p w14:paraId="120F342D" w14:textId="77777777" w:rsidR="00B3496A" w:rsidRPr="00894DA7" w:rsidRDefault="00C55D31" w:rsidP="00320FDC">
      <w:pPr>
        <w:pStyle w:val="ColorfulList-Accent12"/>
        <w:numPr>
          <w:ilvl w:val="0"/>
          <w:numId w:val="50"/>
        </w:numPr>
        <w:ind w:left="426"/>
        <w:rPr>
          <w:lang w:eastAsia="x-none"/>
        </w:rPr>
      </w:pPr>
      <w:r>
        <w:rPr>
          <w:u w:val="single"/>
          <w:lang w:eastAsia="x-none"/>
        </w:rPr>
        <w:t>Current levels of cost recovery</w:t>
      </w:r>
    </w:p>
    <w:p w14:paraId="6C51549F" w14:textId="77777777" w:rsidR="00B3496A" w:rsidRDefault="00B3496A" w:rsidP="00B3496A">
      <w:pPr>
        <w:pStyle w:val="ColorfulList-Accent12"/>
        <w:ind w:left="66"/>
        <w:rPr>
          <w:u w:val="single"/>
          <w:lang w:eastAsia="x-none"/>
        </w:rPr>
      </w:pPr>
    </w:p>
    <w:p w14:paraId="07285366" w14:textId="77777777" w:rsidR="00B35FE7" w:rsidRDefault="00B35FE7" w:rsidP="00B3496A">
      <w:pPr>
        <w:pStyle w:val="ColorfulList-Accent12"/>
        <w:ind w:left="66"/>
        <w:rPr>
          <w:lang w:eastAsia="x-none"/>
        </w:rPr>
      </w:pPr>
      <w:r>
        <w:rPr>
          <w:lang w:eastAsia="x-none"/>
        </w:rPr>
        <w:t xml:space="preserve">Overall, it was found that there was fairly limited awareness and understanding of the current funding arrangement and the extent to which industry contributes towards overall costs.  Awareness of this was significantly higher amongst industry peak bodies than individual suppliers.  </w:t>
      </w:r>
    </w:p>
    <w:p w14:paraId="31141871" w14:textId="77777777" w:rsidR="00B35FE7" w:rsidRDefault="00B35FE7" w:rsidP="00B3496A">
      <w:pPr>
        <w:pStyle w:val="ColorfulList-Accent12"/>
        <w:ind w:left="66"/>
        <w:rPr>
          <w:lang w:eastAsia="x-none"/>
        </w:rPr>
      </w:pPr>
    </w:p>
    <w:p w14:paraId="6AFA7D37" w14:textId="77777777" w:rsidR="00B35FE7" w:rsidRDefault="00B35FE7" w:rsidP="00B3496A">
      <w:pPr>
        <w:pStyle w:val="ColorfulList-Accent12"/>
        <w:ind w:left="66"/>
        <w:rPr>
          <w:lang w:eastAsia="x-none"/>
        </w:rPr>
      </w:pPr>
      <w:r>
        <w:rPr>
          <w:lang w:eastAsia="x-none"/>
        </w:rPr>
        <w:t>Where the overall split of funding was discussed, there was a perception that industry was contributing fairly significantly towards overall costs</w:t>
      </w:r>
      <w:r w:rsidR="00EA5B87">
        <w:rPr>
          <w:lang w:eastAsia="x-none"/>
        </w:rPr>
        <w:t xml:space="preserve">. </w:t>
      </w:r>
      <w:r w:rsidR="00C55D31">
        <w:rPr>
          <w:lang w:eastAsia="x-none"/>
        </w:rPr>
        <w:t>.</w:t>
      </w:r>
      <w:r>
        <w:rPr>
          <w:lang w:eastAsia="x-none"/>
        </w:rPr>
        <w:t xml:space="preserve"> </w:t>
      </w:r>
    </w:p>
    <w:p w14:paraId="26A2A2D7" w14:textId="77777777" w:rsidR="00B35FE7" w:rsidRDefault="00B35FE7" w:rsidP="00B3496A">
      <w:pPr>
        <w:pStyle w:val="ColorfulList-Accent12"/>
        <w:ind w:left="66"/>
        <w:rPr>
          <w:lang w:eastAsia="x-none"/>
        </w:rPr>
      </w:pPr>
    </w:p>
    <w:p w14:paraId="484DCF52" w14:textId="77777777" w:rsidR="00B35FE7" w:rsidRDefault="00B35FE7" w:rsidP="00B3496A">
      <w:pPr>
        <w:pStyle w:val="ColorfulList-Accent12"/>
        <w:ind w:left="66"/>
        <w:rPr>
          <w:lang w:eastAsia="x-none"/>
        </w:rPr>
      </w:pPr>
      <w:r>
        <w:rPr>
          <w:i/>
          <w:lang w:eastAsia="x-none"/>
        </w:rPr>
        <w:t>“[I am] n</w:t>
      </w:r>
      <w:r w:rsidRPr="00B35FE7">
        <w:rPr>
          <w:i/>
          <w:lang w:eastAsia="x-none"/>
        </w:rPr>
        <w:t>ot sure how much is covered by the tax payer, I would imagine the program is fairly well covered by the registration fees.</w:t>
      </w:r>
      <w:r>
        <w:rPr>
          <w:i/>
          <w:lang w:eastAsia="x-none"/>
        </w:rPr>
        <w:t xml:space="preserve">” </w:t>
      </w:r>
      <w:r w:rsidRPr="00B35FE7">
        <w:rPr>
          <w:lang w:eastAsia="x-none"/>
        </w:rPr>
        <w:t xml:space="preserve">(Industry respondent) </w:t>
      </w:r>
    </w:p>
    <w:p w14:paraId="6C1765FC" w14:textId="77777777" w:rsidR="00822587" w:rsidRDefault="00822587" w:rsidP="00B3496A">
      <w:pPr>
        <w:pStyle w:val="ColorfulList-Accent12"/>
        <w:ind w:left="66"/>
        <w:rPr>
          <w:lang w:eastAsia="x-none"/>
        </w:rPr>
      </w:pPr>
    </w:p>
    <w:p w14:paraId="58B075A6" w14:textId="77777777" w:rsidR="00822587" w:rsidRPr="00822587" w:rsidRDefault="00822587" w:rsidP="00B3496A">
      <w:pPr>
        <w:pStyle w:val="ColorfulList-Accent12"/>
        <w:ind w:left="66"/>
        <w:rPr>
          <w:lang w:eastAsia="x-none"/>
        </w:rPr>
      </w:pPr>
      <w:r>
        <w:rPr>
          <w:i/>
          <w:lang w:eastAsia="x-none"/>
        </w:rPr>
        <w:t>“</w:t>
      </w:r>
      <w:r w:rsidRPr="00822587">
        <w:rPr>
          <w:i/>
          <w:lang w:eastAsia="x-none"/>
        </w:rPr>
        <w:t xml:space="preserve">My impression is that the taxpayer doesn't pay anything. </w:t>
      </w:r>
      <w:r w:rsidR="000B1699">
        <w:rPr>
          <w:i/>
          <w:lang w:eastAsia="x-none"/>
        </w:rPr>
        <w:t xml:space="preserve"> </w:t>
      </w:r>
      <w:r w:rsidRPr="00822587">
        <w:rPr>
          <w:i/>
          <w:lang w:eastAsia="x-none"/>
        </w:rPr>
        <w:t>It’s funded by the people who want to sell the products.</w:t>
      </w:r>
      <w:r>
        <w:rPr>
          <w:i/>
          <w:lang w:eastAsia="x-none"/>
        </w:rPr>
        <w:t xml:space="preserve">” </w:t>
      </w:r>
      <w:r>
        <w:rPr>
          <w:lang w:eastAsia="x-none"/>
        </w:rPr>
        <w:t>(Industry respondent)</w:t>
      </w:r>
    </w:p>
    <w:p w14:paraId="049E39F3" w14:textId="77777777" w:rsidR="00B35FE7" w:rsidRDefault="00B35FE7" w:rsidP="00B3496A">
      <w:pPr>
        <w:pStyle w:val="ColorfulList-Accent12"/>
        <w:ind w:left="66"/>
        <w:rPr>
          <w:u w:val="single"/>
          <w:lang w:eastAsia="x-none"/>
        </w:rPr>
      </w:pPr>
    </w:p>
    <w:p w14:paraId="4521CE2F" w14:textId="77777777" w:rsidR="00B35FE7" w:rsidRPr="00B35FE7" w:rsidRDefault="00B35FE7" w:rsidP="00B3496A">
      <w:pPr>
        <w:pStyle w:val="ColorfulList-Accent12"/>
        <w:ind w:left="66"/>
        <w:rPr>
          <w:lang w:eastAsia="x-none"/>
        </w:rPr>
      </w:pPr>
      <w:r>
        <w:rPr>
          <w:lang w:eastAsia="x-none"/>
        </w:rPr>
        <w:t>There was some discussion about the increase in fees associated with the transition to GEMS</w:t>
      </w:r>
      <w:r w:rsidR="005E249A">
        <w:rPr>
          <w:lang w:eastAsia="x-none"/>
        </w:rPr>
        <w:t xml:space="preserve"> in 2012</w:t>
      </w:r>
      <w:r>
        <w:rPr>
          <w:rStyle w:val="FootnoteReference"/>
          <w:lang w:eastAsia="x-none"/>
        </w:rPr>
        <w:footnoteReference w:id="181"/>
      </w:r>
      <w:r w:rsidR="005E249A">
        <w:rPr>
          <w:lang w:eastAsia="x-none"/>
        </w:rPr>
        <w:t xml:space="preserve">, and that this was tolerated on the basis of the benefits to industry of the program. </w:t>
      </w:r>
    </w:p>
    <w:p w14:paraId="3CEFAFAD" w14:textId="77777777" w:rsidR="00B35FE7" w:rsidRPr="00894DA7" w:rsidRDefault="00B35FE7" w:rsidP="00B3496A">
      <w:pPr>
        <w:pStyle w:val="ColorfulList-Accent12"/>
        <w:ind w:left="66"/>
        <w:rPr>
          <w:u w:val="single"/>
          <w:lang w:eastAsia="x-none"/>
        </w:rPr>
      </w:pPr>
    </w:p>
    <w:p w14:paraId="52334814" w14:textId="77777777" w:rsidR="00762C58" w:rsidRPr="00B35FE7" w:rsidRDefault="00B35FE7" w:rsidP="00B3496A">
      <w:pPr>
        <w:pStyle w:val="ColorfulList-Accent12"/>
        <w:ind w:left="66"/>
        <w:rPr>
          <w:i/>
          <w:lang w:eastAsia="x-none"/>
        </w:rPr>
      </w:pPr>
      <w:r w:rsidRPr="00B35FE7">
        <w:rPr>
          <w:i/>
          <w:lang w:eastAsia="x-none"/>
        </w:rPr>
        <w:lastRenderedPageBreak/>
        <w:t>“</w:t>
      </w:r>
      <w:r w:rsidR="00762C58" w:rsidRPr="00B35FE7">
        <w:rPr>
          <w:i/>
          <w:lang w:eastAsia="x-none"/>
        </w:rPr>
        <w:t xml:space="preserve">We don't get communications about where the fees are spent, but </w:t>
      </w:r>
      <w:r w:rsidR="00C55D31">
        <w:rPr>
          <w:i/>
          <w:lang w:eastAsia="x-none"/>
        </w:rPr>
        <w:t xml:space="preserve">[the] </w:t>
      </w:r>
      <w:r w:rsidR="00762C58" w:rsidRPr="00B35FE7">
        <w:rPr>
          <w:i/>
          <w:lang w:eastAsia="x-none"/>
        </w:rPr>
        <w:t>assumption is that it</w:t>
      </w:r>
      <w:r w:rsidRPr="00B35FE7">
        <w:rPr>
          <w:i/>
          <w:lang w:eastAsia="x-none"/>
        </w:rPr>
        <w:t xml:space="preserve"> i</w:t>
      </w:r>
      <w:r w:rsidR="00762C58" w:rsidRPr="00B35FE7">
        <w:rPr>
          <w:i/>
          <w:lang w:eastAsia="x-none"/>
        </w:rPr>
        <w:t xml:space="preserve">s on the running of the program. </w:t>
      </w:r>
      <w:r w:rsidR="000B1699">
        <w:rPr>
          <w:i/>
          <w:lang w:eastAsia="x-none"/>
        </w:rPr>
        <w:t xml:space="preserve"> </w:t>
      </w:r>
      <w:r w:rsidR="00762C58" w:rsidRPr="00B35FE7">
        <w:rPr>
          <w:i/>
          <w:lang w:eastAsia="x-none"/>
        </w:rPr>
        <w:t>That is why we accept the higher fees, because it is a good program which is fully funded.</w:t>
      </w:r>
      <w:r w:rsidRPr="00B35FE7">
        <w:rPr>
          <w:i/>
          <w:lang w:eastAsia="x-none"/>
        </w:rPr>
        <w:t xml:space="preserve">” </w:t>
      </w:r>
      <w:r w:rsidRPr="00B35FE7">
        <w:rPr>
          <w:lang w:eastAsia="x-none"/>
        </w:rPr>
        <w:t>(Industry respondent)</w:t>
      </w:r>
    </w:p>
    <w:p w14:paraId="14610501" w14:textId="77777777" w:rsidR="00762C58" w:rsidRDefault="00762C58" w:rsidP="00B3496A">
      <w:pPr>
        <w:pStyle w:val="ColorfulList-Accent12"/>
        <w:ind w:left="66"/>
        <w:rPr>
          <w:lang w:eastAsia="x-none"/>
        </w:rPr>
      </w:pPr>
    </w:p>
    <w:p w14:paraId="6909B3C1" w14:textId="77777777" w:rsidR="00B3496A" w:rsidRPr="00894DA7" w:rsidRDefault="00B3496A" w:rsidP="00B3496A">
      <w:pPr>
        <w:pStyle w:val="ColorfulList-Accent12"/>
        <w:ind w:left="66"/>
        <w:rPr>
          <w:lang w:eastAsia="x-none"/>
        </w:rPr>
      </w:pPr>
      <w:r w:rsidRPr="00894DA7">
        <w:rPr>
          <w:lang w:eastAsia="x-none"/>
        </w:rPr>
        <w:t>I</w:t>
      </w:r>
      <w:r w:rsidR="00393EE4" w:rsidRPr="00894DA7">
        <w:rPr>
          <w:lang w:eastAsia="x-none"/>
        </w:rPr>
        <w:t>ndustry was mainly accepting of the current costs, on the basis that benefits from the program</w:t>
      </w:r>
      <w:r w:rsidRPr="00894DA7">
        <w:rPr>
          <w:lang w:eastAsia="x-none"/>
        </w:rPr>
        <w:t xml:space="preserve"> are recognised, particularly emphasising that it helps keep unscrupulous suppliers</w:t>
      </w:r>
      <w:r w:rsidR="00193998">
        <w:rPr>
          <w:lang w:eastAsia="x-none"/>
        </w:rPr>
        <w:t>,</w:t>
      </w:r>
      <w:r w:rsidRPr="00894DA7">
        <w:rPr>
          <w:lang w:eastAsia="x-none"/>
        </w:rPr>
        <w:t xml:space="preserve"> with “</w:t>
      </w:r>
      <w:r w:rsidRPr="00894DA7">
        <w:rPr>
          <w:i/>
          <w:lang w:eastAsia="x-none"/>
        </w:rPr>
        <w:t>cheap and poorly performing</w:t>
      </w:r>
      <w:r w:rsidRPr="00894DA7">
        <w:rPr>
          <w:lang w:eastAsia="x-none"/>
        </w:rPr>
        <w:t>” products</w:t>
      </w:r>
      <w:r w:rsidR="00193998">
        <w:rPr>
          <w:lang w:eastAsia="x-none"/>
        </w:rPr>
        <w:t>,</w:t>
      </w:r>
      <w:r w:rsidRPr="00894DA7">
        <w:rPr>
          <w:lang w:eastAsia="x-none"/>
        </w:rPr>
        <w:t xml:space="preserve"> from entering the market.  The costs were acceptable, providing there was confidence</w:t>
      </w:r>
      <w:r w:rsidR="00393EE4" w:rsidRPr="00894DA7">
        <w:rPr>
          <w:lang w:eastAsia="x-none"/>
        </w:rPr>
        <w:t xml:space="preserve"> that it was being mostly (and efficiently) spent on compliance activities to ensure high levels of compliance. </w:t>
      </w:r>
      <w:r w:rsidR="005E249A">
        <w:rPr>
          <w:lang w:eastAsia="x-none"/>
        </w:rPr>
        <w:t xml:space="preserve"> There was a general consensus amongst industry that a cost sharing model was the most appropriate, striking a balance of costs between those who benefit.  </w:t>
      </w:r>
    </w:p>
    <w:p w14:paraId="3441DC63" w14:textId="77777777" w:rsidR="00B3496A" w:rsidRDefault="00B3496A" w:rsidP="00B3496A">
      <w:pPr>
        <w:pStyle w:val="ColorfulList-Accent12"/>
        <w:ind w:left="66"/>
        <w:rPr>
          <w:lang w:eastAsia="x-none"/>
        </w:rPr>
      </w:pPr>
    </w:p>
    <w:p w14:paraId="5DB0A3AB" w14:textId="77777777" w:rsidR="005E249A" w:rsidRPr="005E249A" w:rsidRDefault="005E249A" w:rsidP="00B3496A">
      <w:pPr>
        <w:pStyle w:val="ColorfulList-Accent12"/>
        <w:ind w:left="66"/>
        <w:rPr>
          <w:lang w:eastAsia="x-none"/>
        </w:rPr>
      </w:pPr>
      <w:r>
        <w:rPr>
          <w:i/>
          <w:lang w:eastAsia="x-none"/>
        </w:rPr>
        <w:t>“[Costs] s</w:t>
      </w:r>
      <w:r w:rsidRPr="005E249A">
        <w:rPr>
          <w:i/>
          <w:lang w:eastAsia="x-none"/>
        </w:rPr>
        <w:t>hould be shared, there is a benefit to the manufacturer in having products registered, because they can’t sell without registering, also benefits to the tax payer in terms of lower energy usage, less greenhouse gases, less pollution.</w:t>
      </w:r>
      <w:r>
        <w:rPr>
          <w:i/>
          <w:lang w:eastAsia="x-none"/>
        </w:rPr>
        <w:t xml:space="preserve">” </w:t>
      </w:r>
      <w:r>
        <w:rPr>
          <w:lang w:eastAsia="x-none"/>
        </w:rPr>
        <w:t xml:space="preserve">(Industry respondent) </w:t>
      </w:r>
    </w:p>
    <w:p w14:paraId="5C83D1ED" w14:textId="77777777" w:rsidR="005E249A" w:rsidRPr="00894DA7" w:rsidRDefault="005E249A" w:rsidP="00B3496A">
      <w:pPr>
        <w:pStyle w:val="ColorfulList-Accent12"/>
        <w:ind w:left="66"/>
        <w:rPr>
          <w:lang w:eastAsia="x-none"/>
        </w:rPr>
      </w:pPr>
    </w:p>
    <w:p w14:paraId="48196623" w14:textId="77777777" w:rsidR="00B3496A" w:rsidRDefault="005E249A" w:rsidP="00B3496A">
      <w:pPr>
        <w:pStyle w:val="ColorfulList-Accent12"/>
        <w:ind w:left="66"/>
        <w:rPr>
          <w:lang w:eastAsia="x-none"/>
        </w:rPr>
      </w:pPr>
      <w:r>
        <w:rPr>
          <w:lang w:eastAsia="x-none"/>
        </w:rPr>
        <w:t>However, a</w:t>
      </w:r>
      <w:r w:rsidR="00B3496A" w:rsidRPr="00894DA7">
        <w:rPr>
          <w:lang w:eastAsia="x-none"/>
        </w:rPr>
        <w:t xml:space="preserve">s described in </w:t>
      </w:r>
      <w:r w:rsidR="00300314">
        <w:rPr>
          <w:lang w:eastAsia="x-none"/>
        </w:rPr>
        <w:t>S</w:t>
      </w:r>
      <w:r w:rsidR="00B3496A" w:rsidRPr="00894DA7">
        <w:rPr>
          <w:lang w:eastAsia="x-none"/>
        </w:rPr>
        <w:t xml:space="preserve">ection </w:t>
      </w:r>
      <w:r w:rsidR="00B3496A" w:rsidRPr="00894DA7">
        <w:rPr>
          <w:lang w:eastAsia="x-none"/>
        </w:rPr>
        <w:fldChar w:fldCharType="begin"/>
      </w:r>
      <w:r w:rsidR="00B3496A" w:rsidRPr="00894DA7">
        <w:rPr>
          <w:lang w:eastAsia="x-none"/>
        </w:rPr>
        <w:instrText xml:space="preserve"> REF _Ref409255047 \r \h </w:instrText>
      </w:r>
      <w:r w:rsidR="00894DA7">
        <w:rPr>
          <w:lang w:eastAsia="x-none"/>
        </w:rPr>
        <w:instrText xml:space="preserve"> \* MERGEFORMAT </w:instrText>
      </w:r>
      <w:r w:rsidR="00B3496A" w:rsidRPr="00894DA7">
        <w:rPr>
          <w:lang w:eastAsia="x-none"/>
        </w:rPr>
      </w:r>
      <w:r w:rsidR="00B3496A" w:rsidRPr="00894DA7">
        <w:rPr>
          <w:lang w:eastAsia="x-none"/>
        </w:rPr>
        <w:fldChar w:fldCharType="separate"/>
      </w:r>
      <w:r w:rsidR="00BE13BF">
        <w:rPr>
          <w:lang w:eastAsia="x-none"/>
        </w:rPr>
        <w:t>7.3</w:t>
      </w:r>
      <w:r w:rsidR="00B3496A" w:rsidRPr="00894DA7">
        <w:rPr>
          <w:lang w:eastAsia="x-none"/>
        </w:rPr>
        <w:fldChar w:fldCharType="end"/>
      </w:r>
      <w:r w:rsidR="00B3496A" w:rsidRPr="00894DA7">
        <w:rPr>
          <w:lang w:eastAsia="x-none"/>
        </w:rPr>
        <w:t xml:space="preserve">, </w:t>
      </w:r>
      <w:r>
        <w:rPr>
          <w:lang w:eastAsia="x-none"/>
        </w:rPr>
        <w:t>a few</w:t>
      </w:r>
      <w:r w:rsidR="00B3496A" w:rsidRPr="00894DA7">
        <w:rPr>
          <w:lang w:eastAsia="x-none"/>
        </w:rPr>
        <w:t xml:space="preserve"> respondents felt </w:t>
      </w:r>
      <w:r w:rsidR="00393EE4" w:rsidRPr="00894DA7">
        <w:rPr>
          <w:lang w:eastAsia="x-none"/>
        </w:rPr>
        <w:t xml:space="preserve">the current fees </w:t>
      </w:r>
      <w:r w:rsidR="00B3496A" w:rsidRPr="00894DA7">
        <w:rPr>
          <w:lang w:eastAsia="x-none"/>
        </w:rPr>
        <w:t>were</w:t>
      </w:r>
      <w:r w:rsidR="00393EE4" w:rsidRPr="00894DA7">
        <w:rPr>
          <w:lang w:eastAsia="x-none"/>
        </w:rPr>
        <w:t xml:space="preserve"> onerous</w:t>
      </w:r>
      <w:r w:rsidR="00B3496A" w:rsidRPr="00894DA7">
        <w:rPr>
          <w:lang w:eastAsia="x-none"/>
        </w:rPr>
        <w:t>, particularly those who had more registrations to pay for, per volume of product sold and/or those where the ‘families of models’ route was not a possibility</w:t>
      </w:r>
      <w:r w:rsidR="00F25167">
        <w:rPr>
          <w:lang w:eastAsia="x-none"/>
        </w:rPr>
        <w:t xml:space="preserve"> (e</w:t>
      </w:r>
      <w:r w:rsidR="00DF7285">
        <w:rPr>
          <w:lang w:eastAsia="x-none"/>
        </w:rPr>
        <w:t>.</w:t>
      </w:r>
      <w:r w:rsidR="00F25167">
        <w:rPr>
          <w:lang w:eastAsia="x-none"/>
        </w:rPr>
        <w:t>g. lighting)</w:t>
      </w:r>
      <w:r w:rsidR="00B3496A" w:rsidRPr="00894DA7">
        <w:rPr>
          <w:lang w:eastAsia="x-none"/>
        </w:rPr>
        <w:t xml:space="preserve">.  </w:t>
      </w:r>
      <w:r>
        <w:rPr>
          <w:lang w:eastAsia="x-none"/>
        </w:rPr>
        <w:t>Furthermore, there was discussion about the costs of testing products born by some product group suppliers – in particular those where this is a significant cost</w:t>
      </w:r>
      <w:r w:rsidR="002513B4">
        <w:rPr>
          <w:rStyle w:val="FootnoteReference"/>
          <w:lang w:eastAsia="x-none"/>
        </w:rPr>
        <w:footnoteReference w:id="182"/>
      </w:r>
      <w:r>
        <w:rPr>
          <w:lang w:eastAsia="x-none"/>
        </w:rPr>
        <w:t xml:space="preserve">. </w:t>
      </w:r>
    </w:p>
    <w:p w14:paraId="11701BEB" w14:textId="77777777" w:rsidR="00D222B2" w:rsidRDefault="00D222B2" w:rsidP="00B3496A">
      <w:pPr>
        <w:pStyle w:val="ColorfulList-Accent12"/>
        <w:ind w:left="66"/>
        <w:rPr>
          <w:lang w:eastAsia="x-none"/>
        </w:rPr>
      </w:pPr>
    </w:p>
    <w:p w14:paraId="14EBB9A0" w14:textId="77777777" w:rsidR="005E249A" w:rsidRDefault="005E249A" w:rsidP="00B3496A">
      <w:pPr>
        <w:pStyle w:val="ColorfulList-Accent12"/>
        <w:ind w:left="66"/>
        <w:rPr>
          <w:lang w:eastAsia="x-none"/>
        </w:rPr>
      </w:pPr>
      <w:r w:rsidRPr="005E249A">
        <w:rPr>
          <w:i/>
          <w:lang w:eastAsia="x-none"/>
        </w:rPr>
        <w:t xml:space="preserve">“testing is the big cost, to test </w:t>
      </w:r>
      <w:r>
        <w:rPr>
          <w:i/>
          <w:lang w:eastAsia="x-none"/>
        </w:rPr>
        <w:t xml:space="preserve">….. </w:t>
      </w:r>
      <w:r w:rsidRPr="005E249A">
        <w:rPr>
          <w:i/>
          <w:lang w:eastAsia="x-none"/>
        </w:rPr>
        <w:t xml:space="preserve"> costs $16,000.</w:t>
      </w:r>
      <w:r>
        <w:rPr>
          <w:rStyle w:val="FootnoteReference"/>
          <w:i/>
          <w:lang w:eastAsia="x-none"/>
        </w:rPr>
        <w:footnoteReference w:id="183"/>
      </w:r>
      <w:r w:rsidRPr="005E249A">
        <w:rPr>
          <w:i/>
          <w:lang w:eastAsia="x-none"/>
        </w:rPr>
        <w:t>”</w:t>
      </w:r>
      <w:r>
        <w:rPr>
          <w:i/>
          <w:lang w:eastAsia="x-none"/>
        </w:rPr>
        <w:t xml:space="preserve"> </w:t>
      </w:r>
      <w:r>
        <w:rPr>
          <w:lang w:eastAsia="x-none"/>
        </w:rPr>
        <w:t>(Industry respondent)</w:t>
      </w:r>
    </w:p>
    <w:p w14:paraId="323CEBE5" w14:textId="77777777" w:rsidR="005E249A" w:rsidRDefault="005E249A" w:rsidP="00B3496A">
      <w:pPr>
        <w:pStyle w:val="ColorfulList-Accent12"/>
        <w:ind w:left="66"/>
        <w:rPr>
          <w:lang w:eastAsia="x-none"/>
        </w:rPr>
      </w:pPr>
    </w:p>
    <w:p w14:paraId="66326F94" w14:textId="77777777" w:rsidR="005E249A" w:rsidRDefault="00145393" w:rsidP="00B3496A">
      <w:pPr>
        <w:pStyle w:val="ColorfulList-Accent12"/>
        <w:ind w:left="66"/>
        <w:rPr>
          <w:lang w:eastAsia="x-none"/>
        </w:rPr>
      </w:pPr>
      <w:r>
        <w:rPr>
          <w:lang w:eastAsia="x-none"/>
        </w:rPr>
        <w:t xml:space="preserve">Others discussed </w:t>
      </w:r>
      <w:r w:rsidR="007A4D50">
        <w:rPr>
          <w:lang w:eastAsia="x-none"/>
        </w:rPr>
        <w:t xml:space="preserve">the </w:t>
      </w:r>
      <w:r>
        <w:rPr>
          <w:lang w:eastAsia="x-none"/>
        </w:rPr>
        <w:t xml:space="preserve">costs of product development in order to comply with the scheme as a reason for scheme costs funded by industry to be low.  </w:t>
      </w:r>
    </w:p>
    <w:p w14:paraId="37EF743B" w14:textId="77777777" w:rsidR="005E249A" w:rsidRDefault="005E249A" w:rsidP="00B3496A">
      <w:pPr>
        <w:pStyle w:val="ColorfulList-Accent12"/>
        <w:ind w:left="66"/>
        <w:rPr>
          <w:lang w:eastAsia="x-none"/>
        </w:rPr>
      </w:pPr>
    </w:p>
    <w:p w14:paraId="784AD1BF" w14:textId="77777777" w:rsidR="005E249A" w:rsidRPr="00145393" w:rsidRDefault="005E249A" w:rsidP="00B3496A">
      <w:pPr>
        <w:pStyle w:val="ColorfulList-Accent12"/>
        <w:ind w:left="66"/>
        <w:rPr>
          <w:lang w:eastAsia="x-none"/>
        </w:rPr>
      </w:pPr>
      <w:r>
        <w:rPr>
          <w:i/>
          <w:lang w:eastAsia="x-none"/>
        </w:rPr>
        <w:t>“</w:t>
      </w:r>
      <w:r w:rsidRPr="005E249A">
        <w:rPr>
          <w:i/>
          <w:lang w:eastAsia="x-none"/>
        </w:rPr>
        <w:t>I don't want to put a comment on that because it is about where you believe the responsibility lies, for product development it lies with us so I don't think the cost to industry should be high.</w:t>
      </w:r>
      <w:r>
        <w:rPr>
          <w:i/>
          <w:lang w:eastAsia="x-none"/>
        </w:rPr>
        <w:t>”</w:t>
      </w:r>
      <w:r w:rsidR="00145393">
        <w:rPr>
          <w:lang w:eastAsia="x-none"/>
        </w:rPr>
        <w:t xml:space="preserve"> (Industry respondent)</w:t>
      </w:r>
    </w:p>
    <w:p w14:paraId="695D962D" w14:textId="77777777" w:rsidR="00B3496A" w:rsidRPr="00894DA7" w:rsidRDefault="00B3496A" w:rsidP="00B3496A">
      <w:pPr>
        <w:pStyle w:val="ColorfulList-Accent12"/>
        <w:ind w:left="66"/>
        <w:rPr>
          <w:lang w:eastAsia="x-none"/>
        </w:rPr>
      </w:pPr>
    </w:p>
    <w:p w14:paraId="46573E0C" w14:textId="77777777" w:rsidR="00894DA7" w:rsidRPr="00894DA7" w:rsidRDefault="00B3496A" w:rsidP="00B3496A">
      <w:pPr>
        <w:pStyle w:val="ColorfulList-Accent12"/>
        <w:ind w:left="66"/>
        <w:rPr>
          <w:lang w:eastAsia="x-none"/>
        </w:rPr>
      </w:pPr>
      <w:r w:rsidRPr="00894DA7">
        <w:rPr>
          <w:lang w:eastAsia="x-none"/>
        </w:rPr>
        <w:t xml:space="preserve">Most </w:t>
      </w:r>
      <w:r w:rsidR="00193998">
        <w:rPr>
          <w:lang w:eastAsia="x-none"/>
        </w:rPr>
        <w:t>g</w:t>
      </w:r>
      <w:r w:rsidR="00393EE4" w:rsidRPr="00894DA7">
        <w:rPr>
          <w:lang w:eastAsia="x-none"/>
        </w:rPr>
        <w:t xml:space="preserve">overnment and NGO representatives </w:t>
      </w:r>
      <w:r w:rsidRPr="00894DA7">
        <w:rPr>
          <w:lang w:eastAsia="x-none"/>
        </w:rPr>
        <w:t xml:space="preserve">perceived that </w:t>
      </w:r>
      <w:r w:rsidR="00193998">
        <w:rPr>
          <w:lang w:eastAsia="x-none"/>
        </w:rPr>
        <w:t xml:space="preserve">it </w:t>
      </w:r>
      <w:r w:rsidR="00393EE4" w:rsidRPr="00894DA7">
        <w:rPr>
          <w:lang w:eastAsia="x-none"/>
        </w:rPr>
        <w:t xml:space="preserve">was right that the </w:t>
      </w:r>
      <w:r w:rsidR="00193998">
        <w:rPr>
          <w:lang w:eastAsia="x-none"/>
        </w:rPr>
        <w:t>g</w:t>
      </w:r>
      <w:r w:rsidR="00393EE4" w:rsidRPr="00894DA7">
        <w:rPr>
          <w:lang w:eastAsia="x-none"/>
        </w:rPr>
        <w:t xml:space="preserve">overnment funded a portion of the cost of GEMS, as there is a public benefit. </w:t>
      </w:r>
    </w:p>
    <w:p w14:paraId="1BF43C4F" w14:textId="77777777" w:rsidR="00894DA7" w:rsidRDefault="00894DA7" w:rsidP="00DE6A70">
      <w:pPr>
        <w:rPr>
          <w:i/>
        </w:rPr>
      </w:pPr>
      <w:r w:rsidRPr="00894DA7">
        <w:rPr>
          <w:i/>
        </w:rPr>
        <w:t xml:space="preserve">“Given the public benefit there is definitely a role for government funding, but there is also a benefit to suppliers themselves so there is </w:t>
      </w:r>
      <w:r w:rsidR="00193998">
        <w:rPr>
          <w:i/>
        </w:rPr>
        <w:t xml:space="preserve">an </w:t>
      </w:r>
      <w:r w:rsidRPr="00894DA7">
        <w:rPr>
          <w:i/>
        </w:rPr>
        <w:t xml:space="preserve">argument for their contributions. </w:t>
      </w:r>
      <w:r w:rsidR="000B1699">
        <w:rPr>
          <w:i/>
        </w:rPr>
        <w:t xml:space="preserve"> </w:t>
      </w:r>
      <w:r w:rsidRPr="00894DA7">
        <w:rPr>
          <w:i/>
        </w:rPr>
        <w:t>The key is that it needs to be funded properly.” (Consumer representative)</w:t>
      </w:r>
    </w:p>
    <w:p w14:paraId="03BA7666" w14:textId="77777777" w:rsidR="00393EE4" w:rsidRPr="00DE6A70" w:rsidRDefault="00894DA7" w:rsidP="00320FDC">
      <w:pPr>
        <w:pStyle w:val="ColorfulList-Accent12"/>
        <w:numPr>
          <w:ilvl w:val="0"/>
          <w:numId w:val="50"/>
        </w:numPr>
        <w:ind w:left="426"/>
        <w:rPr>
          <w:lang w:eastAsia="x-none"/>
        </w:rPr>
      </w:pPr>
      <w:r w:rsidRPr="00DE6A70">
        <w:rPr>
          <w:u w:val="single"/>
          <w:lang w:eastAsia="x-none"/>
        </w:rPr>
        <w:t>Higher levels of recovery</w:t>
      </w:r>
    </w:p>
    <w:p w14:paraId="235CD669" w14:textId="77777777" w:rsidR="00894DA7" w:rsidRPr="002D7951" w:rsidRDefault="00894DA7" w:rsidP="00894DA7">
      <w:pPr>
        <w:pStyle w:val="ColorfulList-Accent12"/>
        <w:ind w:left="426"/>
        <w:rPr>
          <w:lang w:eastAsia="x-none"/>
        </w:rPr>
      </w:pPr>
    </w:p>
    <w:p w14:paraId="3B9A4C31" w14:textId="77777777" w:rsidR="00DE6A70" w:rsidRPr="002D7951" w:rsidRDefault="00894DA7" w:rsidP="00856597">
      <w:pPr>
        <w:pStyle w:val="ColorfulList-Accent12"/>
        <w:ind w:left="66"/>
        <w:rPr>
          <w:lang w:eastAsia="x-none"/>
        </w:rPr>
      </w:pPr>
      <w:r w:rsidRPr="002D7951">
        <w:rPr>
          <w:lang w:eastAsia="x-none"/>
        </w:rPr>
        <w:t xml:space="preserve">Exploration of possible higher levels of cost recovery with industry respondents revealed that whilst it would not be welcomed, some would </w:t>
      </w:r>
      <w:r w:rsidR="00393EE4" w:rsidRPr="002D7951">
        <w:rPr>
          <w:lang w:eastAsia="x-none"/>
        </w:rPr>
        <w:t xml:space="preserve">tolerate </w:t>
      </w:r>
      <w:r w:rsidR="00762C58" w:rsidRPr="002D7951">
        <w:rPr>
          <w:lang w:eastAsia="x-none"/>
        </w:rPr>
        <w:t>increases in costs, albeit within a fairly limited scale</w:t>
      </w:r>
      <w:r w:rsidR="00DE6A70" w:rsidRPr="002D7951">
        <w:rPr>
          <w:lang w:eastAsia="x-none"/>
        </w:rPr>
        <w:t xml:space="preserve"> (as shown above) </w:t>
      </w:r>
      <w:r w:rsidR="00EB4D35" w:rsidRPr="002D7951">
        <w:rPr>
          <w:lang w:eastAsia="x-none"/>
        </w:rPr>
        <w:t xml:space="preserve">and </w:t>
      </w:r>
      <w:r w:rsidR="00DE6A70" w:rsidRPr="002D7951">
        <w:rPr>
          <w:lang w:eastAsia="x-none"/>
        </w:rPr>
        <w:t>others would find this difficult</w:t>
      </w:r>
      <w:r w:rsidR="00EB4D35" w:rsidRPr="002D7951">
        <w:rPr>
          <w:lang w:eastAsia="x-none"/>
        </w:rPr>
        <w:t>.</w:t>
      </w:r>
    </w:p>
    <w:p w14:paraId="2969C9AC" w14:textId="77777777" w:rsidR="00DE6A70" w:rsidRDefault="00DE6A70" w:rsidP="00997283">
      <w:pPr>
        <w:pStyle w:val="ColorfulList-Accent12"/>
        <w:spacing w:after="0"/>
        <w:ind w:left="66"/>
        <w:rPr>
          <w:lang w:eastAsia="x-none"/>
        </w:rPr>
      </w:pPr>
    </w:p>
    <w:p w14:paraId="5A6A851A" w14:textId="77777777" w:rsidR="00DE6A70" w:rsidRPr="002D7951" w:rsidRDefault="00193998" w:rsidP="00894DA7">
      <w:pPr>
        <w:pStyle w:val="ColorfulList-Accent12"/>
        <w:ind w:left="66"/>
        <w:rPr>
          <w:lang w:eastAsia="x-none"/>
        </w:rPr>
      </w:pPr>
      <w:r w:rsidRPr="002D7951" w:rsidDel="00193998">
        <w:rPr>
          <w:i/>
          <w:lang w:eastAsia="x-none"/>
        </w:rPr>
        <w:lastRenderedPageBreak/>
        <w:t xml:space="preserve"> </w:t>
      </w:r>
      <w:r w:rsidR="006C1F57" w:rsidRPr="002D7951">
        <w:rPr>
          <w:i/>
          <w:lang w:eastAsia="x-none"/>
        </w:rPr>
        <w:t>“Note some of the products covered are low profit margin so can't pass on any additional cost. The funds should come from where the benefit is –[I] believe it is with the government and consumer, so they should pay.”</w:t>
      </w:r>
      <w:r w:rsidR="006C1F57" w:rsidRPr="002D7951">
        <w:rPr>
          <w:lang w:eastAsia="x-none"/>
        </w:rPr>
        <w:t xml:space="preserve"> (Industry respondent) </w:t>
      </w:r>
    </w:p>
    <w:p w14:paraId="43812A6F" w14:textId="77777777" w:rsidR="00894DA7" w:rsidRPr="002D7951" w:rsidRDefault="00894DA7" w:rsidP="00894DA7">
      <w:pPr>
        <w:pStyle w:val="ColorfulList-Accent12"/>
        <w:ind w:left="66"/>
        <w:rPr>
          <w:lang w:eastAsia="x-none"/>
        </w:rPr>
      </w:pPr>
    </w:p>
    <w:p w14:paraId="4D45C50E" w14:textId="77777777" w:rsidR="00EB4D35" w:rsidRPr="002D7951" w:rsidRDefault="00EB4D35" w:rsidP="00894DA7">
      <w:pPr>
        <w:pStyle w:val="ColorfulList-Accent12"/>
        <w:ind w:left="66"/>
        <w:rPr>
          <w:lang w:eastAsia="x-none"/>
        </w:rPr>
      </w:pPr>
      <w:r w:rsidRPr="002D7951">
        <w:rPr>
          <w:i/>
          <w:lang w:eastAsia="x-none"/>
        </w:rPr>
        <w:t>“GEMS recovery costs from the industry is not supported as it encourages open ended regulations and costs. Costs to register products should be at cost or nominal fee.”</w:t>
      </w:r>
      <w:r w:rsidRPr="002D7951">
        <w:rPr>
          <w:lang w:eastAsia="x-none"/>
        </w:rPr>
        <w:t xml:space="preserve"> (Industry respondent) </w:t>
      </w:r>
    </w:p>
    <w:p w14:paraId="08A59709" w14:textId="77777777" w:rsidR="00EB4D35" w:rsidRDefault="00EB4D35" w:rsidP="00894DA7">
      <w:pPr>
        <w:pStyle w:val="ColorfulList-Accent12"/>
        <w:ind w:left="66"/>
        <w:rPr>
          <w:lang w:eastAsia="x-none"/>
        </w:rPr>
      </w:pPr>
    </w:p>
    <w:p w14:paraId="539FEBCA" w14:textId="77777777" w:rsidR="000A5956" w:rsidRDefault="000A5956" w:rsidP="00894DA7">
      <w:pPr>
        <w:pStyle w:val="ColorfulList-Accent12"/>
        <w:ind w:left="66"/>
        <w:rPr>
          <w:lang w:eastAsia="x-none"/>
        </w:rPr>
      </w:pPr>
      <w:r>
        <w:rPr>
          <w:lang w:eastAsia="x-none"/>
        </w:rPr>
        <w:t>One or two discussed that some aspects could reasonably be recovered, but others could not.</w:t>
      </w:r>
    </w:p>
    <w:p w14:paraId="39259513" w14:textId="77777777" w:rsidR="000A5956" w:rsidRDefault="000A5956" w:rsidP="00894DA7">
      <w:pPr>
        <w:pStyle w:val="ColorfulList-Accent12"/>
        <w:ind w:left="66"/>
        <w:rPr>
          <w:lang w:eastAsia="x-none"/>
        </w:rPr>
      </w:pPr>
    </w:p>
    <w:p w14:paraId="71D4DAEF" w14:textId="77777777" w:rsidR="000A5956" w:rsidRDefault="000A5956" w:rsidP="00894DA7">
      <w:pPr>
        <w:pStyle w:val="ColorfulList-Accent12"/>
        <w:ind w:left="66"/>
        <w:rPr>
          <w:lang w:eastAsia="x-none"/>
        </w:rPr>
      </w:pPr>
      <w:r w:rsidRPr="000A5956">
        <w:rPr>
          <w:i/>
          <w:lang w:eastAsia="x-none"/>
        </w:rPr>
        <w:t xml:space="preserve">“Commonwealth can't levy industry for the cost of government effort (the compliance </w:t>
      </w:r>
      <w:r w:rsidR="00237842">
        <w:rPr>
          <w:i/>
          <w:lang w:eastAsia="x-none"/>
        </w:rPr>
        <w:t>activities</w:t>
      </w:r>
      <w:r w:rsidRPr="000A5956">
        <w:rPr>
          <w:i/>
          <w:lang w:eastAsia="x-none"/>
        </w:rPr>
        <w:t xml:space="preserve"> and policy development) - which really only leaves the registration process.”</w:t>
      </w:r>
      <w:r>
        <w:rPr>
          <w:lang w:eastAsia="x-none"/>
        </w:rPr>
        <w:t xml:space="preserve"> (Industry respondent) </w:t>
      </w:r>
    </w:p>
    <w:p w14:paraId="0DDFE549" w14:textId="77777777" w:rsidR="000A5956" w:rsidRPr="002D7951" w:rsidRDefault="000A5956" w:rsidP="00894DA7">
      <w:pPr>
        <w:pStyle w:val="ColorfulList-Accent12"/>
        <w:ind w:left="66"/>
        <w:rPr>
          <w:lang w:eastAsia="x-none"/>
        </w:rPr>
      </w:pPr>
    </w:p>
    <w:p w14:paraId="616BC8B5" w14:textId="77777777" w:rsidR="00EB4D35" w:rsidRPr="002D7951" w:rsidRDefault="00BE641D" w:rsidP="00894DA7">
      <w:pPr>
        <w:pStyle w:val="ColorfulList-Accent12"/>
        <w:ind w:left="66"/>
        <w:rPr>
          <w:lang w:eastAsia="x-none"/>
        </w:rPr>
      </w:pPr>
      <w:r w:rsidRPr="002D7951">
        <w:rPr>
          <w:lang w:eastAsia="x-none"/>
        </w:rPr>
        <w:t xml:space="preserve">Others drew further on the point about there being a public benefit and therefore that the public purse should bear some of the costs.  This point </w:t>
      </w:r>
      <w:r w:rsidR="00237842">
        <w:rPr>
          <w:lang w:eastAsia="x-none"/>
        </w:rPr>
        <w:t>also made</w:t>
      </w:r>
      <w:r w:rsidRPr="002D7951">
        <w:rPr>
          <w:lang w:eastAsia="x-none"/>
        </w:rPr>
        <w:t xml:space="preserve"> by other stakeholders, including </w:t>
      </w:r>
      <w:r w:rsidR="00193998">
        <w:rPr>
          <w:lang w:eastAsia="x-none"/>
        </w:rPr>
        <w:t>g</w:t>
      </w:r>
      <w:r w:rsidRPr="002D7951">
        <w:rPr>
          <w:lang w:eastAsia="x-none"/>
        </w:rPr>
        <w:t>overnment and consumer representatives.</w:t>
      </w:r>
    </w:p>
    <w:p w14:paraId="7EFFA184" w14:textId="77777777" w:rsidR="00EB4D35" w:rsidRPr="002D7951" w:rsidRDefault="00EB4D35" w:rsidP="00894DA7">
      <w:pPr>
        <w:pStyle w:val="ColorfulList-Accent12"/>
        <w:ind w:left="66"/>
        <w:rPr>
          <w:lang w:eastAsia="x-none"/>
        </w:rPr>
      </w:pPr>
    </w:p>
    <w:p w14:paraId="2FE43605" w14:textId="77777777" w:rsidR="00BE641D" w:rsidRPr="002D7951" w:rsidRDefault="00BE641D" w:rsidP="00894DA7">
      <w:pPr>
        <w:pStyle w:val="ColorfulList-Accent12"/>
        <w:ind w:left="66"/>
        <w:rPr>
          <w:lang w:eastAsia="x-none"/>
        </w:rPr>
      </w:pPr>
      <w:r w:rsidRPr="002D7951">
        <w:rPr>
          <w:lang w:eastAsia="x-none"/>
        </w:rPr>
        <w:t xml:space="preserve">Furthermore, </w:t>
      </w:r>
      <w:r w:rsidR="00193998">
        <w:rPr>
          <w:lang w:eastAsia="x-none"/>
        </w:rPr>
        <w:t>g</w:t>
      </w:r>
      <w:r w:rsidRPr="002D7951">
        <w:rPr>
          <w:lang w:eastAsia="x-none"/>
        </w:rPr>
        <w:t xml:space="preserve">overnment respondents expressed concern over increased industry burden from higher costs.  </w:t>
      </w:r>
    </w:p>
    <w:p w14:paraId="60F93B66" w14:textId="77777777" w:rsidR="00BE641D" w:rsidRPr="002D7951" w:rsidRDefault="00BE641D" w:rsidP="00894DA7">
      <w:pPr>
        <w:pStyle w:val="ColorfulList-Accent12"/>
        <w:ind w:left="66"/>
        <w:rPr>
          <w:lang w:eastAsia="x-none"/>
        </w:rPr>
      </w:pPr>
    </w:p>
    <w:p w14:paraId="5468B33C" w14:textId="77777777" w:rsidR="00393EE4" w:rsidRPr="002D7951" w:rsidRDefault="00393EE4" w:rsidP="00BE641D">
      <w:pPr>
        <w:pStyle w:val="ColorfulList-Accent12"/>
        <w:ind w:left="66"/>
        <w:rPr>
          <w:lang w:eastAsia="x-none"/>
        </w:rPr>
      </w:pPr>
      <w:r w:rsidRPr="002D7951">
        <w:rPr>
          <w:lang w:eastAsia="x-none"/>
        </w:rPr>
        <w:t>“</w:t>
      </w:r>
      <w:r w:rsidR="00BE641D" w:rsidRPr="002D7951">
        <w:rPr>
          <w:lang w:eastAsia="x-none"/>
        </w:rPr>
        <w:t>S</w:t>
      </w:r>
      <w:r w:rsidRPr="002D7951">
        <w:rPr>
          <w:i/>
          <w:lang w:eastAsia="x-none"/>
        </w:rPr>
        <w:t>o why would industry pay twice, once for the implementation costs and again for the program</w:t>
      </w:r>
      <w:r w:rsidR="00BE641D" w:rsidRPr="002D7951">
        <w:rPr>
          <w:lang w:eastAsia="x-none"/>
        </w:rPr>
        <w:t>…. [You] c</w:t>
      </w:r>
      <w:r w:rsidRPr="002D7951">
        <w:rPr>
          <w:i/>
          <w:lang w:eastAsia="x-none"/>
        </w:rPr>
        <w:t xml:space="preserve">ould go through cost-recovery, but it's not an expensive program. </w:t>
      </w:r>
      <w:r w:rsidR="000B1699">
        <w:rPr>
          <w:i/>
          <w:lang w:eastAsia="x-none"/>
        </w:rPr>
        <w:t xml:space="preserve"> </w:t>
      </w:r>
      <w:r w:rsidRPr="002D7951">
        <w:rPr>
          <w:i/>
          <w:lang w:eastAsia="x-none"/>
        </w:rPr>
        <w:t>The scheme is ultimately designed to benefit consumers, not necessarily to benefit industry”</w:t>
      </w:r>
      <w:r w:rsidR="00BE641D" w:rsidRPr="002D7951">
        <w:rPr>
          <w:lang w:eastAsia="x-none"/>
        </w:rPr>
        <w:t xml:space="preserve"> (State </w:t>
      </w:r>
      <w:r w:rsidR="000B1699">
        <w:rPr>
          <w:lang w:eastAsia="x-none"/>
        </w:rPr>
        <w:t>g</w:t>
      </w:r>
      <w:r w:rsidR="00BE641D" w:rsidRPr="002D7951">
        <w:rPr>
          <w:lang w:eastAsia="x-none"/>
        </w:rPr>
        <w:t>overnment</w:t>
      </w:r>
      <w:r w:rsidR="000B1699">
        <w:rPr>
          <w:lang w:eastAsia="x-none"/>
        </w:rPr>
        <w:t xml:space="preserve"> respondent</w:t>
      </w:r>
      <w:r w:rsidR="00BE641D" w:rsidRPr="002D7951">
        <w:rPr>
          <w:lang w:eastAsia="x-none"/>
        </w:rPr>
        <w:t xml:space="preserve">)  </w:t>
      </w:r>
    </w:p>
    <w:p w14:paraId="4FB0F650" w14:textId="77777777" w:rsidR="00BE641D" w:rsidRPr="002D7951" w:rsidRDefault="00BE641D" w:rsidP="00BE641D">
      <w:pPr>
        <w:pStyle w:val="ColorfulList-Accent12"/>
        <w:ind w:left="66"/>
        <w:rPr>
          <w:lang w:eastAsia="x-none"/>
        </w:rPr>
      </w:pPr>
    </w:p>
    <w:p w14:paraId="52E63C05" w14:textId="77777777" w:rsidR="00856597" w:rsidRPr="002D7951" w:rsidRDefault="00856597" w:rsidP="00BE641D">
      <w:pPr>
        <w:pStyle w:val="ColorfulList-Accent12"/>
        <w:ind w:left="66"/>
        <w:rPr>
          <w:lang w:eastAsia="x-none"/>
        </w:rPr>
      </w:pPr>
      <w:r w:rsidRPr="002D7951">
        <w:rPr>
          <w:lang w:eastAsia="x-none"/>
        </w:rPr>
        <w:t>Finally, a point which was reflected through all of the discussions was that no matter the funding source, it was important that the program was funded appropriately to ensu</w:t>
      </w:r>
      <w:r w:rsidR="006E0C1B">
        <w:rPr>
          <w:lang w:eastAsia="x-none"/>
        </w:rPr>
        <w:t>re it could deliver effectively.</w:t>
      </w:r>
    </w:p>
    <w:p w14:paraId="6599674D" w14:textId="77777777" w:rsidR="00856597" w:rsidRPr="002D7951" w:rsidRDefault="00856597" w:rsidP="00BE641D">
      <w:pPr>
        <w:pStyle w:val="ColorfulList-Accent12"/>
        <w:ind w:left="66"/>
        <w:rPr>
          <w:lang w:eastAsia="x-none"/>
        </w:rPr>
      </w:pPr>
    </w:p>
    <w:p w14:paraId="491CECDC" w14:textId="77777777" w:rsidR="00856597" w:rsidRPr="002D7951" w:rsidRDefault="00856597" w:rsidP="00BE641D">
      <w:pPr>
        <w:pStyle w:val="ColorfulList-Accent12"/>
        <w:ind w:left="66"/>
        <w:rPr>
          <w:lang w:eastAsia="x-none"/>
        </w:rPr>
      </w:pPr>
      <w:r w:rsidRPr="002D7951">
        <w:rPr>
          <w:i/>
          <w:lang w:eastAsia="x-none"/>
        </w:rPr>
        <w:t xml:space="preserve">“The key is that it needs to be funded properly.” </w:t>
      </w:r>
      <w:r w:rsidRPr="002D7951">
        <w:rPr>
          <w:lang w:eastAsia="x-none"/>
        </w:rPr>
        <w:t xml:space="preserve"> (Consumer representative) </w:t>
      </w:r>
    </w:p>
    <w:p w14:paraId="75B77F5F" w14:textId="77777777" w:rsidR="00856597" w:rsidRPr="002D7951" w:rsidRDefault="00856597" w:rsidP="00BE641D">
      <w:pPr>
        <w:pStyle w:val="ColorfulList-Accent12"/>
        <w:ind w:left="66"/>
        <w:rPr>
          <w:lang w:eastAsia="x-none"/>
        </w:rPr>
      </w:pPr>
    </w:p>
    <w:p w14:paraId="1B9E5C58" w14:textId="77777777" w:rsidR="00894DA7" w:rsidRPr="002D7951" w:rsidRDefault="00856597" w:rsidP="00856597">
      <w:pPr>
        <w:pStyle w:val="ColorfulList-Accent12"/>
        <w:ind w:left="0"/>
        <w:rPr>
          <w:lang w:eastAsia="x-none"/>
        </w:rPr>
      </w:pPr>
      <w:r w:rsidRPr="002D7951">
        <w:rPr>
          <w:u w:val="single"/>
          <w:lang w:eastAsia="x-none"/>
        </w:rPr>
        <w:t>Impact of higher cost recovery</w:t>
      </w:r>
      <w:r w:rsidR="003B3526">
        <w:rPr>
          <w:lang w:eastAsia="x-none"/>
        </w:rPr>
        <w:t xml:space="preserve">:  </w:t>
      </w:r>
      <w:r w:rsidRPr="002D7951">
        <w:rPr>
          <w:lang w:eastAsia="x-none"/>
        </w:rPr>
        <w:t>Two main points were made with regards to impacts if higher cost recovery was pursued</w:t>
      </w:r>
      <w:r w:rsidR="003B3526">
        <w:rPr>
          <w:lang w:eastAsia="x-none"/>
        </w:rPr>
        <w:t>:</w:t>
      </w:r>
    </w:p>
    <w:p w14:paraId="25496720" w14:textId="77777777" w:rsidR="00894DA7" w:rsidRPr="002D7951" w:rsidRDefault="00856597" w:rsidP="00320FDC">
      <w:pPr>
        <w:pStyle w:val="ColorfulList-Accent12"/>
        <w:numPr>
          <w:ilvl w:val="0"/>
          <w:numId w:val="51"/>
        </w:numPr>
        <w:rPr>
          <w:lang w:eastAsia="x-none"/>
        </w:rPr>
      </w:pPr>
      <w:r w:rsidRPr="002D7951">
        <w:rPr>
          <w:lang w:eastAsia="x-none"/>
        </w:rPr>
        <w:t>Costs would be passed on</w:t>
      </w:r>
      <w:r w:rsidR="00193998">
        <w:rPr>
          <w:lang w:eastAsia="x-none"/>
        </w:rPr>
        <w:t xml:space="preserve"> </w:t>
      </w:r>
      <w:r w:rsidRPr="002D7951">
        <w:rPr>
          <w:lang w:eastAsia="x-none"/>
        </w:rPr>
        <w:t>to the consumer</w:t>
      </w:r>
      <w:r w:rsidR="002D7951" w:rsidRPr="002D7951">
        <w:rPr>
          <w:lang w:eastAsia="x-none"/>
        </w:rPr>
        <w:t xml:space="preserve"> – this was noted by the majority of respondents</w:t>
      </w:r>
      <w:r w:rsidR="003B3526">
        <w:rPr>
          <w:lang w:eastAsia="x-none"/>
        </w:rPr>
        <w:t>;</w:t>
      </w:r>
      <w:r w:rsidR="00193998">
        <w:rPr>
          <w:lang w:eastAsia="x-none"/>
        </w:rPr>
        <w:t xml:space="preserve"> and</w:t>
      </w:r>
      <w:r w:rsidR="002D7951" w:rsidRPr="002D7951">
        <w:rPr>
          <w:lang w:eastAsia="x-none"/>
        </w:rPr>
        <w:t xml:space="preserve">  </w:t>
      </w:r>
    </w:p>
    <w:p w14:paraId="0C05F139" w14:textId="77777777" w:rsidR="00856597" w:rsidRPr="002D7951" w:rsidRDefault="002D7951" w:rsidP="00320FDC">
      <w:pPr>
        <w:pStyle w:val="ColorfulList-Accent12"/>
        <w:numPr>
          <w:ilvl w:val="0"/>
          <w:numId w:val="51"/>
        </w:numPr>
        <w:rPr>
          <w:lang w:eastAsia="x-none"/>
        </w:rPr>
      </w:pPr>
      <w:r w:rsidRPr="002D7951">
        <w:rPr>
          <w:lang w:eastAsia="x-none"/>
        </w:rPr>
        <w:t xml:space="preserve">If cost increases were significant, some suppliers would consider not bringing products to the market – </w:t>
      </w:r>
      <w:r w:rsidR="007A4D50">
        <w:rPr>
          <w:lang w:eastAsia="x-none"/>
        </w:rPr>
        <w:t xml:space="preserve">however </w:t>
      </w:r>
      <w:r w:rsidRPr="002D7951">
        <w:rPr>
          <w:lang w:eastAsia="x-none"/>
        </w:rPr>
        <w:t xml:space="preserve">this point was only made by one or two respondents.  </w:t>
      </w:r>
    </w:p>
    <w:p w14:paraId="5B03CCD4" w14:textId="77777777" w:rsidR="00856597" w:rsidRPr="002D7951" w:rsidRDefault="00856597" w:rsidP="00856597">
      <w:pPr>
        <w:pStyle w:val="ColorfulList-Accent12"/>
        <w:ind w:left="0"/>
        <w:rPr>
          <w:lang w:eastAsia="x-none"/>
        </w:rPr>
      </w:pPr>
    </w:p>
    <w:p w14:paraId="3BD5D8E7" w14:textId="77777777" w:rsidR="00856597" w:rsidRDefault="002D7951" w:rsidP="00D222B2">
      <w:pPr>
        <w:pStyle w:val="ColorfulList-Accent12"/>
        <w:ind w:left="66"/>
        <w:rPr>
          <w:lang w:eastAsia="x-none"/>
        </w:rPr>
      </w:pPr>
      <w:r w:rsidRPr="002D7951">
        <w:rPr>
          <w:i/>
          <w:lang w:eastAsia="x-none"/>
        </w:rPr>
        <w:t>“If there was a significant cost increase we would start to look at the products sold</w:t>
      </w:r>
      <w:r w:rsidR="002F34A3">
        <w:rPr>
          <w:i/>
          <w:lang w:eastAsia="x-none"/>
        </w:rPr>
        <w:t>.</w:t>
      </w:r>
      <w:r w:rsidRPr="002D7951">
        <w:rPr>
          <w:i/>
          <w:lang w:eastAsia="x-none"/>
        </w:rPr>
        <w:t xml:space="preserve"> </w:t>
      </w:r>
      <w:r w:rsidR="000B1699">
        <w:rPr>
          <w:i/>
          <w:lang w:eastAsia="x-none"/>
        </w:rPr>
        <w:t xml:space="preserve"> </w:t>
      </w:r>
      <w:r w:rsidR="002F34A3">
        <w:rPr>
          <w:i/>
          <w:lang w:eastAsia="x-none"/>
        </w:rPr>
        <w:t>I</w:t>
      </w:r>
      <w:r w:rsidRPr="002D7951">
        <w:rPr>
          <w:i/>
          <w:lang w:eastAsia="x-none"/>
        </w:rPr>
        <w:t xml:space="preserve">f not high sales, </w:t>
      </w:r>
      <w:r w:rsidR="002F34A3">
        <w:rPr>
          <w:i/>
          <w:lang w:eastAsia="x-none"/>
        </w:rPr>
        <w:t xml:space="preserve">we </w:t>
      </w:r>
      <w:r w:rsidRPr="002D7951">
        <w:rPr>
          <w:i/>
          <w:lang w:eastAsia="x-none"/>
        </w:rPr>
        <w:t xml:space="preserve">would take them off the market and reduce product choice. </w:t>
      </w:r>
      <w:r w:rsidR="000B1699">
        <w:rPr>
          <w:i/>
          <w:lang w:eastAsia="x-none"/>
        </w:rPr>
        <w:t xml:space="preserve"> </w:t>
      </w:r>
      <w:r w:rsidRPr="002D7951">
        <w:rPr>
          <w:i/>
          <w:lang w:eastAsia="x-none"/>
        </w:rPr>
        <w:t xml:space="preserve">This would have an impact on the competitiveness, consumer choice. It’s a very competitive market already.” </w:t>
      </w:r>
      <w:r w:rsidRPr="002D7951">
        <w:rPr>
          <w:lang w:eastAsia="x-none"/>
        </w:rPr>
        <w:t>(Industry</w:t>
      </w:r>
      <w:r w:rsidR="002513B4">
        <w:rPr>
          <w:lang w:eastAsia="x-none"/>
        </w:rPr>
        <w:t xml:space="preserve"> </w:t>
      </w:r>
      <w:r>
        <w:rPr>
          <w:lang w:eastAsia="x-none"/>
        </w:rPr>
        <w:t xml:space="preserve">respondent) </w:t>
      </w:r>
    </w:p>
    <w:p w14:paraId="15EEE160" w14:textId="77777777" w:rsidR="007A4D50" w:rsidRPr="00D222B2" w:rsidRDefault="007A4D50" w:rsidP="00D222B2">
      <w:pPr>
        <w:pStyle w:val="ColorfulList-Accent12"/>
        <w:ind w:left="66"/>
        <w:rPr>
          <w:lang w:eastAsia="x-none"/>
        </w:rPr>
      </w:pPr>
    </w:p>
    <w:p w14:paraId="0848CFFC" w14:textId="77777777" w:rsidR="000D30FC" w:rsidRDefault="000D30FC" w:rsidP="000D30FC">
      <w:pPr>
        <w:pStyle w:val="Heading3"/>
      </w:pPr>
      <w:bookmarkStart w:id="121" w:name="_Toc422298421"/>
      <w:r>
        <w:t>A</w:t>
      </w:r>
      <w:r w:rsidR="00500E41" w:rsidRPr="00500E41">
        <w:t xml:space="preserve">lternative </w:t>
      </w:r>
      <w:r w:rsidR="002F34A3">
        <w:t>g</w:t>
      </w:r>
      <w:r w:rsidR="00500E41" w:rsidRPr="00500E41">
        <w:t>overnment funding options</w:t>
      </w:r>
      <w:bookmarkEnd w:id="121"/>
    </w:p>
    <w:p w14:paraId="6C5F9B2F" w14:textId="77777777" w:rsidR="000D30FC" w:rsidRPr="000D30FC" w:rsidRDefault="000D30FC" w:rsidP="000D30FC">
      <w:pPr>
        <w:spacing w:after="0"/>
        <w:rPr>
          <w:lang w:eastAsia="x-none"/>
        </w:rPr>
      </w:pPr>
    </w:p>
    <w:p w14:paraId="2AD15376" w14:textId="77777777" w:rsidR="00500E41" w:rsidRPr="000D30FC" w:rsidRDefault="000D30FC" w:rsidP="007A4D50">
      <w:pPr>
        <w:rPr>
          <w:lang w:eastAsia="x-none"/>
        </w:rPr>
      </w:pPr>
      <w:r>
        <w:rPr>
          <w:lang w:eastAsia="x-none"/>
        </w:rPr>
        <w:t xml:space="preserve">Testing alternative </w:t>
      </w:r>
      <w:r w:rsidR="002F34A3">
        <w:rPr>
          <w:lang w:eastAsia="x-none"/>
        </w:rPr>
        <w:t>g</w:t>
      </w:r>
      <w:r>
        <w:rPr>
          <w:lang w:eastAsia="x-none"/>
        </w:rPr>
        <w:t xml:space="preserve">overnment funding options was </w:t>
      </w:r>
      <w:r w:rsidR="007A4D50">
        <w:rPr>
          <w:lang w:eastAsia="x-none"/>
        </w:rPr>
        <w:t>undertaken</w:t>
      </w:r>
      <w:r>
        <w:rPr>
          <w:lang w:eastAsia="x-none"/>
        </w:rPr>
        <w:t xml:space="preserve"> solely through stakeholder </w:t>
      </w:r>
      <w:r w:rsidRPr="000D30FC">
        <w:rPr>
          <w:lang w:eastAsia="x-none"/>
        </w:rPr>
        <w:t xml:space="preserve">interviews, using the current funding split as a basis for discussions.  </w:t>
      </w:r>
      <w:r w:rsidR="009A7445" w:rsidRPr="000D30FC">
        <w:rPr>
          <w:lang w:eastAsia="x-none"/>
        </w:rPr>
        <w:t>Two main scenarios were explored</w:t>
      </w:r>
      <w:r w:rsidRPr="000D30FC">
        <w:rPr>
          <w:lang w:eastAsia="x-none"/>
        </w:rPr>
        <w:t>:</w:t>
      </w:r>
    </w:p>
    <w:p w14:paraId="3B7B933C" w14:textId="77777777" w:rsidR="00393EE4" w:rsidRPr="000D30FC" w:rsidRDefault="009A7445" w:rsidP="00320FDC">
      <w:pPr>
        <w:pStyle w:val="ColorfulList-Accent12"/>
        <w:numPr>
          <w:ilvl w:val="0"/>
          <w:numId w:val="52"/>
        </w:numPr>
        <w:rPr>
          <w:lang w:eastAsia="x-none"/>
        </w:rPr>
      </w:pPr>
      <w:r w:rsidRPr="000D30FC">
        <w:rPr>
          <w:lang w:eastAsia="x-none"/>
        </w:rPr>
        <w:lastRenderedPageBreak/>
        <w:t xml:space="preserve">Maintaining </w:t>
      </w:r>
      <w:r w:rsidR="00C55D31">
        <w:rPr>
          <w:lang w:eastAsia="x-none"/>
        </w:rPr>
        <w:t xml:space="preserve">current levels of funding </w:t>
      </w:r>
      <w:r w:rsidR="00393EE4" w:rsidRPr="000D30FC">
        <w:rPr>
          <w:lang w:eastAsia="x-none"/>
        </w:rPr>
        <w:t xml:space="preserve">(with </w:t>
      </w:r>
      <w:r w:rsidR="003B3526">
        <w:rPr>
          <w:lang w:eastAsia="x-none"/>
        </w:rPr>
        <w:t xml:space="preserve">the </w:t>
      </w:r>
      <w:r w:rsidR="00393EE4" w:rsidRPr="000D30FC">
        <w:rPr>
          <w:lang w:eastAsia="x-none"/>
        </w:rPr>
        <w:t>possible benefit of additional cost recovery)</w:t>
      </w:r>
      <w:r w:rsidR="002F34A3">
        <w:rPr>
          <w:lang w:eastAsia="x-none"/>
        </w:rPr>
        <w:t>; and</w:t>
      </w:r>
    </w:p>
    <w:p w14:paraId="0ECC3593" w14:textId="77777777" w:rsidR="009A7445" w:rsidRPr="000D30FC" w:rsidRDefault="009A7445" w:rsidP="00320FDC">
      <w:pPr>
        <w:pStyle w:val="ColorfulList-Accent12"/>
        <w:numPr>
          <w:ilvl w:val="0"/>
          <w:numId w:val="52"/>
        </w:numPr>
        <w:rPr>
          <w:lang w:eastAsia="x-none"/>
        </w:rPr>
      </w:pPr>
      <w:r w:rsidRPr="000D30FC">
        <w:rPr>
          <w:lang w:eastAsia="x-none"/>
        </w:rPr>
        <w:t xml:space="preserve">Removal of state funding (i.e. a fully Commonwealth funded scheme, with </w:t>
      </w:r>
      <w:r w:rsidR="002F34A3">
        <w:rPr>
          <w:lang w:eastAsia="x-none"/>
        </w:rPr>
        <w:t xml:space="preserve">the </w:t>
      </w:r>
      <w:r w:rsidRPr="000D30FC">
        <w:rPr>
          <w:lang w:eastAsia="x-none"/>
        </w:rPr>
        <w:t xml:space="preserve">possible benefit of additional cost recovery). </w:t>
      </w:r>
    </w:p>
    <w:p w14:paraId="4B2FF489" w14:textId="77777777" w:rsidR="00393EE4" w:rsidRPr="00E55415" w:rsidRDefault="00393EE4" w:rsidP="000D30FC">
      <w:pPr>
        <w:pStyle w:val="ColorfulList-Accent12"/>
        <w:spacing w:after="0" w:line="240" w:lineRule="auto"/>
        <w:ind w:left="0"/>
        <w:rPr>
          <w:lang w:eastAsia="x-none"/>
        </w:rPr>
      </w:pPr>
    </w:p>
    <w:p w14:paraId="09C50516" w14:textId="77777777" w:rsidR="000D30FC" w:rsidRPr="00E55415" w:rsidRDefault="003B3526" w:rsidP="00320FDC">
      <w:pPr>
        <w:pStyle w:val="ColorfulList-Accent12"/>
        <w:numPr>
          <w:ilvl w:val="0"/>
          <w:numId w:val="53"/>
        </w:numPr>
        <w:spacing w:after="0" w:line="240" w:lineRule="auto"/>
        <w:rPr>
          <w:u w:val="single"/>
          <w:lang w:eastAsia="x-none"/>
        </w:rPr>
      </w:pPr>
      <w:r>
        <w:rPr>
          <w:u w:val="single"/>
          <w:lang w:eastAsia="x-none"/>
        </w:rPr>
        <w:t>Maintaining current levels of funding</w:t>
      </w:r>
    </w:p>
    <w:p w14:paraId="6660E43F" w14:textId="77777777" w:rsidR="00E55415" w:rsidRDefault="00E55415" w:rsidP="00E55415">
      <w:pPr>
        <w:pStyle w:val="ColorfulList-Accent12"/>
        <w:spacing w:after="0" w:line="240" w:lineRule="auto"/>
        <w:ind w:left="360"/>
        <w:rPr>
          <w:lang w:eastAsia="x-none"/>
        </w:rPr>
      </w:pPr>
    </w:p>
    <w:p w14:paraId="2E213B20" w14:textId="77777777" w:rsidR="00CC3442" w:rsidRPr="00973905" w:rsidRDefault="00CC3442" w:rsidP="00CC3442">
      <w:pPr>
        <w:pStyle w:val="ColorfulList-Accent12"/>
        <w:spacing w:after="0" w:line="240" w:lineRule="auto"/>
        <w:ind w:left="0"/>
        <w:rPr>
          <w:lang w:eastAsia="x-none"/>
        </w:rPr>
      </w:pPr>
      <w:r w:rsidRPr="00973905">
        <w:rPr>
          <w:u w:val="single"/>
          <w:lang w:eastAsia="x-none"/>
        </w:rPr>
        <w:t>Government views</w:t>
      </w:r>
      <w:r w:rsidRPr="00973905">
        <w:rPr>
          <w:lang w:eastAsia="x-none"/>
        </w:rPr>
        <w:t xml:space="preserve">:  Most </w:t>
      </w:r>
      <w:r w:rsidR="002F34A3">
        <w:rPr>
          <w:lang w:eastAsia="x-none"/>
        </w:rPr>
        <w:t>s</w:t>
      </w:r>
      <w:r w:rsidRPr="00973905">
        <w:rPr>
          <w:lang w:eastAsia="x-none"/>
        </w:rPr>
        <w:t xml:space="preserve">tate and </w:t>
      </w:r>
      <w:r w:rsidR="002F34A3">
        <w:rPr>
          <w:lang w:eastAsia="x-none"/>
        </w:rPr>
        <w:t>t</w:t>
      </w:r>
      <w:r w:rsidRPr="00973905">
        <w:rPr>
          <w:lang w:eastAsia="x-none"/>
        </w:rPr>
        <w:t>erritory respondents who discussed funding expected that that the status quo would and should be maintained</w:t>
      </w:r>
      <w:r w:rsidRPr="00973905">
        <w:rPr>
          <w:rStyle w:val="FootnoteReference"/>
          <w:lang w:eastAsia="x-none"/>
        </w:rPr>
        <w:footnoteReference w:id="184"/>
      </w:r>
      <w:r w:rsidR="00EF6B57" w:rsidRPr="00973905">
        <w:rPr>
          <w:lang w:eastAsia="x-none"/>
        </w:rPr>
        <w:t xml:space="preserve">.  </w:t>
      </w:r>
    </w:p>
    <w:p w14:paraId="4BE6063A" w14:textId="77777777" w:rsidR="00CC3442" w:rsidRPr="00973905" w:rsidRDefault="00CC3442" w:rsidP="00CC3442">
      <w:pPr>
        <w:pStyle w:val="ColorfulList-Accent12"/>
        <w:spacing w:after="0" w:line="240" w:lineRule="auto"/>
        <w:ind w:left="0"/>
        <w:rPr>
          <w:lang w:eastAsia="x-none"/>
        </w:rPr>
      </w:pPr>
    </w:p>
    <w:p w14:paraId="5289C379" w14:textId="77777777" w:rsidR="00CC3442" w:rsidRPr="00973905" w:rsidRDefault="00CC3442" w:rsidP="00CC3442">
      <w:pPr>
        <w:rPr>
          <w:lang w:eastAsia="x-none"/>
        </w:rPr>
      </w:pPr>
      <w:r w:rsidRPr="00973905">
        <w:rPr>
          <w:i/>
          <w:lang w:eastAsia="x-none"/>
        </w:rPr>
        <w:t xml:space="preserve">“State contribution is modest and the scale of the benefits dwarfs the cost. </w:t>
      </w:r>
      <w:r w:rsidR="000B1699">
        <w:rPr>
          <w:i/>
          <w:lang w:eastAsia="x-none"/>
        </w:rPr>
        <w:t xml:space="preserve"> </w:t>
      </w:r>
      <w:r w:rsidRPr="00973905">
        <w:rPr>
          <w:i/>
          <w:lang w:eastAsia="x-none"/>
        </w:rPr>
        <w:t xml:space="preserve">It is effective direct action.” </w:t>
      </w:r>
      <w:r w:rsidRPr="00973905">
        <w:rPr>
          <w:lang w:eastAsia="x-none"/>
        </w:rPr>
        <w:t xml:space="preserve">(State </w:t>
      </w:r>
      <w:r w:rsidR="000B1699">
        <w:rPr>
          <w:lang w:eastAsia="x-none"/>
        </w:rPr>
        <w:t>g</w:t>
      </w:r>
      <w:r w:rsidRPr="00973905">
        <w:rPr>
          <w:lang w:eastAsia="x-none"/>
        </w:rPr>
        <w:t xml:space="preserve">overnment respondent) </w:t>
      </w:r>
    </w:p>
    <w:p w14:paraId="0A1CE216" w14:textId="77777777" w:rsidR="000A5956" w:rsidRPr="00973905" w:rsidRDefault="00EF6B57" w:rsidP="00EF6B57">
      <w:pPr>
        <w:pStyle w:val="ColorfulList-Accent12"/>
        <w:ind w:left="0"/>
        <w:rPr>
          <w:lang w:eastAsia="x-none"/>
        </w:rPr>
      </w:pPr>
      <w:r w:rsidRPr="00973905">
        <w:rPr>
          <w:lang w:eastAsia="x-none"/>
        </w:rPr>
        <w:t xml:space="preserve">Some discussed that the advantage of this was that this increases input and interest in the program (as an active funding contribution is being made), which helps to ensure that local issues are represented.  </w:t>
      </w:r>
    </w:p>
    <w:p w14:paraId="111A1367" w14:textId="77777777" w:rsidR="000A5956" w:rsidRPr="00973905" w:rsidRDefault="000A5956" w:rsidP="000A5956">
      <w:pPr>
        <w:rPr>
          <w:lang w:eastAsia="x-none"/>
        </w:rPr>
      </w:pPr>
      <w:r w:rsidRPr="00973905">
        <w:rPr>
          <w:lang w:eastAsia="x-none"/>
        </w:rPr>
        <w:t xml:space="preserve">Some </w:t>
      </w:r>
      <w:r w:rsidR="002F34A3">
        <w:rPr>
          <w:lang w:eastAsia="x-none"/>
        </w:rPr>
        <w:t>s</w:t>
      </w:r>
      <w:r w:rsidRPr="00973905">
        <w:rPr>
          <w:lang w:eastAsia="x-none"/>
        </w:rPr>
        <w:t xml:space="preserve">tate and </w:t>
      </w:r>
      <w:r w:rsidR="002F34A3">
        <w:rPr>
          <w:lang w:eastAsia="x-none"/>
        </w:rPr>
        <w:t>t</w:t>
      </w:r>
      <w:r w:rsidRPr="00973905">
        <w:rPr>
          <w:lang w:eastAsia="x-none"/>
        </w:rPr>
        <w:t>erritory representatives also discussed that the funding arrangement was fairly standard for this type of COAG scheme and did not see it as a ‘real’ issue.</w:t>
      </w:r>
    </w:p>
    <w:p w14:paraId="30670CBE" w14:textId="77777777" w:rsidR="000A5956" w:rsidRPr="00973905" w:rsidRDefault="000A5956" w:rsidP="000A5956">
      <w:pPr>
        <w:rPr>
          <w:i/>
          <w:lang w:eastAsia="x-none"/>
        </w:rPr>
      </w:pPr>
      <w:r w:rsidRPr="00973905">
        <w:rPr>
          <w:lang w:eastAsia="x-none"/>
        </w:rPr>
        <w:t>“</w:t>
      </w:r>
      <w:r w:rsidRPr="00973905">
        <w:rPr>
          <w:i/>
          <w:lang w:eastAsia="x-none"/>
        </w:rPr>
        <w:t xml:space="preserve">Whether it is state or federal - it’s all coming from the same tax pool. </w:t>
      </w:r>
      <w:r w:rsidR="000B1699">
        <w:rPr>
          <w:i/>
          <w:lang w:eastAsia="x-none"/>
        </w:rPr>
        <w:t xml:space="preserve"> </w:t>
      </w:r>
      <w:r w:rsidRPr="00973905">
        <w:rPr>
          <w:i/>
          <w:lang w:eastAsia="x-none"/>
        </w:rPr>
        <w:t>For me, we need to decide which is the most cost effective way of delivering the scheme.”</w:t>
      </w:r>
      <w:r w:rsidR="00DF7285">
        <w:rPr>
          <w:i/>
          <w:lang w:eastAsia="x-none"/>
        </w:rPr>
        <w:t xml:space="preserve"> </w:t>
      </w:r>
      <w:r w:rsidR="00DF7285" w:rsidRPr="00973905">
        <w:rPr>
          <w:lang w:eastAsia="x-none"/>
        </w:rPr>
        <w:t xml:space="preserve">(State </w:t>
      </w:r>
      <w:r w:rsidR="00DF7285">
        <w:rPr>
          <w:lang w:eastAsia="x-none"/>
        </w:rPr>
        <w:t>g</w:t>
      </w:r>
      <w:r w:rsidR="00DF7285" w:rsidRPr="00973905">
        <w:rPr>
          <w:lang w:eastAsia="x-none"/>
        </w:rPr>
        <w:t>overnment respondent)</w:t>
      </w:r>
    </w:p>
    <w:p w14:paraId="7C60A2F2" w14:textId="77777777" w:rsidR="00EF6B57" w:rsidRPr="00973905" w:rsidRDefault="00A529BE" w:rsidP="00EF6B57">
      <w:pPr>
        <w:pStyle w:val="ColorfulList-Accent12"/>
        <w:ind w:left="0"/>
        <w:rPr>
          <w:lang w:eastAsia="x-none"/>
        </w:rPr>
      </w:pPr>
      <w:r w:rsidRPr="00973905">
        <w:rPr>
          <w:lang w:eastAsia="x-none"/>
        </w:rPr>
        <w:t xml:space="preserve">A few respondents </w:t>
      </w:r>
      <w:r w:rsidR="000A5956" w:rsidRPr="00973905">
        <w:rPr>
          <w:lang w:eastAsia="x-none"/>
        </w:rPr>
        <w:t>discussed</w:t>
      </w:r>
      <w:r w:rsidRPr="00973905">
        <w:rPr>
          <w:lang w:eastAsia="x-none"/>
        </w:rPr>
        <w:t xml:space="preserve"> that decisions on future funding </w:t>
      </w:r>
      <w:r w:rsidR="00EF6B57" w:rsidRPr="00973905">
        <w:rPr>
          <w:lang w:eastAsia="x-none"/>
        </w:rPr>
        <w:t xml:space="preserve">were </w:t>
      </w:r>
      <w:r w:rsidRPr="00973905">
        <w:rPr>
          <w:lang w:eastAsia="x-none"/>
        </w:rPr>
        <w:t xml:space="preserve">a political issue </w:t>
      </w:r>
      <w:r w:rsidR="00EF6B57" w:rsidRPr="00973905">
        <w:rPr>
          <w:lang w:eastAsia="x-none"/>
        </w:rPr>
        <w:t>which could change</w:t>
      </w:r>
      <w:r w:rsidR="000A5956" w:rsidRPr="00973905">
        <w:rPr>
          <w:lang w:eastAsia="x-none"/>
        </w:rPr>
        <w:t xml:space="preserve"> significantly, depending on the administration in power.  </w:t>
      </w:r>
    </w:p>
    <w:p w14:paraId="22581A86" w14:textId="77777777" w:rsidR="00EF6B57" w:rsidRPr="00973905" w:rsidRDefault="00EF6B57" w:rsidP="00EF6B57">
      <w:pPr>
        <w:pStyle w:val="ColorfulList-Accent12"/>
        <w:ind w:left="0"/>
        <w:rPr>
          <w:lang w:eastAsia="x-none"/>
        </w:rPr>
      </w:pPr>
    </w:p>
    <w:p w14:paraId="28FE3CDB" w14:textId="77777777" w:rsidR="00EF6B57" w:rsidRDefault="00EF6B57" w:rsidP="00EF6B57">
      <w:pPr>
        <w:pStyle w:val="ColorfulList-Accent12"/>
        <w:ind w:left="0"/>
        <w:rPr>
          <w:lang w:eastAsia="x-none"/>
        </w:rPr>
      </w:pPr>
      <w:r w:rsidRPr="00973905">
        <w:rPr>
          <w:i/>
          <w:lang w:eastAsia="x-none"/>
        </w:rPr>
        <w:t>“</w:t>
      </w:r>
      <w:r w:rsidR="000A5956" w:rsidRPr="00973905">
        <w:rPr>
          <w:i/>
          <w:lang w:eastAsia="x-none"/>
        </w:rPr>
        <w:t>T</w:t>
      </w:r>
      <w:r w:rsidR="00A529BE" w:rsidRPr="00973905">
        <w:rPr>
          <w:i/>
          <w:lang w:eastAsia="x-none"/>
        </w:rPr>
        <w:t xml:space="preserve">hat's a question that will go back and forwards depending on the view of the government of the day. </w:t>
      </w:r>
      <w:r w:rsidR="000B1699">
        <w:rPr>
          <w:i/>
          <w:lang w:eastAsia="x-none"/>
        </w:rPr>
        <w:t xml:space="preserve"> </w:t>
      </w:r>
      <w:r w:rsidR="00A529BE" w:rsidRPr="00973905">
        <w:rPr>
          <w:i/>
          <w:lang w:eastAsia="x-none"/>
        </w:rPr>
        <w:t>It's not something that we can</w:t>
      </w:r>
      <w:r w:rsidRPr="00973905">
        <w:rPr>
          <w:i/>
          <w:lang w:eastAsia="x-none"/>
        </w:rPr>
        <w:t xml:space="preserve"> give any specific certainty on</w:t>
      </w:r>
      <w:r w:rsidR="0076104D">
        <w:rPr>
          <w:i/>
          <w:lang w:eastAsia="x-none"/>
        </w:rPr>
        <w:t>.</w:t>
      </w:r>
      <w:r w:rsidRPr="00973905">
        <w:rPr>
          <w:i/>
          <w:lang w:eastAsia="x-none"/>
        </w:rPr>
        <w:t>”</w:t>
      </w:r>
      <w:r w:rsidR="00A529BE" w:rsidRPr="00973905">
        <w:rPr>
          <w:i/>
          <w:lang w:eastAsia="x-none"/>
        </w:rPr>
        <w:t xml:space="preserve"> </w:t>
      </w:r>
      <w:r w:rsidR="00DF7285" w:rsidRPr="00973905">
        <w:rPr>
          <w:lang w:eastAsia="x-none"/>
        </w:rPr>
        <w:t xml:space="preserve">(State </w:t>
      </w:r>
      <w:r w:rsidR="00DF7285">
        <w:rPr>
          <w:lang w:eastAsia="x-none"/>
        </w:rPr>
        <w:t>g</w:t>
      </w:r>
      <w:r w:rsidR="00DF7285" w:rsidRPr="00973905">
        <w:rPr>
          <w:lang w:eastAsia="x-none"/>
        </w:rPr>
        <w:t>overnment respondent)</w:t>
      </w:r>
    </w:p>
    <w:p w14:paraId="3C715D8C" w14:textId="77777777" w:rsidR="007A4D50" w:rsidRDefault="007A4D50" w:rsidP="00EF6B57">
      <w:pPr>
        <w:pStyle w:val="ColorfulList-Accent12"/>
        <w:ind w:left="0"/>
        <w:rPr>
          <w:lang w:eastAsia="x-none"/>
        </w:rPr>
      </w:pPr>
    </w:p>
    <w:p w14:paraId="641EA258" w14:textId="77777777" w:rsidR="007A4D50" w:rsidRPr="007A4D50" w:rsidRDefault="007A4D50" w:rsidP="00EF6B57">
      <w:pPr>
        <w:pStyle w:val="ColorfulList-Accent12"/>
        <w:ind w:left="0"/>
        <w:rPr>
          <w:lang w:eastAsia="x-none"/>
        </w:rPr>
      </w:pPr>
      <w:r>
        <w:rPr>
          <w:lang w:eastAsia="x-none"/>
        </w:rPr>
        <w:t xml:space="preserve">Other stakeholders had little of value to add to the discussion.  </w:t>
      </w:r>
    </w:p>
    <w:p w14:paraId="0646E5AF" w14:textId="77777777" w:rsidR="00E55415" w:rsidRPr="00973905" w:rsidRDefault="00E55415" w:rsidP="00E55415">
      <w:pPr>
        <w:pStyle w:val="ColorfulList-Accent12"/>
        <w:spacing w:after="0" w:line="240" w:lineRule="auto"/>
        <w:ind w:left="360"/>
        <w:rPr>
          <w:lang w:eastAsia="x-none"/>
        </w:rPr>
      </w:pPr>
    </w:p>
    <w:p w14:paraId="68E62AA3" w14:textId="77777777" w:rsidR="00E55415" w:rsidRPr="00973905" w:rsidRDefault="00E55415" w:rsidP="00320FDC">
      <w:pPr>
        <w:pStyle w:val="ColorfulList-Accent12"/>
        <w:numPr>
          <w:ilvl w:val="0"/>
          <w:numId w:val="53"/>
        </w:numPr>
        <w:spacing w:after="0" w:line="240" w:lineRule="auto"/>
        <w:rPr>
          <w:u w:val="single"/>
          <w:lang w:eastAsia="x-none"/>
        </w:rPr>
      </w:pPr>
      <w:r w:rsidRPr="00973905">
        <w:rPr>
          <w:u w:val="single"/>
          <w:lang w:eastAsia="x-none"/>
        </w:rPr>
        <w:t>Removal of state funding</w:t>
      </w:r>
    </w:p>
    <w:p w14:paraId="60FE94AB" w14:textId="77777777" w:rsidR="000D30FC" w:rsidRPr="00973905" w:rsidRDefault="000D30FC" w:rsidP="000D30FC">
      <w:pPr>
        <w:pStyle w:val="ColorfulList-Accent12"/>
        <w:spacing w:after="0" w:line="240" w:lineRule="auto"/>
        <w:rPr>
          <w:lang w:eastAsia="x-none"/>
        </w:rPr>
      </w:pPr>
    </w:p>
    <w:p w14:paraId="219A3BB7" w14:textId="77777777" w:rsidR="000A5956" w:rsidRPr="00973905" w:rsidRDefault="00CC3442" w:rsidP="000A5956">
      <w:pPr>
        <w:pStyle w:val="ColorfulList-Accent12"/>
        <w:ind w:left="0"/>
        <w:rPr>
          <w:lang w:eastAsia="x-none"/>
        </w:rPr>
      </w:pPr>
      <w:r w:rsidRPr="00973905">
        <w:rPr>
          <w:u w:val="single"/>
          <w:lang w:eastAsia="x-none"/>
        </w:rPr>
        <w:t>Government views</w:t>
      </w:r>
      <w:r w:rsidRPr="00973905">
        <w:rPr>
          <w:lang w:eastAsia="x-none"/>
        </w:rPr>
        <w:t xml:space="preserve">:  </w:t>
      </w:r>
      <w:r w:rsidR="000A5956" w:rsidRPr="00973905">
        <w:rPr>
          <w:lang w:eastAsia="x-none"/>
        </w:rPr>
        <w:t xml:space="preserve">Further to the discussion above, some </w:t>
      </w:r>
      <w:r w:rsidR="002F34A3">
        <w:rPr>
          <w:lang w:eastAsia="x-none"/>
        </w:rPr>
        <w:t>s</w:t>
      </w:r>
      <w:r w:rsidR="00DA1E23" w:rsidRPr="00973905">
        <w:rPr>
          <w:lang w:eastAsia="x-none"/>
        </w:rPr>
        <w:t xml:space="preserve">tate and </w:t>
      </w:r>
      <w:r w:rsidR="002F34A3">
        <w:rPr>
          <w:lang w:eastAsia="x-none"/>
        </w:rPr>
        <w:t>t</w:t>
      </w:r>
      <w:r w:rsidR="00DA1E23" w:rsidRPr="00973905">
        <w:rPr>
          <w:lang w:eastAsia="x-none"/>
        </w:rPr>
        <w:t xml:space="preserve">erritory representatives discussed </w:t>
      </w:r>
      <w:r w:rsidR="000A5956" w:rsidRPr="00973905">
        <w:rPr>
          <w:lang w:eastAsia="x-none"/>
        </w:rPr>
        <w:t xml:space="preserve">that there was a </w:t>
      </w:r>
      <w:r w:rsidR="007A4D50">
        <w:rPr>
          <w:lang w:eastAsia="x-none"/>
        </w:rPr>
        <w:t xml:space="preserve">significant </w:t>
      </w:r>
      <w:r w:rsidR="000A5956" w:rsidRPr="00973905">
        <w:rPr>
          <w:lang w:eastAsia="x-none"/>
        </w:rPr>
        <w:t xml:space="preserve">risk that removing </w:t>
      </w:r>
      <w:r w:rsidR="00626191">
        <w:rPr>
          <w:lang w:eastAsia="x-none"/>
        </w:rPr>
        <w:t xml:space="preserve">state </w:t>
      </w:r>
      <w:r w:rsidR="000A5956" w:rsidRPr="00973905">
        <w:rPr>
          <w:lang w:eastAsia="x-none"/>
        </w:rPr>
        <w:t xml:space="preserve">funding would reduce representation of </w:t>
      </w:r>
      <w:r w:rsidR="002F34A3">
        <w:rPr>
          <w:lang w:eastAsia="x-none"/>
        </w:rPr>
        <w:t>s</w:t>
      </w:r>
      <w:r w:rsidR="000A5956" w:rsidRPr="00973905">
        <w:rPr>
          <w:lang w:eastAsia="x-none"/>
        </w:rPr>
        <w:t xml:space="preserve">tate and </w:t>
      </w:r>
      <w:r w:rsidR="002F34A3">
        <w:rPr>
          <w:lang w:eastAsia="x-none"/>
        </w:rPr>
        <w:t>t</w:t>
      </w:r>
      <w:r w:rsidR="000A5956" w:rsidRPr="00973905">
        <w:rPr>
          <w:lang w:eastAsia="x-none"/>
        </w:rPr>
        <w:t xml:space="preserve">erritory issues, so decisions could be made which go against local conditions (e.g. climate related issues).  This would increase the risk of </w:t>
      </w:r>
      <w:r w:rsidR="002F34A3">
        <w:rPr>
          <w:lang w:eastAsia="x-none"/>
        </w:rPr>
        <w:t>s</w:t>
      </w:r>
      <w:r w:rsidR="000A5956" w:rsidRPr="00973905">
        <w:rPr>
          <w:lang w:eastAsia="x-none"/>
        </w:rPr>
        <w:t xml:space="preserve">tates and </w:t>
      </w:r>
      <w:r w:rsidR="002F34A3">
        <w:rPr>
          <w:lang w:eastAsia="x-none"/>
        </w:rPr>
        <w:t>t</w:t>
      </w:r>
      <w:r w:rsidR="000A5956" w:rsidRPr="00973905">
        <w:rPr>
          <w:lang w:eastAsia="x-none"/>
        </w:rPr>
        <w:t xml:space="preserve">erritories implementing their own regulations, noting the examples of this which led to the implementation of GEMS.  </w:t>
      </w:r>
    </w:p>
    <w:p w14:paraId="34F19BEB" w14:textId="77777777" w:rsidR="000A5956" w:rsidRPr="00973905" w:rsidRDefault="000A5956" w:rsidP="000A5956">
      <w:pPr>
        <w:rPr>
          <w:lang w:eastAsia="x-none"/>
        </w:rPr>
      </w:pPr>
      <w:r w:rsidRPr="00973905">
        <w:rPr>
          <w:i/>
          <w:lang w:eastAsia="x-none"/>
        </w:rPr>
        <w:t xml:space="preserve">“There is a real risk that some states won't do it [support the national scheme]. </w:t>
      </w:r>
      <w:r w:rsidR="000B1699">
        <w:rPr>
          <w:i/>
          <w:lang w:eastAsia="x-none"/>
        </w:rPr>
        <w:t xml:space="preserve"> </w:t>
      </w:r>
      <w:r w:rsidRPr="00973905">
        <w:rPr>
          <w:i/>
          <w:lang w:eastAsia="x-none"/>
        </w:rPr>
        <w:t xml:space="preserve">Or you could be running 5-6 different schemes [if </w:t>
      </w:r>
      <w:r w:rsidR="002F34A3">
        <w:rPr>
          <w:i/>
          <w:lang w:eastAsia="x-none"/>
        </w:rPr>
        <w:t>s</w:t>
      </w:r>
      <w:r w:rsidRPr="00973905">
        <w:rPr>
          <w:i/>
          <w:lang w:eastAsia="x-none"/>
        </w:rPr>
        <w:t xml:space="preserve">tates go out on their own].” </w:t>
      </w:r>
      <w:r w:rsidRPr="00973905">
        <w:rPr>
          <w:lang w:eastAsia="x-none"/>
        </w:rPr>
        <w:t xml:space="preserve">(State </w:t>
      </w:r>
      <w:r w:rsidR="000B1699">
        <w:rPr>
          <w:lang w:eastAsia="x-none"/>
        </w:rPr>
        <w:t>g</w:t>
      </w:r>
      <w:r w:rsidRPr="00973905">
        <w:rPr>
          <w:lang w:eastAsia="x-none"/>
        </w:rPr>
        <w:t xml:space="preserve">overnment representative)  </w:t>
      </w:r>
    </w:p>
    <w:p w14:paraId="33F7684E" w14:textId="77777777" w:rsidR="00DA1E23" w:rsidRPr="00973905" w:rsidRDefault="00DA1E23" w:rsidP="00393EE4">
      <w:pPr>
        <w:rPr>
          <w:lang w:eastAsia="x-none"/>
        </w:rPr>
      </w:pPr>
      <w:r w:rsidRPr="00973905">
        <w:rPr>
          <w:lang w:eastAsia="x-none"/>
        </w:rPr>
        <w:t xml:space="preserve">This was a view which was also reflected by a minority of Commonwealth </w:t>
      </w:r>
      <w:r w:rsidR="000B1699">
        <w:rPr>
          <w:lang w:eastAsia="x-none"/>
        </w:rPr>
        <w:t>G</w:t>
      </w:r>
      <w:r w:rsidRPr="00973905">
        <w:rPr>
          <w:lang w:eastAsia="x-none"/>
        </w:rPr>
        <w:t xml:space="preserve">overnment representatives. </w:t>
      </w:r>
    </w:p>
    <w:p w14:paraId="35693B53" w14:textId="77777777" w:rsidR="000A5956" w:rsidRPr="00973905" w:rsidRDefault="00973905" w:rsidP="00393EE4">
      <w:pPr>
        <w:rPr>
          <w:lang w:eastAsia="x-none"/>
        </w:rPr>
      </w:pPr>
      <w:r w:rsidRPr="00973905">
        <w:rPr>
          <w:lang w:eastAsia="x-none"/>
        </w:rPr>
        <w:lastRenderedPageBreak/>
        <w:t>However, s</w:t>
      </w:r>
      <w:r w:rsidR="000A5956" w:rsidRPr="00973905">
        <w:rPr>
          <w:lang w:eastAsia="x-none"/>
        </w:rPr>
        <w:t xml:space="preserve">ome </w:t>
      </w:r>
      <w:r w:rsidR="007A4D50">
        <w:rPr>
          <w:lang w:eastAsia="x-none"/>
        </w:rPr>
        <w:t xml:space="preserve">other </w:t>
      </w:r>
      <w:r w:rsidR="000A5956" w:rsidRPr="00973905">
        <w:rPr>
          <w:lang w:eastAsia="x-none"/>
        </w:rPr>
        <w:t xml:space="preserve">Commonwealth Government </w:t>
      </w:r>
      <w:r w:rsidR="00DA1E23" w:rsidRPr="00973905">
        <w:rPr>
          <w:lang w:eastAsia="x-none"/>
        </w:rPr>
        <w:t>representatives</w:t>
      </w:r>
      <w:r w:rsidR="000A5956" w:rsidRPr="00973905">
        <w:rPr>
          <w:lang w:eastAsia="x-none"/>
        </w:rPr>
        <w:t xml:space="preserve"> were in favour of a fully Commonwealth funded scheme, </w:t>
      </w:r>
      <w:r w:rsidR="00DA1E23" w:rsidRPr="00973905">
        <w:rPr>
          <w:lang w:eastAsia="x-none"/>
        </w:rPr>
        <w:t xml:space="preserve">on the basis that it would remove inefficiencies in the process, through having fewer negotiations to develop GEMS determinations.  </w:t>
      </w:r>
    </w:p>
    <w:p w14:paraId="2115A177" w14:textId="77777777" w:rsidR="00DA1E23" w:rsidRPr="00973905" w:rsidRDefault="00DA1E23" w:rsidP="00393EE4">
      <w:pPr>
        <w:rPr>
          <w:lang w:eastAsia="x-none"/>
        </w:rPr>
      </w:pPr>
      <w:r w:rsidRPr="00973905">
        <w:rPr>
          <w:lang w:eastAsia="x-none"/>
        </w:rPr>
        <w:t xml:space="preserve">One or two respondents noted that not all of the </w:t>
      </w:r>
      <w:r w:rsidR="00AC7E75">
        <w:rPr>
          <w:lang w:eastAsia="x-none"/>
        </w:rPr>
        <w:t>s</w:t>
      </w:r>
      <w:r w:rsidRPr="00973905">
        <w:rPr>
          <w:lang w:eastAsia="x-none"/>
        </w:rPr>
        <w:t xml:space="preserve">tate and </w:t>
      </w:r>
      <w:r w:rsidR="00AC7E75">
        <w:rPr>
          <w:lang w:eastAsia="x-none"/>
        </w:rPr>
        <w:t>t</w:t>
      </w:r>
      <w:r w:rsidRPr="00973905">
        <w:rPr>
          <w:lang w:eastAsia="x-none"/>
        </w:rPr>
        <w:t xml:space="preserve">erritory funds were being spent annually.  This was perceived to be causing some issues for </w:t>
      </w:r>
      <w:r w:rsidR="00AC7E75">
        <w:rPr>
          <w:lang w:eastAsia="x-none"/>
        </w:rPr>
        <w:t>s</w:t>
      </w:r>
      <w:r w:rsidRPr="00973905">
        <w:rPr>
          <w:lang w:eastAsia="x-none"/>
        </w:rPr>
        <w:t xml:space="preserve">tates and </w:t>
      </w:r>
      <w:r w:rsidR="00AC7E75">
        <w:rPr>
          <w:lang w:eastAsia="x-none"/>
        </w:rPr>
        <w:t>t</w:t>
      </w:r>
      <w:r w:rsidRPr="00973905">
        <w:rPr>
          <w:lang w:eastAsia="x-none"/>
        </w:rPr>
        <w:t xml:space="preserve">erritories to continue to secure funds if the previous years’ allocation was not spent.  Furthermore, it raised the question of whether the funds were needed.  </w:t>
      </w:r>
    </w:p>
    <w:p w14:paraId="55E0228D" w14:textId="77777777" w:rsidR="00DA1E23" w:rsidRPr="00973905" w:rsidRDefault="00DA1E23" w:rsidP="00DA1E23">
      <w:pPr>
        <w:rPr>
          <w:lang w:eastAsia="x-none"/>
        </w:rPr>
      </w:pPr>
      <w:r w:rsidRPr="00973905">
        <w:rPr>
          <w:lang w:eastAsia="x-none"/>
        </w:rPr>
        <w:t xml:space="preserve">Finally, one or two respondents noted that this was worthy of separate investigation as it was a complex issue.  </w:t>
      </w:r>
    </w:p>
    <w:p w14:paraId="129A70A3" w14:textId="77777777" w:rsidR="001451B6" w:rsidRPr="00973905" w:rsidRDefault="001451B6" w:rsidP="001451B6">
      <w:pPr>
        <w:rPr>
          <w:lang w:eastAsia="x-none"/>
        </w:rPr>
      </w:pPr>
      <w:r w:rsidRPr="00973905">
        <w:rPr>
          <w:u w:val="single"/>
          <w:lang w:eastAsia="x-none"/>
        </w:rPr>
        <w:t>Industry views</w:t>
      </w:r>
      <w:r w:rsidRPr="00973905">
        <w:rPr>
          <w:lang w:eastAsia="x-none"/>
        </w:rPr>
        <w:t>:  The majority of industry, in particular individual suppliers, were unable to comment in detail o</w:t>
      </w:r>
      <w:r w:rsidR="00AC7E75">
        <w:rPr>
          <w:lang w:eastAsia="x-none"/>
        </w:rPr>
        <w:t>f</w:t>
      </w:r>
      <w:r w:rsidRPr="00973905">
        <w:rPr>
          <w:lang w:eastAsia="x-none"/>
        </w:rPr>
        <w:t xml:space="preserve"> the subject due to a lack of sufficient knowledge.  A common response</w:t>
      </w:r>
      <w:r w:rsidR="000B1699">
        <w:rPr>
          <w:lang w:eastAsia="x-none"/>
        </w:rPr>
        <w:t>,</w:t>
      </w:r>
      <w:r w:rsidRPr="00973905">
        <w:rPr>
          <w:lang w:eastAsia="x-none"/>
        </w:rPr>
        <w:t xml:space="preserve"> however, was to express concern that removal of funding from the </w:t>
      </w:r>
      <w:r w:rsidR="00AC7E75">
        <w:rPr>
          <w:lang w:eastAsia="x-none"/>
        </w:rPr>
        <w:t>s</w:t>
      </w:r>
      <w:r w:rsidRPr="00973905">
        <w:rPr>
          <w:lang w:eastAsia="x-none"/>
        </w:rPr>
        <w:t xml:space="preserve">tates could leave a gap, with questions as to how it would be filled. </w:t>
      </w:r>
    </w:p>
    <w:p w14:paraId="49DFE8E4" w14:textId="77777777" w:rsidR="001451B6" w:rsidRPr="00973905" w:rsidRDefault="001451B6" w:rsidP="001451B6">
      <w:pPr>
        <w:rPr>
          <w:lang w:eastAsia="x-none"/>
        </w:rPr>
      </w:pPr>
      <w:r w:rsidRPr="00973905">
        <w:rPr>
          <w:i/>
          <w:lang w:eastAsia="x-none"/>
        </w:rPr>
        <w:t xml:space="preserve">“Clearly it will mean greater costs or a reduction in the program. </w:t>
      </w:r>
      <w:r w:rsidR="000B1699">
        <w:rPr>
          <w:i/>
          <w:lang w:eastAsia="x-none"/>
        </w:rPr>
        <w:t xml:space="preserve"> </w:t>
      </w:r>
      <w:r w:rsidRPr="00973905">
        <w:rPr>
          <w:i/>
          <w:lang w:eastAsia="x-none"/>
        </w:rPr>
        <w:t>Costs to manufacturers are passed on as increase</w:t>
      </w:r>
      <w:r w:rsidR="00AC7E75">
        <w:rPr>
          <w:i/>
          <w:lang w:eastAsia="x-none"/>
        </w:rPr>
        <w:t>d</w:t>
      </w:r>
      <w:r w:rsidRPr="00973905">
        <w:rPr>
          <w:i/>
          <w:lang w:eastAsia="x-none"/>
        </w:rPr>
        <w:t xml:space="preserve"> product costs” </w:t>
      </w:r>
      <w:r w:rsidRPr="00973905">
        <w:rPr>
          <w:lang w:eastAsia="x-none"/>
        </w:rPr>
        <w:t>(Industry respondent)</w:t>
      </w:r>
    </w:p>
    <w:p w14:paraId="2DF65E34" w14:textId="77777777" w:rsidR="001451B6" w:rsidRPr="00973905" w:rsidRDefault="00973905" w:rsidP="00393EE4">
      <w:pPr>
        <w:rPr>
          <w:lang w:eastAsia="x-none"/>
        </w:rPr>
      </w:pPr>
      <w:r w:rsidRPr="00973905">
        <w:rPr>
          <w:lang w:eastAsia="x-none"/>
        </w:rPr>
        <w:t>Some</w:t>
      </w:r>
      <w:r w:rsidR="001451B6" w:rsidRPr="00973905">
        <w:rPr>
          <w:lang w:eastAsia="x-none"/>
        </w:rPr>
        <w:t xml:space="preserve"> peak bodi</w:t>
      </w:r>
      <w:r w:rsidR="00DA1E23" w:rsidRPr="00973905">
        <w:rPr>
          <w:lang w:eastAsia="x-none"/>
        </w:rPr>
        <w:t>es</w:t>
      </w:r>
      <w:r w:rsidR="00AC7E75">
        <w:rPr>
          <w:lang w:eastAsia="x-none"/>
        </w:rPr>
        <w:t>,</w:t>
      </w:r>
      <w:r w:rsidR="00DA1E23" w:rsidRPr="00973905">
        <w:rPr>
          <w:lang w:eastAsia="x-none"/>
        </w:rPr>
        <w:t xml:space="preserve"> </w:t>
      </w:r>
      <w:r w:rsidRPr="00973905">
        <w:rPr>
          <w:lang w:eastAsia="x-none"/>
        </w:rPr>
        <w:t>however</w:t>
      </w:r>
      <w:r w:rsidR="00AC7E75">
        <w:rPr>
          <w:lang w:eastAsia="x-none"/>
        </w:rPr>
        <w:t>,</w:t>
      </w:r>
      <w:r w:rsidRPr="00973905">
        <w:rPr>
          <w:lang w:eastAsia="x-none"/>
        </w:rPr>
        <w:t xml:space="preserve"> </w:t>
      </w:r>
      <w:r w:rsidR="00DA1E23" w:rsidRPr="00973905">
        <w:rPr>
          <w:lang w:eastAsia="x-none"/>
        </w:rPr>
        <w:t xml:space="preserve">did express views, </w:t>
      </w:r>
      <w:r w:rsidRPr="00973905">
        <w:rPr>
          <w:lang w:eastAsia="x-none"/>
        </w:rPr>
        <w:t xml:space="preserve">and </w:t>
      </w:r>
      <w:r w:rsidR="00DA1E23" w:rsidRPr="00973905">
        <w:rPr>
          <w:lang w:eastAsia="x-none"/>
        </w:rPr>
        <w:t>support</w:t>
      </w:r>
      <w:r w:rsidRPr="00973905">
        <w:rPr>
          <w:lang w:eastAsia="x-none"/>
        </w:rPr>
        <w:t>ed</w:t>
      </w:r>
      <w:r w:rsidR="00DA1E23" w:rsidRPr="00973905">
        <w:rPr>
          <w:lang w:eastAsia="x-none"/>
        </w:rPr>
        <w:t xml:space="preserve"> </w:t>
      </w:r>
      <w:r w:rsidR="001451B6" w:rsidRPr="00973905">
        <w:rPr>
          <w:lang w:eastAsia="x-none"/>
        </w:rPr>
        <w:t>a move to a fully Commonwealth funded program</w:t>
      </w:r>
      <w:r w:rsidR="00DA1E23" w:rsidRPr="00973905">
        <w:rPr>
          <w:lang w:eastAsia="x-none"/>
        </w:rPr>
        <w:t>.  This was</w:t>
      </w:r>
      <w:r w:rsidR="001451B6" w:rsidRPr="00973905">
        <w:rPr>
          <w:lang w:eastAsia="x-none"/>
        </w:rPr>
        <w:t xml:space="preserve"> on the basis that this </w:t>
      </w:r>
      <w:r w:rsidR="00CC3442" w:rsidRPr="00973905">
        <w:rPr>
          <w:lang w:eastAsia="x-none"/>
        </w:rPr>
        <w:t>sh</w:t>
      </w:r>
      <w:r w:rsidR="001451B6" w:rsidRPr="00973905">
        <w:rPr>
          <w:lang w:eastAsia="x-none"/>
        </w:rPr>
        <w:t xml:space="preserve">ould remove </w:t>
      </w:r>
      <w:r w:rsidR="00AC7E75">
        <w:rPr>
          <w:lang w:eastAsia="x-none"/>
        </w:rPr>
        <w:t>s</w:t>
      </w:r>
      <w:r w:rsidR="00CC3442" w:rsidRPr="00973905">
        <w:rPr>
          <w:lang w:eastAsia="x-none"/>
        </w:rPr>
        <w:t xml:space="preserve">tate and </w:t>
      </w:r>
      <w:r w:rsidR="00AC7E75">
        <w:rPr>
          <w:lang w:eastAsia="x-none"/>
        </w:rPr>
        <w:t>t</w:t>
      </w:r>
      <w:r w:rsidR="00CC3442" w:rsidRPr="00973905">
        <w:rPr>
          <w:lang w:eastAsia="x-none"/>
        </w:rPr>
        <w:t xml:space="preserve">erritory involvement, which would improve efficiency.  </w:t>
      </w:r>
    </w:p>
    <w:p w14:paraId="5F88AF87" w14:textId="77777777" w:rsidR="001451B6" w:rsidRPr="00973905" w:rsidRDefault="00CC3442" w:rsidP="00393EE4">
      <w:pPr>
        <w:rPr>
          <w:lang w:eastAsia="x-none"/>
        </w:rPr>
      </w:pPr>
      <w:r w:rsidRPr="00973905">
        <w:rPr>
          <w:i/>
          <w:lang w:eastAsia="x-none"/>
        </w:rPr>
        <w:t>“I</w:t>
      </w:r>
      <w:r w:rsidR="001451B6" w:rsidRPr="00973905">
        <w:rPr>
          <w:i/>
          <w:lang w:eastAsia="x-none"/>
        </w:rPr>
        <w:t xml:space="preserve">t is </w:t>
      </w:r>
      <w:r w:rsidR="00AC7E75">
        <w:rPr>
          <w:i/>
          <w:lang w:eastAsia="x-none"/>
        </w:rPr>
        <w:t>C</w:t>
      </w:r>
      <w:r w:rsidR="001451B6" w:rsidRPr="00973905">
        <w:rPr>
          <w:i/>
          <w:lang w:eastAsia="x-none"/>
        </w:rPr>
        <w:t>ommonwealth and state jurisdiction</w:t>
      </w:r>
      <w:r w:rsidR="00AC7E75">
        <w:rPr>
          <w:i/>
          <w:lang w:eastAsia="x-none"/>
        </w:rPr>
        <w:t>s</w:t>
      </w:r>
      <w:r w:rsidR="001451B6" w:rsidRPr="00973905">
        <w:rPr>
          <w:i/>
          <w:lang w:eastAsia="x-none"/>
        </w:rPr>
        <w:t xml:space="preserve"> that get to decide on GEMS.  In the Commonwealth function you </w:t>
      </w:r>
      <w:r w:rsidRPr="00973905">
        <w:rPr>
          <w:i/>
          <w:lang w:eastAsia="x-none"/>
        </w:rPr>
        <w:t xml:space="preserve">would </w:t>
      </w:r>
      <w:r w:rsidR="001451B6" w:rsidRPr="00973905">
        <w:rPr>
          <w:i/>
          <w:lang w:eastAsia="x-none"/>
        </w:rPr>
        <w:t>have</w:t>
      </w:r>
      <w:r w:rsidRPr="00973905">
        <w:rPr>
          <w:i/>
          <w:lang w:eastAsia="x-none"/>
        </w:rPr>
        <w:t xml:space="preserve"> [the benefit of]</w:t>
      </w:r>
      <w:r w:rsidR="001451B6" w:rsidRPr="00973905">
        <w:rPr>
          <w:i/>
          <w:lang w:eastAsia="x-none"/>
        </w:rPr>
        <w:t xml:space="preserve"> one regulator, one police and one group that you need to deal with.</w:t>
      </w:r>
      <w:r w:rsidRPr="00973905">
        <w:rPr>
          <w:i/>
          <w:lang w:eastAsia="x-none"/>
        </w:rPr>
        <w:t>”</w:t>
      </w:r>
      <w:r w:rsidRPr="00973905">
        <w:rPr>
          <w:lang w:eastAsia="x-none"/>
        </w:rPr>
        <w:t xml:space="preserve"> …  “</w:t>
      </w:r>
      <w:r w:rsidRPr="002513B4">
        <w:rPr>
          <w:i/>
          <w:lang w:eastAsia="x-none"/>
        </w:rPr>
        <w:t xml:space="preserve">It keeps recurring that there are the issues with the various </w:t>
      </w:r>
      <w:r w:rsidR="00AC7E75" w:rsidRPr="002513B4">
        <w:rPr>
          <w:i/>
          <w:lang w:eastAsia="x-none"/>
        </w:rPr>
        <w:t>s</w:t>
      </w:r>
      <w:r w:rsidRPr="002513B4">
        <w:rPr>
          <w:i/>
          <w:lang w:eastAsia="x-none"/>
        </w:rPr>
        <w:t>tates that are associated with MEPs</w:t>
      </w:r>
      <w:r w:rsidRPr="00973905">
        <w:rPr>
          <w:lang w:eastAsia="x-none"/>
        </w:rPr>
        <w:t xml:space="preserve">.” (Industry respondent) </w:t>
      </w:r>
    </w:p>
    <w:p w14:paraId="19C2C88E" w14:textId="77777777" w:rsidR="00DA1E23" w:rsidRPr="00973905" w:rsidRDefault="00DA1E23" w:rsidP="00DA1E23">
      <w:pPr>
        <w:pStyle w:val="ColorfulList-Accent12"/>
        <w:ind w:left="0"/>
        <w:rPr>
          <w:u w:val="single"/>
          <w:lang w:eastAsia="x-none"/>
        </w:rPr>
      </w:pPr>
      <w:r w:rsidRPr="00973905">
        <w:rPr>
          <w:u w:val="single"/>
          <w:lang w:eastAsia="x-none"/>
        </w:rPr>
        <w:t xml:space="preserve">Impact of the removal of </w:t>
      </w:r>
      <w:r w:rsidR="00AC7E75">
        <w:rPr>
          <w:u w:val="single"/>
          <w:lang w:eastAsia="x-none"/>
        </w:rPr>
        <w:t>s</w:t>
      </w:r>
      <w:r w:rsidRPr="00973905">
        <w:rPr>
          <w:u w:val="single"/>
          <w:lang w:eastAsia="x-none"/>
        </w:rPr>
        <w:t>tate funding</w:t>
      </w:r>
    </w:p>
    <w:p w14:paraId="6094A263" w14:textId="77777777" w:rsidR="00A529BE" w:rsidRPr="00973905" w:rsidRDefault="00A529BE" w:rsidP="00C13F70">
      <w:pPr>
        <w:pStyle w:val="ColorfulList-Accent12"/>
        <w:ind w:left="0"/>
        <w:rPr>
          <w:lang w:eastAsia="x-none"/>
        </w:rPr>
      </w:pPr>
    </w:p>
    <w:p w14:paraId="41268FA6" w14:textId="77777777" w:rsidR="00973905" w:rsidRPr="00973905" w:rsidRDefault="00973905" w:rsidP="00C13F70">
      <w:pPr>
        <w:pStyle w:val="ColorfulList-Accent12"/>
        <w:ind w:left="0"/>
        <w:rPr>
          <w:lang w:eastAsia="x-none"/>
        </w:rPr>
      </w:pPr>
      <w:r w:rsidRPr="00973905">
        <w:rPr>
          <w:lang w:eastAsia="x-none"/>
        </w:rPr>
        <w:t xml:space="preserve">The impact of removal of </w:t>
      </w:r>
      <w:r w:rsidR="00AC7E75">
        <w:rPr>
          <w:lang w:eastAsia="x-none"/>
        </w:rPr>
        <w:t>s</w:t>
      </w:r>
      <w:r w:rsidRPr="00973905">
        <w:rPr>
          <w:lang w:eastAsia="x-none"/>
        </w:rPr>
        <w:t xml:space="preserve">tate funding is largely discussed above and can be summarised as having </w:t>
      </w:r>
      <w:r w:rsidR="00B4298D">
        <w:rPr>
          <w:lang w:eastAsia="x-none"/>
        </w:rPr>
        <w:t>the following</w:t>
      </w:r>
      <w:r w:rsidR="003B3526">
        <w:rPr>
          <w:lang w:eastAsia="x-none"/>
        </w:rPr>
        <w:t>:</w:t>
      </w:r>
    </w:p>
    <w:p w14:paraId="7F61AB6B" w14:textId="77777777" w:rsidR="00973905" w:rsidRPr="00973905" w:rsidRDefault="00973905" w:rsidP="00C13F70">
      <w:pPr>
        <w:pStyle w:val="ColorfulList-Accent12"/>
        <w:ind w:left="0"/>
        <w:rPr>
          <w:lang w:eastAsia="x-none"/>
        </w:rPr>
      </w:pPr>
    </w:p>
    <w:p w14:paraId="60FA1916" w14:textId="77777777" w:rsidR="00973905" w:rsidRPr="00973905" w:rsidRDefault="00973905" w:rsidP="00C13F70">
      <w:pPr>
        <w:pStyle w:val="ColorfulList-Accent12"/>
        <w:ind w:left="0"/>
        <w:rPr>
          <w:lang w:eastAsia="x-none"/>
        </w:rPr>
      </w:pPr>
      <w:r w:rsidRPr="00973905">
        <w:rPr>
          <w:lang w:eastAsia="x-none"/>
        </w:rPr>
        <w:t>Perceived advantages</w:t>
      </w:r>
      <w:r w:rsidR="003B3526">
        <w:rPr>
          <w:lang w:eastAsia="x-none"/>
        </w:rPr>
        <w:t>:</w:t>
      </w:r>
    </w:p>
    <w:p w14:paraId="75A14C83" w14:textId="77777777" w:rsidR="00973905" w:rsidRPr="00973905" w:rsidRDefault="00973905" w:rsidP="00320FDC">
      <w:pPr>
        <w:pStyle w:val="ColorfulList-Accent12"/>
        <w:numPr>
          <w:ilvl w:val="2"/>
          <w:numId w:val="52"/>
        </w:numPr>
        <w:ind w:left="426"/>
        <w:rPr>
          <w:lang w:eastAsia="x-none"/>
        </w:rPr>
      </w:pPr>
      <w:r w:rsidRPr="00973905">
        <w:rPr>
          <w:lang w:eastAsia="x-none"/>
        </w:rPr>
        <w:t>Increased process efficiency</w:t>
      </w:r>
      <w:r w:rsidR="00AC7E75">
        <w:rPr>
          <w:lang w:eastAsia="x-none"/>
        </w:rPr>
        <w:t>,</w:t>
      </w:r>
      <w:r w:rsidRPr="00973905">
        <w:rPr>
          <w:lang w:eastAsia="x-none"/>
        </w:rPr>
        <w:t xml:space="preserve"> through a streamlined process</w:t>
      </w:r>
      <w:r w:rsidR="003B3526">
        <w:rPr>
          <w:lang w:eastAsia="x-none"/>
        </w:rPr>
        <w:t>;</w:t>
      </w:r>
      <w:r w:rsidR="00AC7E75">
        <w:rPr>
          <w:lang w:eastAsia="x-none"/>
        </w:rPr>
        <w:t xml:space="preserve"> and</w:t>
      </w:r>
    </w:p>
    <w:p w14:paraId="48013088" w14:textId="77777777" w:rsidR="00973905" w:rsidRPr="00973905" w:rsidRDefault="00973905" w:rsidP="00320FDC">
      <w:pPr>
        <w:pStyle w:val="ColorfulList-Accent12"/>
        <w:numPr>
          <w:ilvl w:val="2"/>
          <w:numId w:val="52"/>
        </w:numPr>
        <w:ind w:left="426"/>
        <w:rPr>
          <w:lang w:eastAsia="x-none"/>
        </w:rPr>
      </w:pPr>
      <w:r w:rsidRPr="00973905">
        <w:rPr>
          <w:lang w:eastAsia="x-none"/>
        </w:rPr>
        <w:t>Increased speed of implementation</w:t>
      </w:r>
      <w:r w:rsidR="00AC7E75">
        <w:rPr>
          <w:lang w:eastAsia="x-none"/>
        </w:rPr>
        <w:t>,</w:t>
      </w:r>
      <w:r w:rsidR="002513B4">
        <w:rPr>
          <w:lang w:eastAsia="x-none"/>
        </w:rPr>
        <w:t xml:space="preserve"> </w:t>
      </w:r>
      <w:r w:rsidRPr="00973905">
        <w:rPr>
          <w:lang w:eastAsia="x-none"/>
        </w:rPr>
        <w:t>as a result of a streamlined process</w:t>
      </w:r>
      <w:r w:rsidR="003B3526">
        <w:rPr>
          <w:lang w:eastAsia="x-none"/>
        </w:rPr>
        <w:t>.</w:t>
      </w:r>
    </w:p>
    <w:p w14:paraId="70AF9D75" w14:textId="77777777" w:rsidR="00973905" w:rsidRPr="00973905" w:rsidRDefault="00973905" w:rsidP="00C13F70">
      <w:pPr>
        <w:pStyle w:val="ColorfulList-Accent12"/>
        <w:ind w:left="0"/>
        <w:rPr>
          <w:lang w:eastAsia="x-none"/>
        </w:rPr>
      </w:pPr>
    </w:p>
    <w:p w14:paraId="1C38795B" w14:textId="77777777" w:rsidR="00973905" w:rsidRPr="00973905" w:rsidRDefault="00973905" w:rsidP="00C13F70">
      <w:pPr>
        <w:pStyle w:val="ColorfulList-Accent12"/>
        <w:ind w:left="0"/>
        <w:rPr>
          <w:lang w:eastAsia="x-none"/>
        </w:rPr>
      </w:pPr>
      <w:r w:rsidRPr="00973905">
        <w:rPr>
          <w:lang w:eastAsia="x-none"/>
        </w:rPr>
        <w:t>Perceived disadvantages</w:t>
      </w:r>
      <w:r w:rsidR="003B3526">
        <w:rPr>
          <w:lang w:eastAsia="x-none"/>
        </w:rPr>
        <w:t>:</w:t>
      </w:r>
    </w:p>
    <w:p w14:paraId="3D94689B" w14:textId="77777777" w:rsidR="00973905" w:rsidRPr="00973905" w:rsidRDefault="00973905" w:rsidP="00320FDC">
      <w:pPr>
        <w:pStyle w:val="ColorfulList-Accent12"/>
        <w:numPr>
          <w:ilvl w:val="2"/>
          <w:numId w:val="52"/>
        </w:numPr>
        <w:ind w:left="426"/>
        <w:rPr>
          <w:lang w:eastAsia="x-none"/>
        </w:rPr>
      </w:pPr>
      <w:r w:rsidRPr="00973905">
        <w:rPr>
          <w:lang w:eastAsia="x-none"/>
        </w:rPr>
        <w:t xml:space="preserve">Risk of reduced </w:t>
      </w:r>
      <w:r w:rsidR="00AC7E75">
        <w:rPr>
          <w:lang w:eastAsia="x-none"/>
        </w:rPr>
        <w:t>s</w:t>
      </w:r>
      <w:r w:rsidRPr="00973905">
        <w:rPr>
          <w:lang w:eastAsia="x-none"/>
        </w:rPr>
        <w:t xml:space="preserve">tate and </w:t>
      </w:r>
      <w:r w:rsidR="00AC7E75">
        <w:rPr>
          <w:lang w:eastAsia="x-none"/>
        </w:rPr>
        <w:t>t</w:t>
      </w:r>
      <w:r w:rsidRPr="00973905">
        <w:rPr>
          <w:lang w:eastAsia="x-none"/>
        </w:rPr>
        <w:t>erritory issues represented</w:t>
      </w:r>
      <w:r w:rsidR="003B3526">
        <w:rPr>
          <w:lang w:eastAsia="x-none"/>
        </w:rPr>
        <w:t>;</w:t>
      </w:r>
      <w:r w:rsidR="00AC7E75">
        <w:rPr>
          <w:lang w:eastAsia="x-none"/>
        </w:rPr>
        <w:t xml:space="preserve"> and</w:t>
      </w:r>
    </w:p>
    <w:p w14:paraId="017DE644" w14:textId="77777777" w:rsidR="00973905" w:rsidRDefault="00973905" w:rsidP="00320FDC">
      <w:pPr>
        <w:pStyle w:val="ColorfulList-Accent12"/>
        <w:numPr>
          <w:ilvl w:val="2"/>
          <w:numId w:val="52"/>
        </w:numPr>
        <w:ind w:left="426"/>
        <w:rPr>
          <w:lang w:eastAsia="x-none"/>
        </w:rPr>
      </w:pPr>
      <w:r w:rsidRPr="00973905">
        <w:rPr>
          <w:lang w:eastAsia="x-none"/>
        </w:rPr>
        <w:t xml:space="preserve">Increased risk of </w:t>
      </w:r>
      <w:r w:rsidR="00AC7E75">
        <w:rPr>
          <w:lang w:eastAsia="x-none"/>
        </w:rPr>
        <w:t>s</w:t>
      </w:r>
      <w:r w:rsidRPr="00973905">
        <w:rPr>
          <w:lang w:eastAsia="x-none"/>
        </w:rPr>
        <w:t xml:space="preserve">tates and </w:t>
      </w:r>
      <w:r w:rsidR="00AC7E75">
        <w:rPr>
          <w:lang w:eastAsia="x-none"/>
        </w:rPr>
        <w:t>t</w:t>
      </w:r>
      <w:r w:rsidRPr="00973905">
        <w:rPr>
          <w:lang w:eastAsia="x-none"/>
        </w:rPr>
        <w:t>erritories implementing their own regulations.</w:t>
      </w:r>
    </w:p>
    <w:p w14:paraId="55F77E04" w14:textId="77777777" w:rsidR="006A2DA4" w:rsidRDefault="00393EE4" w:rsidP="00393EE4">
      <w:pPr>
        <w:pStyle w:val="Heading3"/>
      </w:pPr>
      <w:bookmarkStart w:id="122" w:name="_Toc422298422"/>
      <w:r>
        <w:t>Conclusions</w:t>
      </w:r>
      <w:bookmarkEnd w:id="122"/>
    </w:p>
    <w:p w14:paraId="12AA4BF4" w14:textId="77777777" w:rsidR="00D222B2" w:rsidRPr="00D222B2" w:rsidRDefault="00D222B2" w:rsidP="00D222B2">
      <w:pPr>
        <w:rPr>
          <w:b/>
          <w:lang w:eastAsia="x-none"/>
        </w:rPr>
      </w:pPr>
      <w:r>
        <w:rPr>
          <w:b/>
          <w:lang w:eastAsia="x-none"/>
        </w:rPr>
        <w:t>Cost recovery</w:t>
      </w:r>
    </w:p>
    <w:p w14:paraId="2A308F2E" w14:textId="77777777" w:rsidR="00A852AF" w:rsidRDefault="00A852AF" w:rsidP="00320FDC">
      <w:pPr>
        <w:numPr>
          <w:ilvl w:val="0"/>
          <w:numId w:val="48"/>
        </w:numPr>
        <w:rPr>
          <w:lang w:eastAsia="x-none"/>
        </w:rPr>
      </w:pPr>
      <w:r w:rsidRPr="00A852AF">
        <w:rPr>
          <w:lang w:eastAsia="x-none"/>
        </w:rPr>
        <w:t xml:space="preserve">The general level of industry funding appears accepted by the majority of stakeholders and could be maintained. </w:t>
      </w:r>
      <w:r w:rsidR="000B1699">
        <w:rPr>
          <w:lang w:eastAsia="x-none"/>
        </w:rPr>
        <w:t xml:space="preserve"> </w:t>
      </w:r>
      <w:r w:rsidRPr="00A852AF">
        <w:rPr>
          <w:lang w:eastAsia="x-none"/>
        </w:rPr>
        <w:t xml:space="preserve">There would be value in better communicating the contribution of </w:t>
      </w:r>
      <w:r w:rsidRPr="00A852AF">
        <w:rPr>
          <w:lang w:eastAsia="x-none"/>
        </w:rPr>
        <w:lastRenderedPageBreak/>
        <w:t xml:space="preserve">fees to the overall program budget. </w:t>
      </w:r>
      <w:r w:rsidR="000B1699">
        <w:rPr>
          <w:lang w:eastAsia="x-none"/>
        </w:rPr>
        <w:t xml:space="preserve"> </w:t>
      </w:r>
      <w:r w:rsidRPr="00A852AF">
        <w:rPr>
          <w:lang w:eastAsia="x-none"/>
        </w:rPr>
        <w:t>Some adjustment to the registration requirements for particular categories of products may also make the fees appear more equitable.</w:t>
      </w:r>
    </w:p>
    <w:p w14:paraId="23F1B2C0" w14:textId="77777777" w:rsidR="00D222B2" w:rsidRDefault="00B4298D" w:rsidP="00320FDC">
      <w:pPr>
        <w:numPr>
          <w:ilvl w:val="0"/>
          <w:numId w:val="48"/>
        </w:numPr>
        <w:rPr>
          <w:lang w:eastAsia="x-none"/>
        </w:rPr>
      </w:pPr>
      <w:r>
        <w:rPr>
          <w:lang w:eastAsia="x-none"/>
        </w:rPr>
        <w:t>Industry c</w:t>
      </w:r>
      <w:r w:rsidR="00D222B2">
        <w:rPr>
          <w:lang w:eastAsia="x-none"/>
        </w:rPr>
        <w:t>ould potentially tolerate a reasonably minor increase in cost recovery</w:t>
      </w:r>
      <w:r w:rsidR="00E844D9">
        <w:rPr>
          <w:lang w:eastAsia="x-none"/>
        </w:rPr>
        <w:t>, although respondents were generally resistive to this and noted that costs would be passed on to the consumer</w:t>
      </w:r>
      <w:r w:rsidR="00A852AF">
        <w:rPr>
          <w:rStyle w:val="FootnoteReference"/>
          <w:lang w:eastAsia="x-none"/>
        </w:rPr>
        <w:footnoteReference w:id="185"/>
      </w:r>
      <w:r w:rsidR="00E844D9">
        <w:rPr>
          <w:lang w:eastAsia="x-none"/>
        </w:rPr>
        <w:t xml:space="preserve">.  There was also a concern about increasing </w:t>
      </w:r>
      <w:r w:rsidR="00AC7E75">
        <w:rPr>
          <w:lang w:eastAsia="x-none"/>
        </w:rPr>
        <w:t xml:space="preserve">the </w:t>
      </w:r>
      <w:r w:rsidR="00E844D9">
        <w:rPr>
          <w:lang w:eastAsia="x-none"/>
        </w:rPr>
        <w:t xml:space="preserve">burden for industry, a view similarly reflected by </w:t>
      </w:r>
      <w:r w:rsidR="00AC7E75">
        <w:rPr>
          <w:lang w:eastAsia="x-none"/>
        </w:rPr>
        <w:t>g</w:t>
      </w:r>
      <w:r w:rsidR="00E844D9">
        <w:rPr>
          <w:lang w:eastAsia="x-none"/>
        </w:rPr>
        <w:t>overnment</w:t>
      </w:r>
      <w:r w:rsidR="00AC7E75">
        <w:rPr>
          <w:lang w:eastAsia="x-none"/>
        </w:rPr>
        <w:t xml:space="preserve"> respondents</w:t>
      </w:r>
      <w:r w:rsidR="00E844D9">
        <w:rPr>
          <w:lang w:eastAsia="x-none"/>
        </w:rPr>
        <w:t xml:space="preserve">.  </w:t>
      </w:r>
    </w:p>
    <w:p w14:paraId="0A633DD4" w14:textId="77777777" w:rsidR="00E844D9" w:rsidRPr="00AE3186" w:rsidRDefault="00AE3186" w:rsidP="00D222B2">
      <w:pPr>
        <w:pStyle w:val="ColorfulList-Accent12"/>
        <w:spacing w:after="0" w:line="240" w:lineRule="auto"/>
        <w:ind w:left="0"/>
        <w:rPr>
          <w:b/>
          <w:lang w:eastAsia="x-none"/>
        </w:rPr>
      </w:pPr>
      <w:r>
        <w:rPr>
          <w:b/>
          <w:lang w:eastAsia="x-none"/>
        </w:rPr>
        <w:t xml:space="preserve">Alternative </w:t>
      </w:r>
      <w:r w:rsidR="00AC7E75">
        <w:rPr>
          <w:b/>
          <w:lang w:eastAsia="x-none"/>
        </w:rPr>
        <w:t>g</w:t>
      </w:r>
      <w:r>
        <w:rPr>
          <w:b/>
          <w:lang w:eastAsia="x-none"/>
        </w:rPr>
        <w:t>overnment funding options</w:t>
      </w:r>
    </w:p>
    <w:p w14:paraId="1C47ABD5" w14:textId="77777777" w:rsidR="00AE3186" w:rsidRDefault="00AE3186" w:rsidP="00D222B2">
      <w:pPr>
        <w:pStyle w:val="ColorfulList-Accent12"/>
        <w:spacing w:after="0" w:line="240" w:lineRule="auto"/>
        <w:ind w:left="0"/>
        <w:rPr>
          <w:lang w:eastAsia="x-none"/>
        </w:rPr>
      </w:pPr>
    </w:p>
    <w:p w14:paraId="0497DE9A" w14:textId="77777777" w:rsidR="00DE5518" w:rsidRDefault="00AE3186" w:rsidP="00320FDC">
      <w:pPr>
        <w:pStyle w:val="ColorfulList-Accent12"/>
        <w:numPr>
          <w:ilvl w:val="3"/>
          <w:numId w:val="52"/>
        </w:numPr>
        <w:spacing w:after="0" w:line="240" w:lineRule="auto"/>
        <w:ind w:left="709"/>
        <w:rPr>
          <w:lang w:eastAsia="x-none"/>
        </w:rPr>
      </w:pPr>
      <w:r>
        <w:rPr>
          <w:lang w:eastAsia="x-none"/>
        </w:rPr>
        <w:t xml:space="preserve">The issue of funding, in particular </w:t>
      </w:r>
      <w:r w:rsidR="00AC7E75">
        <w:rPr>
          <w:lang w:eastAsia="x-none"/>
        </w:rPr>
        <w:t>s</w:t>
      </w:r>
      <w:r>
        <w:rPr>
          <w:lang w:eastAsia="x-none"/>
        </w:rPr>
        <w:t xml:space="preserve">tate and </w:t>
      </w:r>
      <w:r w:rsidR="00AC7E75">
        <w:rPr>
          <w:lang w:eastAsia="x-none"/>
        </w:rPr>
        <w:t>t</w:t>
      </w:r>
      <w:r>
        <w:rPr>
          <w:lang w:eastAsia="x-none"/>
        </w:rPr>
        <w:t>erritory contributions is a complex and sensitive issue</w:t>
      </w:r>
      <w:r w:rsidR="00DE5518">
        <w:rPr>
          <w:lang w:eastAsia="x-none"/>
        </w:rPr>
        <w:t xml:space="preserve"> and it is difficult to make robust conclusions either way based on the exploration undertaken within the scope of this review. </w:t>
      </w:r>
    </w:p>
    <w:p w14:paraId="514373B7" w14:textId="77777777" w:rsidR="00DE5518" w:rsidRDefault="00DE5518" w:rsidP="00DE5518">
      <w:pPr>
        <w:pStyle w:val="ColorfulList-Accent12"/>
        <w:spacing w:after="0" w:line="240" w:lineRule="auto"/>
        <w:ind w:left="709"/>
        <w:rPr>
          <w:lang w:eastAsia="x-none"/>
        </w:rPr>
      </w:pPr>
    </w:p>
    <w:p w14:paraId="23BB0F0B" w14:textId="77777777" w:rsidR="00D222B2" w:rsidRDefault="00DE5518" w:rsidP="00320FDC">
      <w:pPr>
        <w:pStyle w:val="ColorfulList-Accent12"/>
        <w:numPr>
          <w:ilvl w:val="3"/>
          <w:numId w:val="52"/>
        </w:numPr>
        <w:spacing w:after="0" w:line="240" w:lineRule="auto"/>
        <w:ind w:left="709"/>
        <w:rPr>
          <w:lang w:eastAsia="x-none"/>
        </w:rPr>
      </w:pPr>
      <w:r>
        <w:rPr>
          <w:lang w:eastAsia="x-none"/>
        </w:rPr>
        <w:t xml:space="preserve">Some are </w:t>
      </w:r>
      <w:r w:rsidR="00E66B2C">
        <w:rPr>
          <w:lang w:eastAsia="x-none"/>
        </w:rPr>
        <w:t xml:space="preserve">clearly </w:t>
      </w:r>
      <w:r>
        <w:rPr>
          <w:lang w:eastAsia="x-none"/>
        </w:rPr>
        <w:t>in favour of the status quo</w:t>
      </w:r>
      <w:r w:rsidR="00A852AF">
        <w:rPr>
          <w:lang w:eastAsia="x-none"/>
        </w:rPr>
        <w:t>.</w:t>
      </w:r>
      <w:r>
        <w:rPr>
          <w:lang w:eastAsia="x-none"/>
        </w:rPr>
        <w:t xml:space="preserve">  </w:t>
      </w:r>
      <w:r w:rsidR="00E66B2C">
        <w:rPr>
          <w:lang w:eastAsia="x-none"/>
        </w:rPr>
        <w:t xml:space="preserve">Others are in favour of a Commonwealth funded scheme, but are not perhaps aware of what the full implications of this might be for the framework within which GEMS operates. </w:t>
      </w:r>
    </w:p>
    <w:p w14:paraId="5A3CF17C" w14:textId="77777777" w:rsidR="00E66B2C" w:rsidRDefault="00E66B2C" w:rsidP="00E66B2C">
      <w:pPr>
        <w:pStyle w:val="ColorfulList-Accent12"/>
        <w:rPr>
          <w:lang w:eastAsia="x-none"/>
        </w:rPr>
      </w:pPr>
    </w:p>
    <w:p w14:paraId="6F090FBD" w14:textId="77777777" w:rsidR="00E66B2C" w:rsidRDefault="00E66B2C" w:rsidP="00320FDC">
      <w:pPr>
        <w:pStyle w:val="ColorfulList-Accent12"/>
        <w:numPr>
          <w:ilvl w:val="3"/>
          <w:numId w:val="52"/>
        </w:numPr>
        <w:spacing w:after="0" w:line="240" w:lineRule="auto"/>
        <w:ind w:left="709"/>
        <w:rPr>
          <w:lang w:eastAsia="x-none"/>
        </w:rPr>
      </w:pPr>
      <w:r>
        <w:rPr>
          <w:lang w:eastAsia="x-none"/>
        </w:rPr>
        <w:t>The issue should be investigated further, exploring more specific scenarios, including their potential benefits and risks, which can feed into post 2015/16 planning.</w:t>
      </w:r>
      <w:r w:rsidR="00B279BE">
        <w:rPr>
          <w:lang w:eastAsia="x-none"/>
        </w:rPr>
        <w:t xml:space="preserve"> </w:t>
      </w:r>
    </w:p>
    <w:p w14:paraId="49ADC2DD" w14:textId="77777777" w:rsidR="00393EE4" w:rsidRDefault="00393EE4" w:rsidP="00393EE4">
      <w:pPr>
        <w:rPr>
          <w:lang w:eastAsia="x-none"/>
        </w:rPr>
      </w:pPr>
    </w:p>
    <w:p w14:paraId="2A198635" w14:textId="77777777" w:rsidR="00B4298D" w:rsidRDefault="00B4298D" w:rsidP="00B4298D">
      <w:pPr>
        <w:pStyle w:val="Heading3"/>
      </w:pPr>
      <w:bookmarkStart w:id="123" w:name="_Toc422298423"/>
      <w:r>
        <w:t>Recommendations</w:t>
      </w:r>
      <w:bookmarkEnd w:id="123"/>
    </w:p>
    <w:p w14:paraId="303E64A4" w14:textId="77777777" w:rsidR="000547FA" w:rsidRPr="00552058" w:rsidRDefault="000547FA" w:rsidP="006649F2">
      <w:pPr>
        <w:numPr>
          <w:ilvl w:val="0"/>
          <w:numId w:val="74"/>
        </w:numPr>
        <w:ind w:left="709"/>
        <w:rPr>
          <w:lang w:eastAsia="x-none"/>
        </w:rPr>
      </w:pPr>
      <w:r w:rsidRPr="00DF7C99">
        <w:rPr>
          <w:u w:val="single"/>
          <w:lang w:eastAsia="x-none"/>
        </w:rPr>
        <w:t>Cost recovery</w:t>
      </w:r>
      <w:r>
        <w:rPr>
          <w:lang w:eastAsia="x-none"/>
        </w:rPr>
        <w:t xml:space="preserve"> – </w:t>
      </w:r>
      <w:r w:rsidR="002333FD">
        <w:rPr>
          <w:lang w:eastAsia="x-none"/>
        </w:rPr>
        <w:t xml:space="preserve">The Commonwealth </w:t>
      </w:r>
      <w:r w:rsidR="00705336">
        <w:rPr>
          <w:lang w:eastAsia="x-none"/>
        </w:rPr>
        <w:t>t</w:t>
      </w:r>
      <w:r w:rsidR="002333FD">
        <w:t xml:space="preserve">ake account of stakeholder feedback </w:t>
      </w:r>
      <w:r w:rsidR="00705336">
        <w:t xml:space="preserve">in this review </w:t>
      </w:r>
      <w:r w:rsidR="002333FD">
        <w:t xml:space="preserve">on cost recovery when reviewing registration fees in October 2015. </w:t>
      </w:r>
    </w:p>
    <w:p w14:paraId="64A7A2B2" w14:textId="77777777" w:rsidR="003B3526" w:rsidRDefault="00DF7C99" w:rsidP="000B66DE">
      <w:pPr>
        <w:numPr>
          <w:ilvl w:val="0"/>
          <w:numId w:val="74"/>
        </w:numPr>
        <w:spacing w:after="0"/>
        <w:ind w:left="709" w:hanging="357"/>
        <w:rPr>
          <w:lang w:eastAsia="x-none"/>
        </w:rPr>
      </w:pPr>
      <w:r w:rsidRPr="00552058">
        <w:rPr>
          <w:u w:val="single"/>
          <w:lang w:eastAsia="x-none"/>
        </w:rPr>
        <w:t xml:space="preserve">Alternative </w:t>
      </w:r>
      <w:r w:rsidR="00EC07F0">
        <w:rPr>
          <w:u w:val="single"/>
          <w:lang w:eastAsia="x-none"/>
        </w:rPr>
        <w:t>g</w:t>
      </w:r>
      <w:r w:rsidRPr="00552058">
        <w:rPr>
          <w:u w:val="single"/>
          <w:lang w:eastAsia="x-none"/>
        </w:rPr>
        <w:t>overnment funding options</w:t>
      </w:r>
      <w:r w:rsidR="006649F2">
        <w:rPr>
          <w:lang w:eastAsia="x-none"/>
        </w:rPr>
        <w:t xml:space="preserve"> - </w:t>
      </w:r>
      <w:r w:rsidR="004831B5">
        <w:rPr>
          <w:lang w:eastAsia="x-none"/>
        </w:rPr>
        <w:t>P</w:t>
      </w:r>
      <w:r w:rsidR="00AE3186" w:rsidRPr="00552058">
        <w:rPr>
          <w:lang w:eastAsia="x-none"/>
        </w:rPr>
        <w:t>lanning for post 2015</w:t>
      </w:r>
      <w:r w:rsidR="00552058" w:rsidRPr="00552058">
        <w:rPr>
          <w:lang w:eastAsia="x-none"/>
        </w:rPr>
        <w:t>/16 funding needs to commence.  Planning on the basis of different scenarios would be sensible, including</w:t>
      </w:r>
      <w:r w:rsidR="003B3526">
        <w:rPr>
          <w:lang w:eastAsia="x-none"/>
        </w:rPr>
        <w:t>:</w:t>
      </w:r>
      <w:r w:rsidR="00552058" w:rsidRPr="00552058">
        <w:rPr>
          <w:lang w:eastAsia="x-none"/>
        </w:rPr>
        <w:t xml:space="preserve"> </w:t>
      </w:r>
    </w:p>
    <w:p w14:paraId="0E196C92" w14:textId="77777777" w:rsidR="003B3526" w:rsidRDefault="009918A7" w:rsidP="000B66DE">
      <w:pPr>
        <w:numPr>
          <w:ilvl w:val="0"/>
          <w:numId w:val="75"/>
        </w:numPr>
        <w:tabs>
          <w:tab w:val="left" w:pos="567"/>
          <w:tab w:val="left" w:pos="851"/>
        </w:tabs>
        <w:spacing w:after="0"/>
        <w:ind w:left="1069"/>
        <w:rPr>
          <w:lang w:eastAsia="x-none"/>
        </w:rPr>
      </w:pPr>
      <w:r>
        <w:rPr>
          <w:lang w:eastAsia="x-none"/>
        </w:rPr>
        <w:t>K</w:t>
      </w:r>
      <w:r w:rsidR="00552058" w:rsidRPr="00552058">
        <w:rPr>
          <w:lang w:eastAsia="x-none"/>
        </w:rPr>
        <w:t xml:space="preserve">eeping </w:t>
      </w:r>
      <w:r w:rsidR="00EC07F0">
        <w:rPr>
          <w:lang w:eastAsia="x-none"/>
        </w:rPr>
        <w:t>s</w:t>
      </w:r>
      <w:r w:rsidR="00552058" w:rsidRPr="00552058">
        <w:rPr>
          <w:lang w:eastAsia="x-none"/>
        </w:rPr>
        <w:t xml:space="preserve">tate and </w:t>
      </w:r>
      <w:r w:rsidR="00EC07F0">
        <w:rPr>
          <w:lang w:eastAsia="x-none"/>
        </w:rPr>
        <w:t>t</w:t>
      </w:r>
      <w:r w:rsidR="00552058" w:rsidRPr="00552058">
        <w:rPr>
          <w:lang w:eastAsia="x-none"/>
        </w:rPr>
        <w:t>erritory funding under the framework of the IGA</w:t>
      </w:r>
      <w:r w:rsidR="00EC07F0">
        <w:rPr>
          <w:lang w:eastAsia="x-none"/>
        </w:rPr>
        <w:t>; and</w:t>
      </w:r>
      <w:r w:rsidR="00552058" w:rsidRPr="00552058">
        <w:rPr>
          <w:lang w:eastAsia="x-none"/>
        </w:rPr>
        <w:t xml:space="preserve"> </w:t>
      </w:r>
    </w:p>
    <w:p w14:paraId="0066D1B8" w14:textId="77777777" w:rsidR="00AE3186" w:rsidRPr="00552058" w:rsidRDefault="009918A7" w:rsidP="000B66DE">
      <w:pPr>
        <w:numPr>
          <w:ilvl w:val="0"/>
          <w:numId w:val="75"/>
        </w:numPr>
        <w:tabs>
          <w:tab w:val="left" w:pos="567"/>
          <w:tab w:val="left" w:pos="851"/>
        </w:tabs>
        <w:spacing w:after="0"/>
        <w:ind w:left="1069"/>
        <w:rPr>
          <w:lang w:eastAsia="x-none"/>
        </w:rPr>
      </w:pPr>
      <w:r>
        <w:rPr>
          <w:lang w:eastAsia="x-none"/>
        </w:rPr>
        <w:t>E</w:t>
      </w:r>
      <w:r w:rsidR="00552058" w:rsidRPr="00552058">
        <w:rPr>
          <w:lang w:eastAsia="x-none"/>
        </w:rPr>
        <w:t>xplor</w:t>
      </w:r>
      <w:r w:rsidR="000C6D2F">
        <w:rPr>
          <w:lang w:eastAsia="x-none"/>
        </w:rPr>
        <w:t>ing</w:t>
      </w:r>
      <w:r w:rsidR="00552058" w:rsidRPr="00552058">
        <w:rPr>
          <w:lang w:eastAsia="x-none"/>
        </w:rPr>
        <w:t xml:space="preserve"> alternatives, such Commonwealth</w:t>
      </w:r>
      <w:r w:rsidR="006649F2">
        <w:rPr>
          <w:lang w:eastAsia="x-none"/>
        </w:rPr>
        <w:t>-</w:t>
      </w:r>
      <w:r w:rsidR="00552058" w:rsidRPr="00552058">
        <w:rPr>
          <w:lang w:eastAsia="x-none"/>
        </w:rPr>
        <w:t xml:space="preserve">only funding or a scenario where some </w:t>
      </w:r>
      <w:r w:rsidR="00EC07F0">
        <w:rPr>
          <w:lang w:eastAsia="x-none"/>
        </w:rPr>
        <w:t>s</w:t>
      </w:r>
      <w:r w:rsidR="00552058" w:rsidRPr="00552058">
        <w:rPr>
          <w:lang w:eastAsia="x-none"/>
        </w:rPr>
        <w:t>tates and</w:t>
      </w:r>
      <w:r>
        <w:rPr>
          <w:lang w:eastAsia="x-none"/>
        </w:rPr>
        <w:t xml:space="preserve"> </w:t>
      </w:r>
      <w:r w:rsidR="00EC07F0">
        <w:rPr>
          <w:lang w:eastAsia="x-none"/>
        </w:rPr>
        <w:t>t</w:t>
      </w:r>
      <w:r w:rsidR="00552058" w:rsidRPr="00552058">
        <w:rPr>
          <w:lang w:eastAsia="x-none"/>
        </w:rPr>
        <w:t xml:space="preserve">erritories continue to fund and others do not.  </w:t>
      </w:r>
    </w:p>
    <w:p w14:paraId="0388278F" w14:textId="77777777" w:rsidR="00985C0C" w:rsidRDefault="00985C0C" w:rsidP="009F4031">
      <w:pPr>
        <w:pStyle w:val="Caption"/>
        <w:spacing w:line="276" w:lineRule="auto"/>
      </w:pPr>
    </w:p>
    <w:p w14:paraId="196256C5" w14:textId="77777777" w:rsidR="005901F1" w:rsidRPr="00542555" w:rsidRDefault="005901F1" w:rsidP="009F4031">
      <w:pPr>
        <w:ind w:left="45"/>
        <w:rPr>
          <w:rFonts w:cs="Akzidenz Grotesk BE Bold"/>
          <w:bCs/>
          <w:sz w:val="20"/>
          <w:lang w:val="en-US" w:eastAsia="en-US"/>
        </w:rPr>
      </w:pPr>
    </w:p>
    <w:p w14:paraId="6CA77FCB" w14:textId="77777777" w:rsidR="00706057" w:rsidRDefault="00706057" w:rsidP="009F4031">
      <w:pPr>
        <w:rPr>
          <w:sz w:val="20"/>
        </w:rPr>
      </w:pPr>
    </w:p>
    <w:p w14:paraId="70DE798E" w14:textId="77777777" w:rsidR="00D10C82" w:rsidRDefault="00C6670B" w:rsidP="009918A7">
      <w:bookmarkStart w:id="124" w:name="_Toc395632259"/>
      <w:bookmarkStart w:id="125" w:name="_Toc395632260"/>
      <w:bookmarkStart w:id="126" w:name="_Toc395632261"/>
      <w:bookmarkStart w:id="127" w:name="_Toc395632262"/>
      <w:bookmarkStart w:id="128" w:name="_Toc395632267"/>
      <w:bookmarkStart w:id="129" w:name="_Toc395632272"/>
      <w:bookmarkStart w:id="130" w:name="_Toc395632276"/>
      <w:bookmarkStart w:id="131" w:name="_Toc395632287"/>
      <w:bookmarkStart w:id="132" w:name="_Toc400825938"/>
      <w:bookmarkStart w:id="133" w:name="_Toc400827488"/>
      <w:bookmarkEnd w:id="1"/>
      <w:bookmarkEnd w:id="124"/>
      <w:bookmarkEnd w:id="125"/>
      <w:bookmarkEnd w:id="126"/>
      <w:bookmarkEnd w:id="127"/>
      <w:bookmarkEnd w:id="128"/>
      <w:bookmarkEnd w:id="129"/>
      <w:bookmarkEnd w:id="130"/>
      <w:bookmarkEnd w:id="131"/>
      <w:bookmarkEnd w:id="132"/>
      <w:bookmarkEnd w:id="133"/>
      <w:r w:rsidRPr="00C6670B">
        <w:br w:type="page"/>
      </w:r>
      <w:r w:rsidR="00997283">
        <w:rPr>
          <w:noProof/>
        </w:rPr>
        <w:lastRenderedPageBreak/>
        <w:t xml:space="preserve"> </w:t>
      </w:r>
      <w:r w:rsidR="008E332E">
        <w:rPr>
          <w:noProof/>
          <w:lang w:val="en-AU" w:eastAsia="en-AU"/>
        </w:rPr>
        <w:drawing>
          <wp:anchor distT="0" distB="0" distL="114300" distR="114300" simplePos="0" relativeHeight="251658240" behindDoc="0" locked="0" layoutInCell="1" allowOverlap="1" wp14:anchorId="5BCE0911" wp14:editId="0A3EB56F">
            <wp:simplePos x="0" y="0"/>
            <wp:positionH relativeFrom="page">
              <wp:posOffset>-43815</wp:posOffset>
            </wp:positionH>
            <wp:positionV relativeFrom="page">
              <wp:posOffset>-15875</wp:posOffset>
            </wp:positionV>
            <wp:extent cx="7658735" cy="10828020"/>
            <wp:effectExtent l="0" t="0" r="0" b="0"/>
            <wp:wrapNone/>
            <wp:docPr id="8" name="Picture 1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58735" cy="10828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EA26E9" w14:textId="77777777" w:rsidR="00D10C82" w:rsidRPr="00D10C82" w:rsidRDefault="008E332E" w:rsidP="009F4031">
      <w:pPr>
        <w:spacing w:after="0"/>
      </w:pPr>
      <w:r>
        <w:rPr>
          <w:noProof/>
          <w:lang w:val="en-AU" w:eastAsia="en-AU"/>
        </w:rPr>
        <mc:AlternateContent>
          <mc:Choice Requires="wps">
            <w:drawing>
              <wp:anchor distT="0" distB="0" distL="114300" distR="114300" simplePos="0" relativeHeight="251659264" behindDoc="0" locked="0" layoutInCell="1" allowOverlap="1" wp14:anchorId="22C31827" wp14:editId="318245D1">
                <wp:simplePos x="0" y="0"/>
                <wp:positionH relativeFrom="column">
                  <wp:posOffset>640715</wp:posOffset>
                </wp:positionH>
                <wp:positionV relativeFrom="paragraph">
                  <wp:posOffset>5367020</wp:posOffset>
                </wp:positionV>
                <wp:extent cx="4686935" cy="493395"/>
                <wp:effectExtent l="12065" t="13970" r="6350" b="6985"/>
                <wp:wrapSquare wrapText="bothSides"/>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493395"/>
                        </a:xfrm>
                        <a:prstGeom prst="rect">
                          <a:avLst/>
                        </a:prstGeom>
                        <a:solidFill>
                          <a:srgbClr val="FFFFFF"/>
                        </a:solidFill>
                        <a:ln w="9525">
                          <a:solidFill>
                            <a:srgbClr val="FFFFFF"/>
                          </a:solidFill>
                          <a:miter lim="800000"/>
                          <a:headEnd/>
                          <a:tailEnd/>
                        </a:ln>
                      </wps:spPr>
                      <wps:txbx>
                        <w:txbxContent>
                          <w:p w14:paraId="5C257651" w14:textId="77777777" w:rsidR="00141A3C" w:rsidRPr="00434CF4" w:rsidRDefault="00141A3C" w:rsidP="00191947">
                            <w:pPr>
                              <w:spacing w:after="0"/>
                              <w:jc w:val="center"/>
                              <w:rPr>
                                <w:color w:val="7F7F7F"/>
                              </w:rPr>
                            </w:pPr>
                            <w:r w:rsidRPr="00434CF4">
                              <w:rPr>
                                <w:color w:val="7F7F7F"/>
                              </w:rPr>
                              <w:t>Databuild, Suite 1308, 109 Pitt Street, Sydney, NSW 2000 | +61 (0) 2 8437 3504</w:t>
                            </w:r>
                          </w:p>
                          <w:p w14:paraId="2438E30F" w14:textId="77777777" w:rsidR="00141A3C" w:rsidRPr="00434CF4" w:rsidRDefault="00141A3C" w:rsidP="00191947">
                            <w:pPr>
                              <w:spacing w:after="0"/>
                              <w:jc w:val="center"/>
                              <w:rPr>
                                <w:color w:val="7F7F7F"/>
                              </w:rPr>
                            </w:pPr>
                            <w:r w:rsidRPr="00434CF4">
                              <w:rPr>
                                <w:color w:val="7F7F7F"/>
                              </w:rPr>
                              <w:t xml:space="preserve">research@data-build.com.au | </w:t>
                            </w:r>
                            <w:r w:rsidRPr="00434CF4">
                              <w:rPr>
                                <w:color w:val="7F7F7F"/>
                                <w:u w:val="single"/>
                              </w:rPr>
                              <w:t>www.data-build.com.au</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C31827" id="Text Box 4" o:spid="_x0000_s1027" type="#_x0000_t202" style="position:absolute;margin-left:50.45pt;margin-top:422.6pt;width:369.05pt;height:38.8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" strokecolor="white">
                <v:textbox style="mso-fit-shape-to-text:t">
                  <w:txbxContent>
                    <w:p w14:paraId="5C257651" w14:textId="77777777" w:rsidR="00141A3C" w:rsidRPr="00434CF4" w:rsidRDefault="00141A3C" w:rsidP="00191947">
                      <w:pPr>
                        <w:spacing w:after="0"/>
                        <w:jc w:val="center"/>
                        <w:rPr>
                          <w:color w:val="7F7F7F"/>
                        </w:rPr>
                      </w:pPr>
                      <w:r w:rsidRPr="00434CF4">
                        <w:rPr>
                          <w:color w:val="7F7F7F"/>
                        </w:rPr>
                        <w:t>Databuild, Suite 1308, 109 Pitt Street, Sydney, NSW 2000 | +61 (0) 2 8437 3504</w:t>
                      </w:r>
                    </w:p>
                    <w:p w14:paraId="2438E30F" w14:textId="77777777" w:rsidR="00141A3C" w:rsidRPr="00434CF4" w:rsidRDefault="00141A3C" w:rsidP="00191947">
                      <w:pPr>
                        <w:spacing w:after="0"/>
                        <w:jc w:val="center"/>
                        <w:rPr>
                          <w:color w:val="7F7F7F"/>
                        </w:rPr>
                      </w:pPr>
                      <w:r w:rsidRPr="00434CF4">
                        <w:rPr>
                          <w:color w:val="7F7F7F"/>
                        </w:rPr>
                        <w:t xml:space="preserve">research@data-build.com.au | </w:t>
                      </w:r>
                      <w:r w:rsidRPr="00434CF4">
                        <w:rPr>
                          <w:color w:val="7F7F7F"/>
                          <w:u w:val="single"/>
                        </w:rPr>
                        <w:t>www.data-build.com.au</w:t>
                      </w:r>
                    </w:p>
                  </w:txbxContent>
                </v:textbox>
                <w10:wrap type="square"/>
              </v:shape>
            </w:pict>
          </mc:Fallback>
        </mc:AlternateContent>
      </w:r>
    </w:p>
    <w:p w14:paraId="2EE388E5" w14:textId="77777777" w:rsidR="00301FE7" w:rsidRPr="00D10C82" w:rsidRDefault="00301FE7">
      <w:pPr>
        <w:spacing w:after="0"/>
      </w:pPr>
    </w:p>
    <w:sectPr w:rsidR="00301FE7" w:rsidRPr="00D10C82" w:rsidSect="00D50FBA">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A28FA" w14:textId="77777777" w:rsidR="004E7F3B" w:rsidRDefault="004E7F3B" w:rsidP="00D40263">
      <w:pPr>
        <w:spacing w:after="0" w:line="240" w:lineRule="auto"/>
      </w:pPr>
      <w:r>
        <w:separator/>
      </w:r>
    </w:p>
  </w:endnote>
  <w:endnote w:type="continuationSeparator" w:id="0">
    <w:p w14:paraId="46979E1A" w14:textId="77777777" w:rsidR="004E7F3B" w:rsidRDefault="004E7F3B" w:rsidP="00D40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wis721 BdOul BT Tur">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kzidenz Grotesk BE Bold">
    <w:altName w:val="Cambria"/>
    <w:panose1 w:val="00000000000000000000"/>
    <w:charset w:val="4D"/>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C2E40" w14:textId="77777777" w:rsidR="00141A3C" w:rsidRDefault="00141A3C" w:rsidP="00E4583C">
    <w:pPr>
      <w:pStyle w:val="Footer"/>
      <w:jc w:val="center"/>
    </w:pPr>
  </w:p>
  <w:p w14:paraId="71C738C5" w14:textId="77777777" w:rsidR="00141A3C" w:rsidRPr="003569F2" w:rsidRDefault="00141A3C" w:rsidP="003569F2">
    <w:pPr>
      <w:pStyle w:val="Footer"/>
      <w:jc w:val="right"/>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D3EDC" w14:textId="77777777" w:rsidR="004E7F3B" w:rsidRPr="00434442" w:rsidRDefault="004E7F3B" w:rsidP="00D40263">
      <w:pPr>
        <w:spacing w:after="0" w:line="240" w:lineRule="auto"/>
        <w:rPr>
          <w:color w:val="BE78E6"/>
        </w:rPr>
      </w:pPr>
      <w:r w:rsidRPr="00434442">
        <w:rPr>
          <w:color w:val="BE78E6"/>
        </w:rPr>
        <w:separator/>
      </w:r>
    </w:p>
  </w:footnote>
  <w:footnote w:type="continuationSeparator" w:id="0">
    <w:p w14:paraId="6F358BDA" w14:textId="77777777" w:rsidR="004E7F3B" w:rsidRDefault="004E7F3B" w:rsidP="00D40263">
      <w:pPr>
        <w:spacing w:after="0" w:line="240" w:lineRule="auto"/>
      </w:pPr>
      <w:r>
        <w:continuationSeparator/>
      </w:r>
    </w:p>
  </w:footnote>
  <w:footnote w:id="1">
    <w:p w14:paraId="6A3330AA" w14:textId="77777777" w:rsidR="00141A3C" w:rsidRPr="002C283B" w:rsidRDefault="00141A3C" w:rsidP="005D483B">
      <w:pPr>
        <w:pStyle w:val="FootnoteText"/>
        <w:rPr>
          <w:sz w:val="16"/>
          <w:lang w:val="en-GB"/>
        </w:rPr>
      </w:pPr>
      <w:r w:rsidRPr="002C283B">
        <w:rPr>
          <w:rStyle w:val="FootnoteReference"/>
          <w:sz w:val="16"/>
        </w:rPr>
        <w:footnoteRef/>
      </w:r>
      <w:r w:rsidRPr="002C283B">
        <w:rPr>
          <w:sz w:val="16"/>
        </w:rPr>
        <w:t xml:space="preserve"> </w:t>
      </w:r>
      <w:r w:rsidRPr="002C283B">
        <w:rPr>
          <w:sz w:val="16"/>
          <w:lang w:val="en-GB"/>
        </w:rPr>
        <w:t xml:space="preserve">The Terms of Reference for the review is available in the Appendix.  Also available in the Appendix is a summary of how the review objectives refer to the original Terms of Reference.  </w:t>
      </w:r>
    </w:p>
  </w:footnote>
  <w:footnote w:id="2">
    <w:p w14:paraId="48DED5BB" w14:textId="77777777" w:rsidR="00141A3C" w:rsidRPr="00F966A8" w:rsidRDefault="00141A3C">
      <w:pPr>
        <w:pStyle w:val="FootnoteText"/>
        <w:rPr>
          <w:lang w:val="en-AU"/>
        </w:rPr>
      </w:pPr>
      <w:r>
        <w:rPr>
          <w:rStyle w:val="FootnoteReference"/>
        </w:rPr>
        <w:footnoteRef/>
      </w:r>
      <w:r>
        <w:t xml:space="preserve"> </w:t>
      </w:r>
      <w:r>
        <w:rPr>
          <w:lang w:val="en-AU"/>
        </w:rPr>
        <w:t>See Section 5.1 for explanation of market failures.</w:t>
      </w:r>
    </w:p>
  </w:footnote>
  <w:footnote w:id="3">
    <w:p w14:paraId="27BA36F5" w14:textId="77777777" w:rsidR="00141A3C" w:rsidRPr="009B7F59" w:rsidRDefault="00141A3C">
      <w:pPr>
        <w:pStyle w:val="FootnoteText"/>
        <w:rPr>
          <w:lang w:val="en-AU"/>
        </w:rPr>
      </w:pPr>
      <w:r>
        <w:rPr>
          <w:rStyle w:val="FootnoteReference"/>
        </w:rPr>
        <w:footnoteRef/>
      </w:r>
      <w:r>
        <w:t xml:space="preserve"> </w:t>
      </w:r>
      <w:r>
        <w:rPr>
          <w:lang w:val="en-AU"/>
        </w:rPr>
        <w:t>Throughout this report, the term “comparison labelling” has been used to refer to labels such as the Energy Rating Label; and the term “endorsement labelling” to refer to labels such as the voluntary Energy Star program.</w:t>
      </w:r>
    </w:p>
  </w:footnote>
  <w:footnote w:id="4">
    <w:p w14:paraId="2DDB2E8B" w14:textId="77777777" w:rsidR="00141A3C" w:rsidRPr="00785BB7" w:rsidRDefault="00141A3C">
      <w:pPr>
        <w:pStyle w:val="FootnoteText"/>
        <w:rPr>
          <w:szCs w:val="18"/>
          <w:lang w:val="en-AU"/>
        </w:rPr>
      </w:pPr>
      <w:r w:rsidRPr="0065504B">
        <w:rPr>
          <w:lang w:val="en-AU"/>
        </w:rPr>
        <w:footnoteRef/>
      </w:r>
      <w:r w:rsidRPr="0065504B">
        <w:rPr>
          <w:lang w:val="en-AU"/>
        </w:rPr>
        <w:t xml:space="preserve"> The range is large because these statistics have been developed using data from a range of sources.  All data sets contain statistical errors, which compound when sets are added together. </w:t>
      </w:r>
    </w:p>
  </w:footnote>
  <w:footnote w:id="5">
    <w:p w14:paraId="4C9566A8" w14:textId="77777777" w:rsidR="00141A3C" w:rsidRPr="00C0330B" w:rsidRDefault="00141A3C">
      <w:pPr>
        <w:pStyle w:val="FootnoteText"/>
        <w:rPr>
          <w:lang w:val="en-GB"/>
        </w:rPr>
      </w:pPr>
      <w:r>
        <w:rPr>
          <w:rStyle w:val="FootnoteReference"/>
        </w:rPr>
        <w:footnoteRef/>
      </w:r>
      <w:r>
        <w:t xml:space="preserve"> </w:t>
      </w:r>
      <w:r>
        <w:rPr>
          <w:lang w:val="en-GB"/>
        </w:rPr>
        <w:t>I</w:t>
      </w:r>
      <w:r w:rsidRPr="009078AE">
        <w:t xml:space="preserve">n the vast majority of cases, </w:t>
      </w:r>
      <w:r>
        <w:rPr>
          <w:lang w:val="en-GB"/>
        </w:rPr>
        <w:t xml:space="preserve">industry stakeholder representatives state that </w:t>
      </w:r>
      <w:r w:rsidRPr="009078AE">
        <w:t>business compliance costs are passed on to consumers</w:t>
      </w:r>
      <w:r>
        <w:rPr>
          <w:lang w:val="en-GB"/>
        </w:rPr>
        <w:t>.</w:t>
      </w:r>
    </w:p>
  </w:footnote>
  <w:footnote w:id="6">
    <w:p w14:paraId="1A9024E8" w14:textId="77777777" w:rsidR="00141A3C" w:rsidRPr="00916E41" w:rsidRDefault="00141A3C" w:rsidP="00041F87">
      <w:pPr>
        <w:pStyle w:val="FootnoteText"/>
        <w:rPr>
          <w:lang w:val="en-GB"/>
        </w:rPr>
      </w:pPr>
      <w:r>
        <w:rPr>
          <w:rStyle w:val="FootnoteReference"/>
        </w:rPr>
        <w:footnoteRef/>
      </w:r>
      <w:r>
        <w:t xml:space="preserve"> </w:t>
      </w:r>
      <w:r>
        <w:rPr>
          <w:lang w:val="en-GB"/>
        </w:rPr>
        <w:t xml:space="preserve">However, to date </w:t>
      </w:r>
      <w:r w:rsidRPr="00377DD5">
        <w:t>these matters have been resolved through</w:t>
      </w:r>
      <w:r>
        <w:t xml:space="preserve"> discussion in the E3 Committee</w:t>
      </w:r>
      <w:r>
        <w:rPr>
          <w:lang w:val="en-GB"/>
        </w:rPr>
        <w:t>.</w:t>
      </w:r>
    </w:p>
  </w:footnote>
  <w:footnote w:id="7">
    <w:p w14:paraId="26E4A502" w14:textId="77777777" w:rsidR="00141A3C" w:rsidRPr="002C283B" w:rsidRDefault="00141A3C" w:rsidP="007001E9">
      <w:pPr>
        <w:pStyle w:val="FootnoteText"/>
        <w:rPr>
          <w:sz w:val="16"/>
          <w:lang w:val="en-GB"/>
        </w:rPr>
      </w:pPr>
      <w:r w:rsidRPr="002C283B">
        <w:rPr>
          <w:rStyle w:val="FootnoteReference"/>
          <w:sz w:val="16"/>
        </w:rPr>
        <w:footnoteRef/>
      </w:r>
      <w:r w:rsidRPr="002C283B">
        <w:rPr>
          <w:sz w:val="16"/>
        </w:rPr>
        <w:t xml:space="preserve"> The GEMS Act, Part 5, Division 7, sub-division B.</w:t>
      </w:r>
    </w:p>
  </w:footnote>
  <w:footnote w:id="8">
    <w:p w14:paraId="2C9B1791" w14:textId="77777777" w:rsidR="00141A3C" w:rsidRPr="002C283B" w:rsidRDefault="00141A3C" w:rsidP="007001E9">
      <w:pPr>
        <w:pStyle w:val="FootnoteText"/>
        <w:rPr>
          <w:sz w:val="16"/>
          <w:lang w:val="en-GB"/>
        </w:rPr>
      </w:pPr>
      <w:r w:rsidRPr="002C283B">
        <w:rPr>
          <w:rStyle w:val="FootnoteReference"/>
          <w:sz w:val="16"/>
        </w:rPr>
        <w:footnoteRef/>
      </w:r>
      <w:r w:rsidRPr="002C283B">
        <w:rPr>
          <w:sz w:val="16"/>
        </w:rPr>
        <w:t xml:space="preserve"> Whilst the information has not been sought by program administrators to date, the requirement places a burden on industry through the need to keep and manage such data should it be required. Cost savings have been estimated by DoIS using the OBPR Regulatory Burden Measure calculator.</w:t>
      </w:r>
    </w:p>
  </w:footnote>
  <w:footnote w:id="9">
    <w:p w14:paraId="54E3E759" w14:textId="77777777" w:rsidR="00141A3C" w:rsidRPr="002C283B" w:rsidRDefault="00141A3C" w:rsidP="005D483B">
      <w:pPr>
        <w:pStyle w:val="FootnoteText"/>
        <w:rPr>
          <w:sz w:val="16"/>
          <w:lang w:val="en-GB"/>
        </w:rPr>
      </w:pPr>
      <w:r w:rsidRPr="002C283B">
        <w:rPr>
          <w:rStyle w:val="FootnoteReference"/>
          <w:sz w:val="16"/>
        </w:rPr>
        <w:footnoteRef/>
      </w:r>
      <w:r w:rsidRPr="002C283B">
        <w:rPr>
          <w:sz w:val="16"/>
        </w:rPr>
        <w:t xml:space="preserve"> GEMS Act, Part 1, Division 5, Clause 9.</w:t>
      </w:r>
    </w:p>
  </w:footnote>
  <w:footnote w:id="10">
    <w:p w14:paraId="462F1AB9" w14:textId="77777777" w:rsidR="00141A3C" w:rsidRPr="002C283B" w:rsidRDefault="00141A3C" w:rsidP="005D483B">
      <w:pPr>
        <w:pStyle w:val="FootnoteText"/>
        <w:rPr>
          <w:sz w:val="16"/>
          <w:lang w:val="en-GB"/>
        </w:rPr>
      </w:pPr>
      <w:r w:rsidRPr="002C283B">
        <w:rPr>
          <w:rStyle w:val="FootnoteReference"/>
          <w:sz w:val="16"/>
        </w:rPr>
        <w:footnoteRef/>
      </w:r>
      <w:r w:rsidRPr="002C283B">
        <w:rPr>
          <w:sz w:val="16"/>
        </w:rPr>
        <w:t xml:space="preserve"> </w:t>
      </w:r>
      <w:r w:rsidRPr="002C283B">
        <w:rPr>
          <w:sz w:val="16"/>
          <w:lang w:val="en-GB"/>
        </w:rPr>
        <w:t xml:space="preserve">It is recognised that this is a relatively small risk, as its implementation does require the agreement of all participating jurisdictions. </w:t>
      </w:r>
    </w:p>
  </w:footnote>
  <w:footnote w:id="11">
    <w:p w14:paraId="1820F96F" w14:textId="77777777" w:rsidR="00141A3C" w:rsidRPr="00B93F3B" w:rsidRDefault="00141A3C" w:rsidP="005D483B">
      <w:pPr>
        <w:pStyle w:val="FootnoteText"/>
        <w:rPr>
          <w:lang w:val="en-GB"/>
        </w:rPr>
      </w:pPr>
      <w:r w:rsidRPr="002C283B">
        <w:rPr>
          <w:rStyle w:val="FootnoteReference"/>
          <w:sz w:val="16"/>
        </w:rPr>
        <w:footnoteRef/>
      </w:r>
      <w:r w:rsidRPr="002C283B">
        <w:rPr>
          <w:sz w:val="16"/>
        </w:rPr>
        <w:t xml:space="preserve"> GEMS Act, Part 4, Division 2, Clause 35.</w:t>
      </w:r>
    </w:p>
  </w:footnote>
  <w:footnote w:id="12">
    <w:p w14:paraId="440DE314" w14:textId="77777777" w:rsidR="00141A3C" w:rsidRPr="002C283B" w:rsidRDefault="00141A3C" w:rsidP="005D483B">
      <w:pPr>
        <w:pStyle w:val="FootnoteText"/>
        <w:rPr>
          <w:sz w:val="16"/>
          <w:lang w:val="en-GB"/>
        </w:rPr>
      </w:pPr>
      <w:r w:rsidRPr="002C283B">
        <w:rPr>
          <w:rStyle w:val="FootnoteReference"/>
          <w:sz w:val="16"/>
        </w:rPr>
        <w:footnoteRef/>
      </w:r>
      <w:r w:rsidRPr="002C283B">
        <w:rPr>
          <w:sz w:val="16"/>
        </w:rPr>
        <w:t xml:space="preserve"> GEMS Act, Part 5, Division 5, Clause 48.</w:t>
      </w:r>
    </w:p>
  </w:footnote>
  <w:footnote w:id="13">
    <w:p w14:paraId="63CD423E" w14:textId="77777777" w:rsidR="00141A3C" w:rsidRPr="002C283B" w:rsidRDefault="00141A3C" w:rsidP="005D483B">
      <w:pPr>
        <w:pStyle w:val="FootnoteText"/>
        <w:rPr>
          <w:lang w:val="en-GB"/>
        </w:rPr>
      </w:pPr>
      <w:r w:rsidRPr="002C283B">
        <w:rPr>
          <w:rStyle w:val="FootnoteReference"/>
          <w:sz w:val="16"/>
        </w:rPr>
        <w:footnoteRef/>
      </w:r>
      <w:r w:rsidRPr="002C283B">
        <w:rPr>
          <w:sz w:val="16"/>
        </w:rPr>
        <w:t xml:space="preserve"> For example, the US MEPS scheme has requirements to develop and publish a strategic forward plan and regulatory schedule set out as regulatory requirements.  </w:t>
      </w:r>
    </w:p>
  </w:footnote>
  <w:footnote w:id="14">
    <w:p w14:paraId="54732568" w14:textId="77777777" w:rsidR="00141A3C" w:rsidRPr="00B76511" w:rsidRDefault="00141A3C" w:rsidP="005D483B">
      <w:pPr>
        <w:pStyle w:val="FootnoteText"/>
        <w:rPr>
          <w:lang w:val="en-GB"/>
        </w:rPr>
      </w:pPr>
      <w:r w:rsidRPr="002C283B">
        <w:rPr>
          <w:rStyle w:val="FootnoteReference"/>
          <w:sz w:val="16"/>
        </w:rPr>
        <w:footnoteRef/>
      </w:r>
      <w:r w:rsidRPr="002C283B">
        <w:rPr>
          <w:sz w:val="16"/>
        </w:rPr>
        <w:t xml:space="preserve"> </w:t>
      </w:r>
      <w:r w:rsidRPr="002C283B">
        <w:rPr>
          <w:sz w:val="16"/>
          <w:lang w:val="en-GB"/>
        </w:rPr>
        <w:t xml:space="preserve">See </w:t>
      </w:r>
      <w:r>
        <w:rPr>
          <w:sz w:val="16"/>
          <w:lang w:val="en-GB"/>
        </w:rPr>
        <w:t>A</w:t>
      </w:r>
      <w:r w:rsidRPr="002C283B">
        <w:rPr>
          <w:sz w:val="16"/>
          <w:lang w:val="en-GB"/>
        </w:rPr>
        <w:t xml:space="preserve">ppendix for further details. </w:t>
      </w:r>
    </w:p>
  </w:footnote>
  <w:footnote w:id="15">
    <w:p w14:paraId="606EDB4C" w14:textId="77777777" w:rsidR="00141A3C" w:rsidRPr="005C6D97" w:rsidRDefault="00141A3C" w:rsidP="005D483B">
      <w:pPr>
        <w:pStyle w:val="FootnoteText"/>
        <w:rPr>
          <w:sz w:val="16"/>
          <w:lang w:val="en-AU"/>
        </w:rPr>
      </w:pPr>
      <w:r w:rsidRPr="002C283B">
        <w:rPr>
          <w:rStyle w:val="FootnoteReference"/>
          <w:sz w:val="16"/>
        </w:rPr>
        <w:footnoteRef/>
      </w:r>
      <w:r w:rsidRPr="002C283B">
        <w:rPr>
          <w:sz w:val="16"/>
        </w:rPr>
        <w:t xml:space="preserve"> </w:t>
      </w:r>
      <w:hyperlink r:id="rId1" w:history="1">
        <w:r w:rsidRPr="002C283B">
          <w:rPr>
            <w:rStyle w:val="Hyperlink"/>
            <w:sz w:val="16"/>
          </w:rPr>
          <w:t>http://www.advocacypanel.com.au/</w:t>
        </w:r>
      </w:hyperlink>
    </w:p>
  </w:footnote>
  <w:footnote w:id="16">
    <w:p w14:paraId="17DFEE9E" w14:textId="77777777" w:rsidR="00141A3C" w:rsidRPr="002C283B" w:rsidRDefault="00141A3C" w:rsidP="005D483B">
      <w:pPr>
        <w:pStyle w:val="FootnoteText"/>
        <w:rPr>
          <w:sz w:val="16"/>
        </w:rPr>
      </w:pPr>
      <w:r w:rsidRPr="002C283B">
        <w:rPr>
          <w:rStyle w:val="FootnoteReference"/>
          <w:sz w:val="16"/>
        </w:rPr>
        <w:footnoteRef/>
      </w:r>
      <w:r w:rsidRPr="002C283B">
        <w:rPr>
          <w:sz w:val="16"/>
        </w:rPr>
        <w:t xml:space="preserve"> CLASP 2010, Compliance Counts: A Practitioner’s Guidebook on Best Practice Monitoring, Verification, and Enforcement for Appliance Standards &amp; Labelling</w:t>
      </w:r>
    </w:p>
  </w:footnote>
  <w:footnote w:id="17">
    <w:p w14:paraId="04D1EE7B" w14:textId="77777777" w:rsidR="00141A3C" w:rsidRDefault="00141A3C" w:rsidP="005D483B">
      <w:pPr>
        <w:pStyle w:val="FootnoteText"/>
      </w:pPr>
      <w:r w:rsidRPr="002C283B">
        <w:rPr>
          <w:rStyle w:val="FootnoteReference"/>
          <w:sz w:val="16"/>
        </w:rPr>
        <w:footnoteRef/>
      </w:r>
      <w:r w:rsidRPr="002C283B">
        <w:rPr>
          <w:sz w:val="16"/>
        </w:rPr>
        <w:t xml:space="preserve"> Results of labelling surveys and check testing are published on the Energy Rating website</w:t>
      </w:r>
    </w:p>
  </w:footnote>
  <w:footnote w:id="18">
    <w:p w14:paraId="04B69850" w14:textId="77777777" w:rsidR="00141A3C" w:rsidRPr="00F63584" w:rsidRDefault="00141A3C" w:rsidP="00F63584">
      <w:pPr>
        <w:pStyle w:val="FootnoteText"/>
        <w:rPr>
          <w:lang w:val="en-GB"/>
        </w:rPr>
      </w:pPr>
      <w:r>
        <w:rPr>
          <w:rStyle w:val="FootnoteReference"/>
        </w:rPr>
        <w:footnoteRef/>
      </w:r>
      <w:r>
        <w:t xml:space="preserve"> </w:t>
      </w:r>
      <w:hyperlink r:id="rId2" w:history="1">
        <w:r w:rsidRPr="0065504B">
          <w:t>http://www.energyrating.gov.au/about/other-programs/meps/</w:t>
        </w:r>
      </w:hyperlink>
      <w:r>
        <w:rPr>
          <w:lang w:val="en-GB"/>
        </w:rPr>
        <w:t xml:space="preserve"> </w:t>
      </w:r>
    </w:p>
  </w:footnote>
  <w:footnote w:id="19">
    <w:p w14:paraId="6BFDEE4E" w14:textId="77777777" w:rsidR="00141A3C" w:rsidRDefault="00141A3C" w:rsidP="00DA1CAF">
      <w:pPr>
        <w:pStyle w:val="FootnoteText"/>
      </w:pPr>
      <w:r>
        <w:rPr>
          <w:rStyle w:val="FootnoteReference"/>
        </w:rPr>
        <w:footnoteRef/>
      </w:r>
      <w:r>
        <w:t xml:space="preserve"> </w:t>
      </w:r>
      <w:r w:rsidRPr="007A44BB">
        <w:t>Energy Efficient Strategies (2014) Energy Standards and Labelling Programs throughout the World in 2013.</w:t>
      </w:r>
    </w:p>
  </w:footnote>
  <w:footnote w:id="20">
    <w:p w14:paraId="07AC1DDA" w14:textId="77777777" w:rsidR="00141A3C" w:rsidRPr="002A242C" w:rsidRDefault="00141A3C">
      <w:pPr>
        <w:pStyle w:val="FootnoteText"/>
        <w:rPr>
          <w:lang w:val="en-GB"/>
        </w:rPr>
      </w:pPr>
      <w:r>
        <w:rPr>
          <w:rStyle w:val="FootnoteReference"/>
        </w:rPr>
        <w:footnoteRef/>
      </w:r>
      <w:r>
        <w:t xml:space="preserve"> </w:t>
      </w:r>
      <w:r>
        <w:rPr>
          <w:lang w:val="en-GB"/>
        </w:rPr>
        <w:t xml:space="preserve">Known within GEMS as Energy Rating Labels. </w:t>
      </w:r>
    </w:p>
  </w:footnote>
  <w:footnote w:id="21">
    <w:p w14:paraId="7101DCE1" w14:textId="77777777" w:rsidR="00141A3C" w:rsidRPr="00983742" w:rsidRDefault="00141A3C">
      <w:pPr>
        <w:pStyle w:val="FootnoteText"/>
        <w:rPr>
          <w:lang w:val="en-GB"/>
        </w:rPr>
      </w:pPr>
      <w:r>
        <w:rPr>
          <w:rStyle w:val="FootnoteReference"/>
        </w:rPr>
        <w:footnoteRef/>
      </w:r>
      <w:r>
        <w:t xml:space="preserve"> </w:t>
      </w:r>
      <w:r>
        <w:rPr>
          <w:lang w:val="en-GB"/>
        </w:rPr>
        <w:t xml:space="preserve">The number of countries with a standards and labelling program in 2013 is 81 (increased from 50 in 2004).  The number of product types subject to mandatory energy performance standard measures is 55 (from 42 in 2004).  </w:t>
      </w:r>
      <w:hyperlink r:id="rId3" w:history="1">
        <w:r w:rsidRPr="00E0092A">
          <w:rPr>
            <w:rStyle w:val="Hyperlink"/>
            <w:lang w:val="en-GB"/>
          </w:rPr>
          <w:t>Energy Standards and Labelling programs throughout the world in 2013</w:t>
        </w:r>
      </w:hyperlink>
      <w:r>
        <w:rPr>
          <w:lang w:val="en-GB"/>
        </w:rPr>
        <w:t xml:space="preserve">. </w:t>
      </w:r>
    </w:p>
  </w:footnote>
  <w:footnote w:id="22">
    <w:p w14:paraId="6F8395C7" w14:textId="77777777" w:rsidR="00141A3C" w:rsidRPr="00F516C5" w:rsidRDefault="00141A3C">
      <w:pPr>
        <w:pStyle w:val="FootnoteText"/>
        <w:rPr>
          <w:lang w:val="en-GB"/>
        </w:rPr>
      </w:pPr>
      <w:r>
        <w:rPr>
          <w:rStyle w:val="FootnoteReference"/>
        </w:rPr>
        <w:footnoteRef/>
      </w:r>
      <w:r>
        <w:t xml:space="preserve"> </w:t>
      </w:r>
      <w:hyperlink r:id="rId4" w:history="1">
        <w:r w:rsidRPr="008747A7">
          <w:rPr>
            <w:rStyle w:val="Hyperlink"/>
          </w:rPr>
          <w:t>http://unfccc.int/2860.php</w:t>
        </w:r>
      </w:hyperlink>
      <w:r>
        <w:rPr>
          <w:lang w:val="en-GB"/>
        </w:rPr>
        <w:t xml:space="preserve"> </w:t>
      </w:r>
    </w:p>
  </w:footnote>
  <w:footnote w:id="23">
    <w:p w14:paraId="2615DED1" w14:textId="77777777" w:rsidR="00141A3C" w:rsidRPr="00983742" w:rsidRDefault="00141A3C">
      <w:pPr>
        <w:pStyle w:val="FootnoteText"/>
        <w:rPr>
          <w:lang w:val="en-GB"/>
        </w:rPr>
      </w:pPr>
      <w:r>
        <w:rPr>
          <w:rStyle w:val="FootnoteReference"/>
        </w:rPr>
        <w:footnoteRef/>
      </w:r>
      <w:r>
        <w:t xml:space="preserve"> </w:t>
      </w:r>
      <w:r w:rsidRPr="00F23BDF">
        <w:t xml:space="preserve">Examples of this included Queensland adopting higher MEPS for some classes of air conditioners in 2009 and South Australia in 2010.  </w:t>
      </w:r>
    </w:p>
  </w:footnote>
  <w:footnote w:id="24">
    <w:p w14:paraId="3011C494" w14:textId="77777777" w:rsidR="00141A3C" w:rsidRPr="00F57D68" w:rsidRDefault="00141A3C" w:rsidP="00F57D68">
      <w:pPr>
        <w:pStyle w:val="FootnoteText"/>
        <w:rPr>
          <w:lang w:val="en-GB"/>
        </w:rPr>
      </w:pPr>
      <w:r>
        <w:rPr>
          <w:rStyle w:val="FootnoteReference"/>
        </w:rPr>
        <w:footnoteRef/>
      </w:r>
      <w:r>
        <w:t xml:space="preserve"> Decision</w:t>
      </w:r>
      <w:r>
        <w:rPr>
          <w:lang w:val="en-GB"/>
        </w:rPr>
        <w:t xml:space="preserve"> </w:t>
      </w:r>
      <w:r>
        <w:t>Regulation Impact Statement:</w:t>
      </w:r>
      <w:r w:rsidRPr="00F57D68">
        <w:t xml:space="preserve"> </w:t>
      </w:r>
      <w:r>
        <w:t>National Legislation for Appliance and Equipment</w:t>
      </w:r>
      <w:r>
        <w:rPr>
          <w:lang w:val="en-GB"/>
        </w:rPr>
        <w:t xml:space="preserve"> </w:t>
      </w:r>
      <w:r>
        <w:t>Minimum Energy Performance Standards (MEPS)</w:t>
      </w:r>
      <w:r>
        <w:rPr>
          <w:lang w:val="en-GB"/>
        </w:rPr>
        <w:t xml:space="preserve"> </w:t>
      </w:r>
      <w:r>
        <w:t>and Energy Labelling</w:t>
      </w:r>
      <w:r>
        <w:rPr>
          <w:lang w:val="en-GB"/>
        </w:rPr>
        <w:t xml:space="preserve"> (2010).</w:t>
      </w:r>
    </w:p>
  </w:footnote>
  <w:footnote w:id="25">
    <w:p w14:paraId="34AF34A3" w14:textId="77777777" w:rsidR="00141A3C" w:rsidRPr="000E141D" w:rsidRDefault="00141A3C" w:rsidP="001231B3">
      <w:pPr>
        <w:pStyle w:val="FootnoteText"/>
        <w:rPr>
          <w:lang w:val="en-GB"/>
        </w:rPr>
      </w:pPr>
      <w:r>
        <w:rPr>
          <w:rStyle w:val="FootnoteReference"/>
        </w:rPr>
        <w:footnoteRef/>
      </w:r>
      <w:r>
        <w:t xml:space="preserve"> </w:t>
      </w:r>
      <w:r w:rsidRPr="000E141D">
        <w:t>Ranging from co-regulations involving Commonwealth options and Commonwealth legislation options</w:t>
      </w:r>
      <w:r>
        <w:rPr>
          <w:lang w:val="en-GB"/>
        </w:rPr>
        <w:t>.</w:t>
      </w:r>
    </w:p>
  </w:footnote>
  <w:footnote w:id="26">
    <w:p w14:paraId="40832702" w14:textId="77777777" w:rsidR="00141A3C" w:rsidRPr="00983742" w:rsidRDefault="00141A3C">
      <w:pPr>
        <w:pStyle w:val="FootnoteText"/>
        <w:rPr>
          <w:lang w:val="en-GB"/>
        </w:rPr>
      </w:pPr>
      <w:r>
        <w:rPr>
          <w:rStyle w:val="FootnoteReference"/>
        </w:rPr>
        <w:footnoteRef/>
      </w:r>
      <w:r>
        <w:t xml:space="preserve"> </w:t>
      </w:r>
      <w:r>
        <w:rPr>
          <w:lang w:val="en-GB"/>
        </w:rPr>
        <w:t>W</w:t>
      </w:r>
      <w:r w:rsidRPr="00BF1634">
        <w:t>ith regard to coverage of products irrespective of their energy type, coverage of non-energy-using products, use of label data in other media, and greenhouse labelling and standards</w:t>
      </w:r>
      <w:r>
        <w:rPr>
          <w:lang w:val="en-GB"/>
        </w:rPr>
        <w:t>.</w:t>
      </w:r>
    </w:p>
  </w:footnote>
  <w:footnote w:id="27">
    <w:p w14:paraId="027C50BF" w14:textId="77777777" w:rsidR="00141A3C" w:rsidRPr="00B27D07" w:rsidRDefault="00141A3C">
      <w:pPr>
        <w:pStyle w:val="FootnoteText"/>
        <w:rPr>
          <w:lang w:val="en-GB"/>
        </w:rPr>
      </w:pPr>
      <w:r>
        <w:rPr>
          <w:rStyle w:val="FootnoteReference"/>
        </w:rPr>
        <w:footnoteRef/>
      </w:r>
      <w:r>
        <w:t xml:space="preserve"> </w:t>
      </w:r>
      <w:r>
        <w:rPr>
          <w:lang w:val="en-GB"/>
        </w:rPr>
        <w:t>E</w:t>
      </w:r>
      <w:r w:rsidRPr="00B27D07">
        <w:t>.g. where a class of products is declared a prohibited import, as is the case with conventional incandescent lamps</w:t>
      </w:r>
      <w:r>
        <w:rPr>
          <w:lang w:val="en-GB"/>
        </w:rPr>
        <w:t>.</w:t>
      </w:r>
    </w:p>
  </w:footnote>
  <w:footnote w:id="28">
    <w:p w14:paraId="76325AC4" w14:textId="77777777" w:rsidR="00141A3C" w:rsidRPr="00845476" w:rsidRDefault="00141A3C" w:rsidP="00675792">
      <w:pPr>
        <w:pStyle w:val="FootnoteText"/>
        <w:rPr>
          <w:lang w:val="en-GB"/>
        </w:rPr>
      </w:pPr>
      <w:r>
        <w:rPr>
          <w:rStyle w:val="FootnoteReference"/>
        </w:rPr>
        <w:footnoteRef/>
      </w:r>
      <w:r>
        <w:t xml:space="preserve"> </w:t>
      </w:r>
      <w:r w:rsidRPr="00845476">
        <w:t>In the context of the GEMS Act, the term ‘grandfathering’ refers to the period for which non-compliant products may continue to be sold.</w:t>
      </w:r>
      <w:r>
        <w:rPr>
          <w:lang w:val="en-GB"/>
        </w:rPr>
        <w:t xml:space="preserve">  </w:t>
      </w:r>
    </w:p>
  </w:footnote>
  <w:footnote w:id="29">
    <w:p w14:paraId="04D117EE" w14:textId="77777777" w:rsidR="00141A3C" w:rsidRDefault="00141A3C" w:rsidP="0098775F">
      <w:pPr>
        <w:pStyle w:val="FootnoteText"/>
      </w:pPr>
      <w:r>
        <w:rPr>
          <w:rStyle w:val="FootnoteReference"/>
        </w:rPr>
        <w:footnoteRef/>
      </w:r>
      <w:r>
        <w:t xml:space="preserve"> </w:t>
      </w:r>
      <w:hyperlink r:id="rId5" w:history="1">
        <w:r w:rsidRPr="004C7703">
          <w:rPr>
            <w:rStyle w:val="Hyperlink"/>
          </w:rPr>
          <w:t>Greenhouse and Energy Minimum Standards Act</w:t>
        </w:r>
      </w:hyperlink>
      <w:r>
        <w:t xml:space="preserve"> 2012 C2012A00132</w:t>
      </w:r>
    </w:p>
  </w:footnote>
  <w:footnote w:id="30">
    <w:p w14:paraId="648FC047" w14:textId="77777777" w:rsidR="00141A3C" w:rsidRPr="001F2B3D" w:rsidRDefault="00141A3C" w:rsidP="0098775F">
      <w:pPr>
        <w:pStyle w:val="FootnoteText"/>
        <w:rPr>
          <w:lang w:val="en-GB"/>
        </w:rPr>
      </w:pPr>
      <w:r>
        <w:rPr>
          <w:rStyle w:val="FootnoteReference"/>
        </w:rPr>
        <w:footnoteRef/>
      </w:r>
      <w:r>
        <w:t xml:space="preserve"> </w:t>
      </w:r>
      <w:hyperlink r:id="rId6" w:history="1">
        <w:r w:rsidRPr="0089188C">
          <w:rPr>
            <w:rStyle w:val="Hyperlink"/>
          </w:rPr>
          <w:t>http://www.comlaw.gov.au/Details/C2012B00107/Explanatory%20Memorandum/Text</w:t>
        </w:r>
      </w:hyperlink>
      <w:r>
        <w:rPr>
          <w:lang w:val="en-GB"/>
        </w:rPr>
        <w:t xml:space="preserve"> </w:t>
      </w:r>
    </w:p>
  </w:footnote>
  <w:footnote w:id="31">
    <w:p w14:paraId="79D0542F" w14:textId="77777777" w:rsidR="00141A3C" w:rsidRPr="0014086D" w:rsidRDefault="00141A3C">
      <w:pPr>
        <w:pStyle w:val="FootnoteText"/>
        <w:rPr>
          <w:lang w:val="en-GB"/>
        </w:rPr>
      </w:pPr>
      <w:r>
        <w:rPr>
          <w:rStyle w:val="FootnoteReference"/>
        </w:rPr>
        <w:footnoteRef/>
      </w:r>
      <w:r>
        <w:t xml:space="preserve"> </w:t>
      </w:r>
      <w:r>
        <w:rPr>
          <w:lang w:val="en-GB"/>
        </w:rPr>
        <w:t xml:space="preserve">Decision RIS National Legislation for MEPS and energy labelling 2010 (pp 60). </w:t>
      </w:r>
    </w:p>
  </w:footnote>
  <w:footnote w:id="32">
    <w:p w14:paraId="483A7A99" w14:textId="77777777" w:rsidR="00141A3C" w:rsidRPr="00F57D68" w:rsidRDefault="00141A3C">
      <w:pPr>
        <w:pStyle w:val="FootnoteText"/>
        <w:rPr>
          <w:lang w:val="en-GB"/>
        </w:rPr>
      </w:pPr>
      <w:r>
        <w:rPr>
          <w:rStyle w:val="FootnoteReference"/>
        </w:rPr>
        <w:footnoteRef/>
      </w:r>
      <w:r>
        <w:t xml:space="preserve"> </w:t>
      </w:r>
      <w:hyperlink r:id="rId7" w:history="1">
        <w:r w:rsidRPr="001947A4">
          <w:rPr>
            <w:rStyle w:val="Hyperlink"/>
          </w:rPr>
          <w:t>https://www.coag.gov.au/node/183</w:t>
        </w:r>
      </w:hyperlink>
      <w:r>
        <w:rPr>
          <w:lang w:val="en-GB"/>
        </w:rPr>
        <w:t xml:space="preserve"> </w:t>
      </w:r>
    </w:p>
  </w:footnote>
  <w:footnote w:id="33">
    <w:p w14:paraId="067E0C3D" w14:textId="77777777" w:rsidR="00141A3C" w:rsidRPr="00F57D68" w:rsidRDefault="00141A3C">
      <w:pPr>
        <w:pStyle w:val="FootnoteText"/>
        <w:rPr>
          <w:lang w:val="en-GB"/>
        </w:rPr>
      </w:pPr>
      <w:r>
        <w:rPr>
          <w:rStyle w:val="FootnoteReference"/>
        </w:rPr>
        <w:footnoteRef/>
      </w:r>
      <w:r>
        <w:t xml:space="preserve"> </w:t>
      </w:r>
      <w:hyperlink r:id="rId8" w:history="1">
        <w:r w:rsidRPr="001947A4">
          <w:rPr>
            <w:rStyle w:val="Hyperlink"/>
          </w:rPr>
          <w:t>http://www.industry.gov.au/Energy/EnergyEfficiency/Pages/NationalStrategyEnergyEfficiency.aspx</w:t>
        </w:r>
      </w:hyperlink>
      <w:r>
        <w:rPr>
          <w:lang w:val="en-GB"/>
        </w:rPr>
        <w:t xml:space="preserve"> </w:t>
      </w:r>
    </w:p>
  </w:footnote>
  <w:footnote w:id="34">
    <w:p w14:paraId="2CA82CAB" w14:textId="77777777" w:rsidR="00141A3C" w:rsidRPr="00B32BDA" w:rsidRDefault="00141A3C">
      <w:pPr>
        <w:pStyle w:val="FootnoteText"/>
        <w:rPr>
          <w:lang w:val="en-GB"/>
        </w:rPr>
      </w:pPr>
      <w:r>
        <w:rPr>
          <w:rStyle w:val="FootnoteReference"/>
        </w:rPr>
        <w:footnoteRef/>
      </w:r>
      <w:r>
        <w:t xml:space="preserve"> </w:t>
      </w:r>
      <w:r>
        <w:rPr>
          <w:lang w:val="en-GB"/>
        </w:rPr>
        <w:t>Available in the Appendix.</w:t>
      </w:r>
    </w:p>
  </w:footnote>
  <w:footnote w:id="35">
    <w:p w14:paraId="4AC671EA" w14:textId="77777777" w:rsidR="00141A3C" w:rsidRPr="002A1F99" w:rsidRDefault="00141A3C">
      <w:pPr>
        <w:pStyle w:val="FootnoteText"/>
        <w:rPr>
          <w:lang w:val="en-GB"/>
        </w:rPr>
      </w:pPr>
      <w:r>
        <w:rPr>
          <w:rStyle w:val="FootnoteReference"/>
        </w:rPr>
        <w:footnoteRef/>
      </w:r>
      <w:r>
        <w:t xml:space="preserve"> </w:t>
      </w:r>
      <w:hyperlink r:id="rId9" w:history="1">
        <w:r w:rsidRPr="00114282">
          <w:rPr>
            <w:rStyle w:val="Hyperlink"/>
          </w:rPr>
          <w:t>http://climatechange.gov.au/communiqu%C3%A9-0</w:t>
        </w:r>
      </w:hyperlink>
      <w:r>
        <w:rPr>
          <w:lang w:val="en-GB"/>
        </w:rPr>
        <w:t xml:space="preserve"> </w:t>
      </w:r>
    </w:p>
  </w:footnote>
  <w:footnote w:id="36">
    <w:p w14:paraId="3A0CF706" w14:textId="77777777" w:rsidR="00141A3C" w:rsidRPr="002B05C4" w:rsidRDefault="00141A3C">
      <w:pPr>
        <w:pStyle w:val="FootnoteText"/>
        <w:rPr>
          <w:lang w:val="en-GB"/>
        </w:rPr>
      </w:pPr>
      <w:r>
        <w:rPr>
          <w:rStyle w:val="FootnoteReference"/>
        </w:rPr>
        <w:footnoteRef/>
      </w:r>
      <w:r>
        <w:t xml:space="preserve"> </w:t>
      </w:r>
      <w:r>
        <w:rPr>
          <w:lang w:val="en-GB"/>
        </w:rPr>
        <w:t xml:space="preserve">Each jurisdiction gets one vote, and for non-budgetary matters decisions are carried if voted in favour by all, less two.  For budgetary matters, agreement must be unanimous. </w:t>
      </w:r>
    </w:p>
  </w:footnote>
  <w:footnote w:id="37">
    <w:p w14:paraId="1E6D72EE" w14:textId="77777777" w:rsidR="00141A3C" w:rsidRPr="000234B7" w:rsidRDefault="00141A3C">
      <w:pPr>
        <w:pStyle w:val="FootnoteText"/>
        <w:rPr>
          <w:lang w:val="en-AU"/>
        </w:rPr>
      </w:pPr>
      <w:r>
        <w:rPr>
          <w:rStyle w:val="FootnoteReference"/>
        </w:rPr>
        <w:footnoteRef/>
      </w:r>
      <w:r>
        <w:t xml:space="preserve"> </w:t>
      </w:r>
      <w:r>
        <w:rPr>
          <w:lang w:val="en-AU"/>
        </w:rPr>
        <w:t>Note: these percentages are rounded from two decimal places</w:t>
      </w:r>
    </w:p>
  </w:footnote>
  <w:footnote w:id="38">
    <w:p w14:paraId="67DECE74" w14:textId="77777777" w:rsidR="00141A3C" w:rsidRPr="00641823" w:rsidRDefault="00141A3C">
      <w:pPr>
        <w:pStyle w:val="FootnoteText"/>
        <w:rPr>
          <w:lang w:val="en-AU"/>
        </w:rPr>
      </w:pPr>
      <w:r>
        <w:rPr>
          <w:rStyle w:val="FootnoteReference"/>
        </w:rPr>
        <w:footnoteRef/>
      </w:r>
      <w:r>
        <w:t xml:space="preserve"> </w:t>
      </w:r>
      <w:r>
        <w:rPr>
          <w:lang w:val="en-AU"/>
        </w:rPr>
        <w:t>The Northern Territory has not signed the IGA so does not contribute to the budget</w:t>
      </w:r>
    </w:p>
  </w:footnote>
  <w:footnote w:id="39">
    <w:p w14:paraId="69A3289B" w14:textId="77777777" w:rsidR="00141A3C" w:rsidRPr="005C3C3A" w:rsidRDefault="00141A3C">
      <w:pPr>
        <w:pStyle w:val="FootnoteText"/>
        <w:rPr>
          <w:lang w:val="en-GB"/>
        </w:rPr>
      </w:pPr>
      <w:r>
        <w:rPr>
          <w:rStyle w:val="FootnoteReference"/>
        </w:rPr>
        <w:footnoteRef/>
      </w:r>
      <w:r>
        <w:t xml:space="preserve"> </w:t>
      </w:r>
      <w:r>
        <w:rPr>
          <w:lang w:val="en-GB"/>
        </w:rPr>
        <w:t xml:space="preserve">Including New Zealand contributions. </w:t>
      </w:r>
    </w:p>
  </w:footnote>
  <w:footnote w:id="40">
    <w:p w14:paraId="3359B4CD" w14:textId="77777777" w:rsidR="00141A3C" w:rsidRPr="00AF695A" w:rsidRDefault="00141A3C" w:rsidP="00AF695A">
      <w:pPr>
        <w:pStyle w:val="FootnoteText"/>
        <w:rPr>
          <w:lang w:val="en-GB"/>
        </w:rPr>
      </w:pPr>
      <w:r>
        <w:rPr>
          <w:rStyle w:val="FootnoteReference"/>
        </w:rPr>
        <w:footnoteRef/>
      </w:r>
      <w:r>
        <w:t xml:space="preserve"> </w:t>
      </w:r>
      <w:r>
        <w:rPr>
          <w:lang w:val="en-AU"/>
        </w:rPr>
        <w:t>“</w:t>
      </w:r>
      <w:hyperlink r:id="rId10" w:history="1">
        <w:r w:rsidRPr="00AF695A">
          <w:rPr>
            <w:rStyle w:val="Hyperlink"/>
          </w:rPr>
          <w:t>Best Practice regulation: A Guide for Ministerial Councils and National Standard Setting Bodies</w:t>
        </w:r>
      </w:hyperlink>
      <w:r w:rsidRPr="00AF695A">
        <w:t>” 2007</w:t>
      </w:r>
    </w:p>
  </w:footnote>
  <w:footnote w:id="41">
    <w:p w14:paraId="1379E4EE" w14:textId="77777777" w:rsidR="00141A3C" w:rsidRPr="00983742" w:rsidRDefault="00141A3C">
      <w:pPr>
        <w:pStyle w:val="FootnoteText"/>
        <w:rPr>
          <w:lang w:val="en-GB"/>
        </w:rPr>
      </w:pPr>
      <w:r>
        <w:rPr>
          <w:rStyle w:val="FootnoteReference"/>
        </w:rPr>
        <w:footnoteRef/>
      </w:r>
      <w:r>
        <w:t xml:space="preserve"> </w:t>
      </w:r>
      <w:r>
        <w:rPr>
          <w:lang w:val="en-GB"/>
        </w:rPr>
        <w:t xml:space="preserve">The full Terms of Reference are available in the Appendix.  This also includes details of how the review objectives relate to those in the original Terms of Reference.  </w:t>
      </w:r>
    </w:p>
  </w:footnote>
  <w:footnote w:id="42">
    <w:p w14:paraId="46504ABD" w14:textId="77777777" w:rsidR="00141A3C" w:rsidRPr="00454DFA" w:rsidRDefault="00141A3C">
      <w:pPr>
        <w:pStyle w:val="FootnoteText"/>
        <w:rPr>
          <w:lang w:val="en-GB"/>
        </w:rPr>
      </w:pPr>
      <w:r>
        <w:rPr>
          <w:rStyle w:val="FootnoteReference"/>
        </w:rPr>
        <w:footnoteRef/>
      </w:r>
      <w:r>
        <w:t xml:space="preserve"> </w:t>
      </w:r>
      <w:r>
        <w:rPr>
          <w:lang w:val="en-GB"/>
        </w:rPr>
        <w:t xml:space="preserve">Both papers are available in the Appendix.  </w:t>
      </w:r>
    </w:p>
  </w:footnote>
  <w:footnote w:id="43">
    <w:p w14:paraId="11500B0E" w14:textId="77777777" w:rsidR="00141A3C" w:rsidRPr="00983742" w:rsidRDefault="00141A3C">
      <w:pPr>
        <w:pStyle w:val="FootnoteText"/>
        <w:rPr>
          <w:lang w:val="en-GB"/>
        </w:rPr>
      </w:pPr>
      <w:r>
        <w:rPr>
          <w:rStyle w:val="FootnoteReference"/>
        </w:rPr>
        <w:footnoteRef/>
      </w:r>
      <w:r>
        <w:t xml:space="preserve"> </w:t>
      </w:r>
      <w:r w:rsidRPr="00392536">
        <w:t xml:space="preserve">For example, stakeholder interviews, impact assessments of the current and previous iterations of the GEMS program, evaluations of specific product groups, evaluations of other MEPS and Labelling schemes, international comparison reviews, amongst others.  </w:t>
      </w:r>
    </w:p>
  </w:footnote>
  <w:footnote w:id="44">
    <w:p w14:paraId="46C4DC1F" w14:textId="77777777" w:rsidR="00141A3C" w:rsidRDefault="00141A3C" w:rsidP="000165D6">
      <w:pPr>
        <w:pStyle w:val="FootnoteText"/>
      </w:pPr>
      <w:r>
        <w:rPr>
          <w:rStyle w:val="FootnoteReference"/>
        </w:rPr>
        <w:footnoteRef/>
      </w:r>
      <w:r>
        <w:t xml:space="preserve"> </w:t>
      </w:r>
      <w:r w:rsidRPr="008459E0">
        <w:t xml:space="preserve">IEA 2007, </w:t>
      </w:r>
      <w:hyperlink r:id="rId11" w:history="1">
        <w:r w:rsidRPr="008459E0">
          <w:rPr>
            <w:rStyle w:val="Hyperlink"/>
          </w:rPr>
          <w:t>Mind the Gap</w:t>
        </w:r>
      </w:hyperlink>
      <w:r w:rsidRPr="008459E0">
        <w:t>, Quantifying Principal-Agent Problems in Energy Efficiency.</w:t>
      </w:r>
    </w:p>
  </w:footnote>
  <w:footnote w:id="45">
    <w:p w14:paraId="093D6868" w14:textId="77777777" w:rsidR="00141A3C" w:rsidRPr="00F5399D" w:rsidRDefault="00141A3C" w:rsidP="000165D6">
      <w:pPr>
        <w:pStyle w:val="FootnoteText"/>
        <w:rPr>
          <w:lang w:val="en-GB"/>
        </w:rPr>
      </w:pPr>
      <w:r>
        <w:rPr>
          <w:rStyle w:val="FootnoteReference"/>
        </w:rPr>
        <w:footnoteRef/>
      </w:r>
      <w:r>
        <w:t xml:space="preserve"> </w:t>
      </w:r>
      <w:r w:rsidRPr="00F5399D">
        <w:t>IEA 2007, Mind the Gap, Quantifying Principal-Agent Problems in Energy Efficiency.</w:t>
      </w:r>
      <w:r>
        <w:rPr>
          <w:lang w:val="en-GB"/>
        </w:rPr>
        <w:t xml:space="preserve"> W</w:t>
      </w:r>
      <w:r>
        <w:t>here the landlord</w:t>
      </w:r>
      <w:r>
        <w:rPr>
          <w:lang w:val="en-GB"/>
        </w:rPr>
        <w:t xml:space="preserve"> </w:t>
      </w:r>
      <w:r>
        <w:t>provides the tenant with appliances, but the tenant is responsible for paying the</w:t>
      </w:r>
      <w:r>
        <w:rPr>
          <w:lang w:val="en-GB"/>
        </w:rPr>
        <w:t xml:space="preserve"> </w:t>
      </w:r>
      <w:r>
        <w:t>energy bills. In this case, landlords and tenants face different goals: the landlord</w:t>
      </w:r>
      <w:r>
        <w:rPr>
          <w:lang w:val="en-GB"/>
        </w:rPr>
        <w:t xml:space="preserve"> </w:t>
      </w:r>
      <w:r>
        <w:t>typically wants to minimise the capital cost of the appliance (with little regard to</w:t>
      </w:r>
      <w:r>
        <w:rPr>
          <w:lang w:val="en-GB"/>
        </w:rPr>
        <w:t xml:space="preserve"> </w:t>
      </w:r>
      <w:r>
        <w:t>energy efficiency), and the tenant wants to maximise the energy efficiency of the</w:t>
      </w:r>
      <w:r>
        <w:rPr>
          <w:lang w:val="en-GB"/>
        </w:rPr>
        <w:t xml:space="preserve"> </w:t>
      </w:r>
      <w:r>
        <w:t>appliance to save on energy costs</w:t>
      </w:r>
      <w:r>
        <w:rPr>
          <w:lang w:val="en-GB"/>
        </w:rPr>
        <w:t>.</w:t>
      </w:r>
    </w:p>
  </w:footnote>
  <w:footnote w:id="46">
    <w:p w14:paraId="13DB1AC7" w14:textId="77777777" w:rsidR="00141A3C" w:rsidRPr="00EE2FC6" w:rsidRDefault="00141A3C" w:rsidP="000165D6">
      <w:pPr>
        <w:pStyle w:val="FootnoteText"/>
        <w:rPr>
          <w:lang w:val="en-GB"/>
        </w:rPr>
      </w:pPr>
      <w:r>
        <w:rPr>
          <w:rStyle w:val="FootnoteReference"/>
        </w:rPr>
        <w:footnoteRef/>
      </w:r>
      <w:r>
        <w:t xml:space="preserve"> </w:t>
      </w:r>
      <w:r>
        <w:rPr>
          <w:lang w:val="en-GB"/>
        </w:rPr>
        <w:t>A</w:t>
      </w:r>
      <w:r>
        <w:t xml:space="preserve"> form of bounded rationality</w:t>
      </w:r>
      <w:r>
        <w:rPr>
          <w:lang w:val="en-GB"/>
        </w:rPr>
        <w:t>.</w:t>
      </w:r>
    </w:p>
  </w:footnote>
  <w:footnote w:id="47">
    <w:p w14:paraId="579EF239" w14:textId="77777777" w:rsidR="00141A3C" w:rsidRPr="00983742" w:rsidRDefault="00141A3C">
      <w:pPr>
        <w:pStyle w:val="FootnoteText"/>
        <w:rPr>
          <w:lang w:val="en-GB"/>
        </w:rPr>
      </w:pPr>
      <w:r>
        <w:rPr>
          <w:rStyle w:val="FootnoteReference"/>
        </w:rPr>
        <w:footnoteRef/>
      </w:r>
      <w:r>
        <w:t xml:space="preserve"> </w:t>
      </w:r>
      <w:r>
        <w:rPr>
          <w:lang w:val="en-GB"/>
        </w:rPr>
        <w:t>This</w:t>
      </w:r>
      <w:r w:rsidRPr="00C36165">
        <w:t xml:space="preserve"> has grown from 50 in 2004</w:t>
      </w:r>
      <w:r>
        <w:rPr>
          <w:lang w:val="en-GB"/>
        </w:rPr>
        <w:t>.</w:t>
      </w:r>
    </w:p>
  </w:footnote>
  <w:footnote w:id="48">
    <w:p w14:paraId="07BF5BD0" w14:textId="77777777" w:rsidR="00141A3C" w:rsidRDefault="00141A3C" w:rsidP="004D7C84">
      <w:pPr>
        <w:pStyle w:val="FootnoteText"/>
      </w:pPr>
      <w:r>
        <w:rPr>
          <w:rStyle w:val="FootnoteReference"/>
        </w:rPr>
        <w:footnoteRef/>
      </w:r>
      <w:r>
        <w:t xml:space="preserve"> </w:t>
      </w:r>
      <w:r w:rsidRPr="006C058E">
        <w:t>DIRECTIVE 2009/125/EC OF THE EUROPEAN PARLIAMENT AND OF THE COUNCIL of 21 October 2009 establishing a framework for the setting of ecodesign requirements for energy-related products</w:t>
      </w:r>
    </w:p>
  </w:footnote>
  <w:footnote w:id="49">
    <w:p w14:paraId="5331EBA4" w14:textId="77777777" w:rsidR="00141A3C" w:rsidRDefault="00141A3C" w:rsidP="004D7C84">
      <w:pPr>
        <w:pStyle w:val="FootnoteText"/>
      </w:pPr>
      <w:r>
        <w:rPr>
          <w:rStyle w:val="FootnoteReference"/>
        </w:rPr>
        <w:footnoteRef/>
      </w:r>
      <w:r>
        <w:t xml:space="preserve"> </w:t>
      </w:r>
      <w:r w:rsidRPr="006C058E">
        <w:t xml:space="preserve">IEA 2104, </w:t>
      </w:r>
      <w:hyperlink r:id="rId12" w:history="1">
        <w:r w:rsidRPr="0075778D">
          <w:rPr>
            <w:rStyle w:val="Hyperlink"/>
          </w:rPr>
          <w:t>Energy Efficiency Market Report</w:t>
        </w:r>
      </w:hyperlink>
      <w:r w:rsidRPr="006C058E">
        <w:t xml:space="preserve"> </w:t>
      </w:r>
    </w:p>
  </w:footnote>
  <w:footnote w:id="50">
    <w:p w14:paraId="3D29CB72" w14:textId="77777777" w:rsidR="00141A3C" w:rsidRDefault="00141A3C" w:rsidP="004D7C84">
      <w:pPr>
        <w:pStyle w:val="FootnoteText"/>
      </w:pPr>
      <w:r>
        <w:rPr>
          <w:rStyle w:val="FootnoteReference"/>
        </w:rPr>
        <w:footnoteRef/>
      </w:r>
      <w:r>
        <w:t xml:space="preserve"> </w:t>
      </w:r>
      <w:r w:rsidRPr="006C058E">
        <w:t xml:space="preserve"> </w:t>
      </w:r>
      <w:hyperlink r:id="rId13" w:history="1">
        <w:r w:rsidRPr="0075778D">
          <w:rPr>
            <w:rStyle w:val="Hyperlink"/>
          </w:rPr>
          <w:t>Low Carbon Transition Unit, Denmark</w:t>
        </w:r>
      </w:hyperlink>
      <w:r w:rsidRPr="006C058E">
        <w:t xml:space="preserve">, 2013, Energy Policy Toolkit for Energy Efficiency in Appliances, lighting and Equipment. </w:t>
      </w:r>
    </w:p>
  </w:footnote>
  <w:footnote w:id="51">
    <w:p w14:paraId="076E983A" w14:textId="77777777" w:rsidR="00141A3C" w:rsidRPr="00983742" w:rsidRDefault="00141A3C">
      <w:pPr>
        <w:pStyle w:val="FootnoteText"/>
        <w:rPr>
          <w:lang w:val="en-GB"/>
        </w:rPr>
      </w:pPr>
      <w:r>
        <w:rPr>
          <w:rStyle w:val="FootnoteReference"/>
        </w:rPr>
        <w:footnoteRef/>
      </w:r>
      <w:r>
        <w:t xml:space="preserve"> </w:t>
      </w:r>
      <w:r>
        <w:rPr>
          <w:lang w:val="en-GB"/>
        </w:rPr>
        <w:t>Or those which impact on the energy use of other products (such as insulation).</w:t>
      </w:r>
    </w:p>
  </w:footnote>
  <w:footnote w:id="52">
    <w:p w14:paraId="38D2AB4F" w14:textId="77777777" w:rsidR="00141A3C" w:rsidRPr="00591D3C" w:rsidRDefault="00141A3C" w:rsidP="00591D3C">
      <w:pPr>
        <w:spacing w:after="0"/>
        <w:rPr>
          <w:sz w:val="18"/>
          <w:szCs w:val="18"/>
        </w:rPr>
      </w:pPr>
      <w:r w:rsidRPr="00591D3C">
        <w:rPr>
          <w:rStyle w:val="FootnoteReference"/>
          <w:sz w:val="18"/>
          <w:szCs w:val="18"/>
        </w:rPr>
        <w:footnoteRef/>
      </w:r>
      <w:r w:rsidRPr="00591D3C">
        <w:rPr>
          <w:sz w:val="18"/>
          <w:szCs w:val="18"/>
        </w:rPr>
        <w:t xml:space="preserve"> Australian Government (2015) </w:t>
      </w:r>
      <w:hyperlink r:id="rId14" w:history="1">
        <w:r w:rsidRPr="00591D3C">
          <w:rPr>
            <w:rStyle w:val="Hyperlink"/>
            <w:sz w:val="18"/>
            <w:szCs w:val="18"/>
          </w:rPr>
          <w:t>Energy White Paper</w:t>
        </w:r>
      </w:hyperlink>
      <w:r w:rsidRPr="00591D3C">
        <w:rPr>
          <w:sz w:val="18"/>
          <w:szCs w:val="18"/>
        </w:rPr>
        <w:t xml:space="preserve"> </w:t>
      </w:r>
    </w:p>
  </w:footnote>
  <w:footnote w:id="53">
    <w:p w14:paraId="0502BF0F" w14:textId="77777777" w:rsidR="00141A3C" w:rsidRPr="00975E9E" w:rsidRDefault="00141A3C">
      <w:pPr>
        <w:pStyle w:val="FootnoteText"/>
        <w:rPr>
          <w:lang w:val="en-GB"/>
        </w:rPr>
      </w:pPr>
      <w:r>
        <w:rPr>
          <w:rStyle w:val="FootnoteReference"/>
        </w:rPr>
        <w:footnoteRef/>
      </w:r>
      <w:r>
        <w:t xml:space="preserve"> </w:t>
      </w:r>
      <w:hyperlink r:id="rId15" w:history="1">
        <w:r w:rsidRPr="00975E9E">
          <w:rPr>
            <w:rStyle w:val="Hyperlink"/>
            <w:lang w:val="en-GB"/>
          </w:rPr>
          <w:t>Ecofys (2014) Evaluation of the EU Ecodesign and Energy Labelling regulations</w:t>
        </w:r>
      </w:hyperlink>
      <w:r>
        <w:rPr>
          <w:lang w:val="en-GB"/>
        </w:rPr>
        <w:t>.</w:t>
      </w:r>
    </w:p>
  </w:footnote>
  <w:footnote w:id="54">
    <w:p w14:paraId="55684F41" w14:textId="77777777" w:rsidR="00141A3C" w:rsidRPr="00975E9E" w:rsidRDefault="00141A3C">
      <w:pPr>
        <w:pStyle w:val="FootnoteText"/>
        <w:rPr>
          <w:lang w:val="en-GB"/>
        </w:rPr>
      </w:pPr>
      <w:r>
        <w:rPr>
          <w:rStyle w:val="FootnoteReference"/>
        </w:rPr>
        <w:footnoteRef/>
      </w:r>
      <w:r>
        <w:t xml:space="preserve"> </w:t>
      </w:r>
      <w:hyperlink r:id="rId16" w:history="1">
        <w:r w:rsidRPr="00975E9E">
          <w:rPr>
            <w:rStyle w:val="Hyperlink"/>
            <w:lang w:val="en-GB"/>
          </w:rPr>
          <w:t>US Appliance and Equipment Standards History and Impacts figures</w:t>
        </w:r>
      </w:hyperlink>
      <w:r>
        <w:rPr>
          <w:lang w:val="en-GB"/>
        </w:rPr>
        <w:t xml:space="preserve">. </w:t>
      </w:r>
    </w:p>
  </w:footnote>
  <w:footnote w:id="55">
    <w:p w14:paraId="1DB56248" w14:textId="77777777" w:rsidR="00141A3C" w:rsidRPr="00B4099D" w:rsidRDefault="00141A3C">
      <w:pPr>
        <w:pStyle w:val="FootnoteText"/>
        <w:rPr>
          <w:szCs w:val="18"/>
          <w:lang w:val="en-AU"/>
        </w:rPr>
      </w:pPr>
      <w:r w:rsidRPr="00B4099D">
        <w:rPr>
          <w:rStyle w:val="FootnoteReference"/>
          <w:szCs w:val="18"/>
        </w:rPr>
        <w:footnoteRef/>
      </w:r>
      <w:r w:rsidRPr="00B4099D">
        <w:rPr>
          <w:szCs w:val="18"/>
        </w:rPr>
        <w:t xml:space="preserve"> </w:t>
      </w:r>
      <w:r w:rsidRPr="00B4099D">
        <w:rPr>
          <w:szCs w:val="18"/>
          <w:lang w:val="en-AU"/>
        </w:rPr>
        <w:t xml:space="preserve">ECOFYS </w:t>
      </w:r>
      <w:r w:rsidRPr="00B4099D">
        <w:rPr>
          <w:rFonts w:cs="Arial"/>
          <w:i/>
          <w:iCs/>
          <w:szCs w:val="18"/>
          <w:lang w:val="en-AU"/>
        </w:rPr>
        <w:t>(</w:t>
      </w:r>
      <w:r w:rsidRPr="00B4099D">
        <w:rPr>
          <w:rFonts w:cs="Arial"/>
          <w:i/>
          <w:iCs/>
          <w:szCs w:val="18"/>
        </w:rPr>
        <w:t>2015</w:t>
      </w:r>
      <w:r w:rsidRPr="00B4099D">
        <w:rPr>
          <w:rFonts w:cs="Arial"/>
          <w:i/>
          <w:iCs/>
          <w:szCs w:val="18"/>
          <w:lang w:val="en-AU"/>
        </w:rPr>
        <w:t>)</w:t>
      </w:r>
      <w:r w:rsidRPr="00B4099D">
        <w:rPr>
          <w:rFonts w:cs="Arial"/>
          <w:i/>
          <w:iCs/>
          <w:szCs w:val="18"/>
        </w:rPr>
        <w:t xml:space="preserve"> Energy Productivity and Economic Prosperity Index</w:t>
      </w:r>
    </w:p>
  </w:footnote>
  <w:footnote w:id="56">
    <w:p w14:paraId="52882CB0" w14:textId="77777777" w:rsidR="00141A3C" w:rsidRPr="00D50FBA" w:rsidRDefault="00141A3C" w:rsidP="00B13EC5">
      <w:pPr>
        <w:pStyle w:val="FootnoteText"/>
        <w:rPr>
          <w:lang w:val="en-GB"/>
        </w:rPr>
      </w:pPr>
      <w:r>
        <w:rPr>
          <w:rStyle w:val="FootnoteReference"/>
        </w:rPr>
        <w:footnoteRef/>
      </w:r>
      <w:r>
        <w:t xml:space="preserve"> </w:t>
      </w:r>
      <w:r w:rsidRPr="00A71C14">
        <w:t>DoI</w:t>
      </w:r>
      <w:r>
        <w:t>S</w:t>
      </w:r>
      <w:r>
        <w:rPr>
          <w:lang w:val="en-GB"/>
        </w:rPr>
        <w:t xml:space="preserve"> impact estimates</w:t>
      </w:r>
      <w:r w:rsidRPr="00335566">
        <w:rPr>
          <w:lang w:val="en-GB"/>
        </w:rPr>
        <w:t xml:space="preserve"> </w:t>
      </w:r>
      <w:r>
        <w:rPr>
          <w:lang w:val="en-GB"/>
        </w:rPr>
        <w:t>based on a national weighted average of emissions factors, from the National Greenhouse Account factors, 2014</w:t>
      </w:r>
    </w:p>
  </w:footnote>
  <w:footnote w:id="57">
    <w:p w14:paraId="4D272F2F" w14:textId="77777777" w:rsidR="00141A3C" w:rsidRPr="00093A6B" w:rsidRDefault="00141A3C" w:rsidP="00A4317C">
      <w:pPr>
        <w:pStyle w:val="FootnoteText"/>
        <w:rPr>
          <w:rFonts w:eastAsia="Calibri"/>
          <w:iCs/>
          <w:szCs w:val="18"/>
          <w:lang w:val="en-AU" w:eastAsia="en-US"/>
        </w:rPr>
      </w:pPr>
      <w:r w:rsidRPr="00A4317C">
        <w:rPr>
          <w:lang w:val="en-GB"/>
        </w:rPr>
        <w:footnoteRef/>
      </w:r>
      <w:r w:rsidRPr="00A4317C">
        <w:rPr>
          <w:lang w:val="en-GB"/>
        </w:rPr>
        <w:t xml:space="preserve"> The range is large because these statistics have been developed using data from a range of sources.  All data sets contain statistical errors, which compound when sets are added together.</w:t>
      </w:r>
    </w:p>
  </w:footnote>
  <w:footnote w:id="58">
    <w:p w14:paraId="7349F058" w14:textId="77777777" w:rsidR="00141A3C" w:rsidRDefault="00141A3C" w:rsidP="00B13EC5">
      <w:pPr>
        <w:pStyle w:val="FootnoteText"/>
      </w:pPr>
      <w:r>
        <w:rPr>
          <w:rStyle w:val="FootnoteReference"/>
        </w:rPr>
        <w:footnoteRef/>
      </w:r>
      <w:r>
        <w:t xml:space="preserve"> </w:t>
      </w:r>
      <w:r w:rsidRPr="007C661B">
        <w:t xml:space="preserve">E3 </w:t>
      </w:r>
      <w:r>
        <w:rPr>
          <w:lang w:val="en-AU"/>
        </w:rPr>
        <w:t>Report (</w:t>
      </w:r>
      <w:r w:rsidRPr="007C661B">
        <w:t>2010</w:t>
      </w:r>
      <w:r>
        <w:rPr>
          <w:lang w:val="en-AU"/>
        </w:rPr>
        <w:t>)</w:t>
      </w:r>
      <w:r w:rsidRPr="007C661B">
        <w:t xml:space="preserve"> Evaluation of Energy Efficiency Policy Measures for Household Air Conditioners in Australia</w:t>
      </w:r>
    </w:p>
  </w:footnote>
  <w:footnote w:id="59">
    <w:p w14:paraId="76964ABD" w14:textId="77777777" w:rsidR="00141A3C" w:rsidRPr="00872116" w:rsidRDefault="00141A3C">
      <w:pPr>
        <w:pStyle w:val="FootnoteText"/>
        <w:rPr>
          <w:lang w:val="en-AU"/>
        </w:rPr>
      </w:pPr>
      <w:r>
        <w:rPr>
          <w:rStyle w:val="FootnoteReference"/>
        </w:rPr>
        <w:footnoteRef/>
      </w:r>
      <w:r>
        <w:t xml:space="preserve"> </w:t>
      </w:r>
      <w:r w:rsidRPr="00872116">
        <w:rPr>
          <w:rFonts w:eastAsia="Calibri" w:cs="Arial"/>
          <w:szCs w:val="18"/>
          <w:lang w:val="en-AU" w:eastAsia="en-US"/>
        </w:rPr>
        <w:t>E3 Report (2010) Evaluation of Energy Efficiency Policy Measures for Household Refrigeration in Australia – an assessment of energy savings since 1986</w:t>
      </w:r>
    </w:p>
  </w:footnote>
  <w:footnote w:id="60">
    <w:p w14:paraId="7EBE2EB7" w14:textId="77777777" w:rsidR="00141A3C" w:rsidRDefault="00141A3C" w:rsidP="00B13EC5">
      <w:pPr>
        <w:pStyle w:val="FootnoteText"/>
      </w:pPr>
      <w:r>
        <w:rPr>
          <w:rStyle w:val="FootnoteReference"/>
        </w:rPr>
        <w:footnoteRef/>
      </w:r>
      <w:r>
        <w:t xml:space="preserve"> </w:t>
      </w:r>
      <w:r w:rsidRPr="00E47A8F">
        <w:t>E3</w:t>
      </w:r>
      <w:r>
        <w:rPr>
          <w:lang w:val="en-AU"/>
        </w:rPr>
        <w:t xml:space="preserve"> Report (</w:t>
      </w:r>
      <w:r w:rsidRPr="00E47A8F">
        <w:t>2009</w:t>
      </w:r>
      <w:r>
        <w:rPr>
          <w:lang w:val="en-AU"/>
        </w:rPr>
        <w:t>)</w:t>
      </w:r>
      <w:r w:rsidRPr="00E47A8F">
        <w:t xml:space="preserve"> G</w:t>
      </w:r>
      <w:r>
        <w:rPr>
          <w:lang w:val="en-AU"/>
        </w:rPr>
        <w:t>reening Whitegoods - a</w:t>
      </w:r>
      <w:r w:rsidRPr="00E47A8F">
        <w:t xml:space="preserve"> report into the energy efficiency trends of white</w:t>
      </w:r>
      <w:r>
        <w:rPr>
          <w:lang w:val="en-GB"/>
        </w:rPr>
        <w:t xml:space="preserve"> </w:t>
      </w:r>
      <w:r w:rsidRPr="00E47A8F">
        <w:t>goods in Australia from 1993 to 2009</w:t>
      </w:r>
    </w:p>
  </w:footnote>
  <w:footnote w:id="61">
    <w:p w14:paraId="61131EA3" w14:textId="77777777" w:rsidR="00141A3C" w:rsidRPr="00B22C97" w:rsidRDefault="00141A3C" w:rsidP="001A3C0B">
      <w:pPr>
        <w:pStyle w:val="FootnoteText"/>
        <w:rPr>
          <w:lang w:val="en-GB"/>
        </w:rPr>
      </w:pPr>
      <w:r>
        <w:rPr>
          <w:rStyle w:val="FootnoteReference"/>
        </w:rPr>
        <w:footnoteRef/>
      </w:r>
      <w:r>
        <w:t xml:space="preserve"> </w:t>
      </w:r>
      <w:r>
        <w:rPr>
          <w:lang w:val="en-GB"/>
        </w:rPr>
        <w:t>Other policy interventions were not excluded as stakeholders were asked the question “</w:t>
      </w:r>
      <w:r w:rsidRPr="007D117D">
        <w:rPr>
          <w:lang w:val="en-GB"/>
        </w:rPr>
        <w:t>What alternative cost effective and viable policy, process and funding models could be used in Australia?</w:t>
      </w:r>
      <w:r>
        <w:rPr>
          <w:lang w:val="en-GB"/>
        </w:rPr>
        <w:t xml:space="preserve">” However the resulting discussions were almost all discussions focussed on MEPS and labelling.  There were two mentions of other types of policy, green procurement schemes and also building regulations, discussed in Section </w:t>
      </w:r>
      <w:r>
        <w:rPr>
          <w:lang w:val="en-GB"/>
        </w:rPr>
        <w:fldChar w:fldCharType="begin"/>
      </w:r>
      <w:r>
        <w:rPr>
          <w:lang w:val="en-GB"/>
        </w:rPr>
        <w:instrText xml:space="preserve"> REF _Ref408569524 \r \h </w:instrText>
      </w:r>
      <w:r>
        <w:rPr>
          <w:lang w:val="en-GB"/>
        </w:rPr>
      </w:r>
      <w:r>
        <w:rPr>
          <w:lang w:val="en-GB"/>
        </w:rPr>
        <w:fldChar w:fldCharType="separate"/>
      </w:r>
      <w:r>
        <w:rPr>
          <w:lang w:val="en-GB"/>
        </w:rPr>
        <w:t>5.2.3</w:t>
      </w:r>
      <w:r>
        <w:rPr>
          <w:lang w:val="en-GB"/>
        </w:rPr>
        <w:fldChar w:fldCharType="end"/>
      </w:r>
      <w:r>
        <w:rPr>
          <w:lang w:val="en-GB"/>
        </w:rPr>
        <w:t xml:space="preserve">.  </w:t>
      </w:r>
    </w:p>
  </w:footnote>
  <w:footnote w:id="62">
    <w:p w14:paraId="358B2C4E" w14:textId="77777777" w:rsidR="00141A3C" w:rsidRPr="00454DFA" w:rsidRDefault="00141A3C">
      <w:pPr>
        <w:pStyle w:val="FootnoteText"/>
        <w:rPr>
          <w:lang w:val="en-GB"/>
        </w:rPr>
      </w:pPr>
      <w:r>
        <w:rPr>
          <w:rStyle w:val="FootnoteReference"/>
        </w:rPr>
        <w:footnoteRef/>
      </w:r>
      <w:r>
        <w:t xml:space="preserve"> </w:t>
      </w:r>
      <w:r w:rsidRPr="00F16BCD">
        <w:t>Energy Standards and Labelling Programs throughout the World</w:t>
      </w:r>
      <w:r>
        <w:rPr>
          <w:lang w:val="en-GB"/>
        </w:rPr>
        <w:t xml:space="preserve"> (2014). </w:t>
      </w:r>
    </w:p>
  </w:footnote>
  <w:footnote w:id="63">
    <w:p w14:paraId="372F850D" w14:textId="77777777" w:rsidR="00141A3C" w:rsidRDefault="00141A3C" w:rsidP="00B13EC5">
      <w:pPr>
        <w:pStyle w:val="FootnoteText"/>
      </w:pPr>
      <w:r>
        <w:rPr>
          <w:rStyle w:val="FootnoteReference"/>
        </w:rPr>
        <w:footnoteRef/>
      </w:r>
      <w:r>
        <w:t xml:space="preserve"> There are 1198 measures in total, of which 115 are voluntary (1083 mandatory). </w:t>
      </w:r>
    </w:p>
  </w:footnote>
  <w:footnote w:id="64">
    <w:p w14:paraId="35101FF6" w14:textId="77777777" w:rsidR="00141A3C" w:rsidRDefault="00141A3C" w:rsidP="00B13EC5">
      <w:pPr>
        <w:pStyle w:val="FootnoteText"/>
      </w:pPr>
      <w:r>
        <w:rPr>
          <w:rStyle w:val="FootnoteReference"/>
        </w:rPr>
        <w:footnoteRef/>
      </w:r>
      <w:r>
        <w:t xml:space="preserve"> </w:t>
      </w:r>
      <w:hyperlink r:id="rId17" w:history="1">
        <w:r w:rsidRPr="00B56A7D">
          <w:rPr>
            <w:rStyle w:val="Hyperlink"/>
          </w:rPr>
          <w:t>http://www.eccj.or.jp/top_runner/</w:t>
        </w:r>
      </w:hyperlink>
      <w:r>
        <w:t xml:space="preserve"> </w:t>
      </w:r>
    </w:p>
  </w:footnote>
  <w:footnote w:id="65">
    <w:p w14:paraId="46A6EAD9" w14:textId="77777777" w:rsidR="00141A3C" w:rsidRPr="00983742" w:rsidRDefault="00141A3C">
      <w:pPr>
        <w:pStyle w:val="FootnoteText"/>
        <w:rPr>
          <w:lang w:val="en-GB"/>
        </w:rPr>
      </w:pPr>
      <w:r>
        <w:rPr>
          <w:rStyle w:val="FootnoteReference"/>
        </w:rPr>
        <w:footnoteRef/>
      </w:r>
      <w:r>
        <w:t xml:space="preserve"> </w:t>
      </w:r>
      <w:r>
        <w:rPr>
          <w:lang w:val="en-GB"/>
        </w:rPr>
        <w:t>F</w:t>
      </w:r>
      <w:r>
        <w:t xml:space="preserve">or </w:t>
      </w:r>
      <w:r>
        <w:rPr>
          <w:lang w:val="en-GB"/>
        </w:rPr>
        <w:t xml:space="preserve">most </w:t>
      </w:r>
      <w:r>
        <w:t>product types</w:t>
      </w:r>
      <w:r>
        <w:rPr>
          <w:lang w:val="en-GB"/>
        </w:rPr>
        <w:t xml:space="preserve"> covered by the scheme. </w:t>
      </w:r>
    </w:p>
  </w:footnote>
  <w:footnote w:id="66">
    <w:p w14:paraId="0C8C4F71" w14:textId="77777777" w:rsidR="00141A3C" w:rsidRDefault="00141A3C" w:rsidP="00D06DE3">
      <w:pPr>
        <w:pStyle w:val="FootnoteText"/>
      </w:pPr>
      <w:r>
        <w:rPr>
          <w:rStyle w:val="FootnoteReference"/>
        </w:rPr>
        <w:footnoteRef/>
      </w:r>
      <w:r>
        <w:t xml:space="preserve"> </w:t>
      </w:r>
      <w:r w:rsidRPr="00A948D5">
        <w:t>DIRECTIVE 2009/125/EC OF THE EUROPEAN PARLIAMENT AND OF THE COUNCIL of 21 October 2009 establishing a framework for the setting of ecodesign requirements for energy-related products</w:t>
      </w:r>
    </w:p>
  </w:footnote>
  <w:footnote w:id="67">
    <w:p w14:paraId="7DD055E6" w14:textId="77777777" w:rsidR="00141A3C" w:rsidRDefault="00141A3C" w:rsidP="00B13EC5">
      <w:pPr>
        <w:pStyle w:val="FootnoteText"/>
      </w:pPr>
      <w:r>
        <w:rPr>
          <w:rStyle w:val="FootnoteReference"/>
        </w:rPr>
        <w:footnoteRef/>
      </w:r>
      <w:r>
        <w:t xml:space="preserve"> F</w:t>
      </w:r>
      <w:r w:rsidRPr="00010C75">
        <w:t>or example where important market players cannot be covered by regulatory requirements</w:t>
      </w:r>
      <w:r>
        <w:t xml:space="preserve"> (the example provided is the case of service providers in the case of complex set top boxes). </w:t>
      </w:r>
    </w:p>
  </w:footnote>
  <w:footnote w:id="68">
    <w:p w14:paraId="3C7C4D12" w14:textId="77777777" w:rsidR="00141A3C" w:rsidRPr="00983742" w:rsidRDefault="00141A3C">
      <w:pPr>
        <w:pStyle w:val="FootnoteText"/>
        <w:rPr>
          <w:lang w:val="en-GB"/>
        </w:rPr>
      </w:pPr>
      <w:r>
        <w:rPr>
          <w:rStyle w:val="FootnoteReference"/>
        </w:rPr>
        <w:footnoteRef/>
      </w:r>
      <w:r>
        <w:t xml:space="preserve"> </w:t>
      </w:r>
      <w:r>
        <w:rPr>
          <w:lang w:val="en-GB"/>
        </w:rPr>
        <w:t xml:space="preserve">Ecofys (2014) </w:t>
      </w:r>
      <w:hyperlink r:id="rId18" w:history="1">
        <w:r w:rsidRPr="00F87003">
          <w:rPr>
            <w:rStyle w:val="Hyperlink"/>
          </w:rPr>
          <w:t>Evaluation of the EU Energy Labelling and Ecodesign Directives</w:t>
        </w:r>
      </w:hyperlink>
      <w:r>
        <w:rPr>
          <w:lang w:val="en-GB"/>
        </w:rPr>
        <w:t>.</w:t>
      </w:r>
    </w:p>
  </w:footnote>
  <w:footnote w:id="69">
    <w:p w14:paraId="07A57067" w14:textId="77777777" w:rsidR="00141A3C" w:rsidRDefault="00141A3C" w:rsidP="00B13EC5">
      <w:pPr>
        <w:pStyle w:val="FootnoteText"/>
      </w:pPr>
      <w:r>
        <w:rPr>
          <w:rStyle w:val="FootnoteReference"/>
        </w:rPr>
        <w:footnoteRef/>
      </w:r>
      <w:r>
        <w:t xml:space="preserve"> A</w:t>
      </w:r>
      <w:r w:rsidRPr="00010C75">
        <w:t>s of 2013 there were only three product groups which use voluntary measures</w:t>
      </w:r>
      <w:r>
        <w:t xml:space="preserve">. </w:t>
      </w:r>
    </w:p>
  </w:footnote>
  <w:footnote w:id="70">
    <w:p w14:paraId="70D5D01E" w14:textId="77777777" w:rsidR="00141A3C" w:rsidRPr="00983742" w:rsidRDefault="00141A3C">
      <w:pPr>
        <w:pStyle w:val="FootnoteText"/>
        <w:rPr>
          <w:lang w:val="en-GB"/>
        </w:rPr>
      </w:pPr>
      <w:r>
        <w:rPr>
          <w:rStyle w:val="FootnoteReference"/>
        </w:rPr>
        <w:footnoteRef/>
      </w:r>
      <w:r>
        <w:t xml:space="preserve"> </w:t>
      </w:r>
      <w:r>
        <w:rPr>
          <w:lang w:val="en-GB"/>
        </w:rPr>
        <w:t xml:space="preserve">ECOS (2013) </w:t>
      </w:r>
      <w:hyperlink r:id="rId19" w:history="1">
        <w:r w:rsidRPr="00F87003">
          <w:rPr>
            <w:rStyle w:val="Hyperlink"/>
            <w:lang w:val="en-GB"/>
          </w:rPr>
          <w:t>International Comparisons of Product Policy</w:t>
        </w:r>
      </w:hyperlink>
      <w:r>
        <w:rPr>
          <w:lang w:val="en-GB"/>
        </w:rPr>
        <w:t xml:space="preserve">.  </w:t>
      </w:r>
    </w:p>
  </w:footnote>
  <w:footnote w:id="71">
    <w:p w14:paraId="559E11A6" w14:textId="77777777" w:rsidR="00141A3C" w:rsidRDefault="00141A3C" w:rsidP="007070B3">
      <w:pPr>
        <w:pStyle w:val="FootnoteText"/>
      </w:pPr>
      <w:r>
        <w:rPr>
          <w:rStyle w:val="FootnoteReference"/>
        </w:rPr>
        <w:footnoteRef/>
      </w:r>
      <w:r>
        <w:t xml:space="preserve"> Those reviewed include the three implemented since the GEMS Act came into force (TV revised standards, computers and computer monitors, gas water heaters).</w:t>
      </w:r>
    </w:p>
  </w:footnote>
  <w:footnote w:id="72">
    <w:p w14:paraId="2C17E5CC" w14:textId="77777777" w:rsidR="00141A3C" w:rsidRPr="006D4021" w:rsidRDefault="00141A3C" w:rsidP="00BD61C0">
      <w:pPr>
        <w:pStyle w:val="FootnoteText"/>
      </w:pPr>
      <w:r w:rsidRPr="006D4021">
        <w:rPr>
          <w:rStyle w:val="FootnoteReference"/>
        </w:rPr>
        <w:footnoteRef/>
      </w:r>
      <w:r w:rsidRPr="006D4021">
        <w:t xml:space="preserve"> At the time it became apparent in 2006 that there would be significant de</w:t>
      </w:r>
      <w:r>
        <w:t>lays in revising the standard through the RIS process.</w:t>
      </w:r>
    </w:p>
  </w:footnote>
  <w:footnote w:id="73">
    <w:p w14:paraId="2BD78A71" w14:textId="77777777" w:rsidR="00141A3C" w:rsidRPr="00983742" w:rsidRDefault="00141A3C">
      <w:pPr>
        <w:pStyle w:val="FootnoteText"/>
        <w:rPr>
          <w:lang w:val="en-GB"/>
        </w:rPr>
      </w:pPr>
      <w:r>
        <w:rPr>
          <w:rStyle w:val="FootnoteReference"/>
        </w:rPr>
        <w:footnoteRef/>
      </w:r>
      <w:r>
        <w:t xml:space="preserve"> </w:t>
      </w:r>
      <w:r>
        <w:rPr>
          <w:lang w:val="en-AU"/>
        </w:rPr>
        <w:t xml:space="preserve">Since absorbed, in part, into the </w:t>
      </w:r>
      <w:r>
        <w:rPr>
          <w:lang w:val="en-GB"/>
        </w:rPr>
        <w:t xml:space="preserve">Department of Industry and Science.  </w:t>
      </w:r>
    </w:p>
  </w:footnote>
  <w:footnote w:id="74">
    <w:p w14:paraId="06E6E7E5" w14:textId="77777777" w:rsidR="00141A3C" w:rsidRPr="00983742" w:rsidRDefault="00141A3C" w:rsidP="00C816FB">
      <w:pPr>
        <w:pStyle w:val="FootnoteText"/>
        <w:rPr>
          <w:lang w:val="en-GB"/>
        </w:rPr>
      </w:pPr>
      <w:r>
        <w:rPr>
          <w:rStyle w:val="FootnoteReference"/>
        </w:rPr>
        <w:footnoteRef/>
      </w:r>
      <w:r>
        <w:t xml:space="preserve"> </w:t>
      </w:r>
      <w:r>
        <w:rPr>
          <w:lang w:val="en-GB"/>
        </w:rPr>
        <w:t xml:space="preserve">FOXTEL (2011) </w:t>
      </w:r>
      <w:r w:rsidRPr="00C816FB">
        <w:rPr>
          <w:lang w:val="en-GB"/>
        </w:rPr>
        <w:t>voluntary code of conduct for improving the energy</w:t>
      </w:r>
      <w:r>
        <w:rPr>
          <w:lang w:val="en-GB"/>
        </w:rPr>
        <w:t xml:space="preserve"> </w:t>
      </w:r>
      <w:r w:rsidRPr="00C816FB">
        <w:rPr>
          <w:lang w:val="en-GB"/>
        </w:rPr>
        <w:t>efficiency in conditional access set top boxes</w:t>
      </w:r>
      <w:r>
        <w:rPr>
          <w:lang w:val="en-GB"/>
        </w:rPr>
        <w:t xml:space="preserve">. </w:t>
      </w:r>
    </w:p>
  </w:footnote>
  <w:footnote w:id="75">
    <w:p w14:paraId="635B03AC" w14:textId="77777777" w:rsidR="00141A3C" w:rsidRPr="00983742" w:rsidRDefault="00141A3C">
      <w:pPr>
        <w:pStyle w:val="FootnoteText"/>
        <w:rPr>
          <w:lang w:val="en-GB"/>
        </w:rPr>
      </w:pPr>
      <w:r>
        <w:rPr>
          <w:rStyle w:val="FootnoteReference"/>
        </w:rPr>
        <w:footnoteRef/>
      </w:r>
      <w:r>
        <w:t xml:space="preserve"> </w:t>
      </w:r>
      <w:r>
        <w:rPr>
          <w:lang w:val="en-GB"/>
        </w:rPr>
        <w:t xml:space="preserve">Energy Efficient Strategies (2014) </w:t>
      </w:r>
      <w:hyperlink r:id="rId20" w:history="1">
        <w:r w:rsidRPr="00580B13">
          <w:rPr>
            <w:rStyle w:val="Hyperlink"/>
          </w:rPr>
          <w:t>Energy Standards and Labelling Programs throughout the World</w:t>
        </w:r>
        <w:r w:rsidRPr="00580B13">
          <w:rPr>
            <w:rStyle w:val="Hyperlink"/>
            <w:lang w:val="en-GB"/>
          </w:rPr>
          <w:t xml:space="preserve"> in 2013.</w:t>
        </w:r>
      </w:hyperlink>
    </w:p>
  </w:footnote>
  <w:footnote w:id="76">
    <w:p w14:paraId="35A8C244" w14:textId="77777777" w:rsidR="00141A3C" w:rsidRDefault="00141A3C" w:rsidP="00B13EC5">
      <w:pPr>
        <w:pStyle w:val="FootnoteText"/>
      </w:pPr>
      <w:r>
        <w:rPr>
          <w:rStyle w:val="FootnoteReference"/>
        </w:rPr>
        <w:footnoteRef/>
      </w:r>
      <w:r>
        <w:t xml:space="preserve"> There are 987 implemented measures in total, of which 95 are voluntary (892 mandatory). </w:t>
      </w:r>
    </w:p>
  </w:footnote>
  <w:footnote w:id="77">
    <w:p w14:paraId="263169F2" w14:textId="77777777" w:rsidR="00141A3C" w:rsidRPr="00983742" w:rsidRDefault="00141A3C">
      <w:pPr>
        <w:pStyle w:val="FootnoteText"/>
        <w:rPr>
          <w:lang w:val="en-GB"/>
        </w:rPr>
      </w:pPr>
      <w:r>
        <w:rPr>
          <w:rStyle w:val="FootnoteReference"/>
        </w:rPr>
        <w:footnoteRef/>
      </w:r>
      <w:r>
        <w:t xml:space="preserve"> </w:t>
      </w:r>
      <w:r>
        <w:rPr>
          <w:lang w:val="en-GB"/>
        </w:rPr>
        <w:t>I</w:t>
      </w:r>
      <w:r w:rsidRPr="00634A9B">
        <w:t>ncluding some types of air-conditioner</w:t>
      </w:r>
      <w:r>
        <w:rPr>
          <w:lang w:val="en-AU"/>
        </w:rPr>
        <w:t xml:space="preserve">s and </w:t>
      </w:r>
      <w:r w:rsidRPr="00634A9B">
        <w:t>water heaters</w:t>
      </w:r>
      <w:r>
        <w:rPr>
          <w:lang w:val="en-GB"/>
        </w:rPr>
        <w:t>.</w:t>
      </w:r>
    </w:p>
  </w:footnote>
  <w:footnote w:id="78">
    <w:p w14:paraId="50BA2814" w14:textId="77777777" w:rsidR="00141A3C" w:rsidRPr="00B22C97" w:rsidRDefault="00141A3C" w:rsidP="00F868F4">
      <w:pPr>
        <w:pStyle w:val="FootnoteText"/>
        <w:rPr>
          <w:lang w:val="en-GB"/>
        </w:rPr>
      </w:pPr>
      <w:r>
        <w:rPr>
          <w:rStyle w:val="FootnoteReference"/>
        </w:rPr>
        <w:footnoteRef/>
      </w:r>
      <w:r>
        <w:t xml:space="preserve"> </w:t>
      </w:r>
      <w:r>
        <w:rPr>
          <w:lang w:val="en-GB"/>
        </w:rPr>
        <w:t>CLASP (2005) Energy efficiency labels and standards:  A guidebook for appliances, equipment and lighting 2</w:t>
      </w:r>
      <w:r w:rsidRPr="00B22C97">
        <w:rPr>
          <w:vertAlign w:val="superscript"/>
          <w:lang w:val="en-GB"/>
        </w:rPr>
        <w:t>nd</w:t>
      </w:r>
      <w:r>
        <w:rPr>
          <w:lang w:val="en-GB"/>
        </w:rPr>
        <w:t xml:space="preserve"> edition. </w:t>
      </w:r>
    </w:p>
  </w:footnote>
  <w:footnote w:id="79">
    <w:p w14:paraId="10A065D4" w14:textId="77777777" w:rsidR="00141A3C" w:rsidRPr="00983742" w:rsidRDefault="00141A3C">
      <w:pPr>
        <w:pStyle w:val="FootnoteText"/>
        <w:rPr>
          <w:lang w:val="en-GB"/>
        </w:rPr>
      </w:pPr>
      <w:r>
        <w:rPr>
          <w:rStyle w:val="FootnoteReference"/>
        </w:rPr>
        <w:footnoteRef/>
      </w:r>
      <w:r>
        <w:t xml:space="preserve"> </w:t>
      </w:r>
      <w:r w:rsidRPr="0013714B">
        <w:t xml:space="preserve">The US ENERGY STAR scheme reports some figures in annual reports (ENERGY STAR (2013) 2013 ENERGY STAR Overview of Achievements), but it is difficult to interpret the numbers as the methodology for their calculation is not made clear.  </w:t>
      </w:r>
    </w:p>
  </w:footnote>
  <w:footnote w:id="80">
    <w:p w14:paraId="746F3254" w14:textId="77777777" w:rsidR="00141A3C" w:rsidRPr="00D97041" w:rsidRDefault="00141A3C">
      <w:pPr>
        <w:pStyle w:val="FootnoteText"/>
        <w:rPr>
          <w:lang w:val="en-AU"/>
        </w:rPr>
      </w:pPr>
      <w:r w:rsidRPr="00320022">
        <w:rPr>
          <w:rFonts w:cs="Arial"/>
          <w:bCs/>
          <w:szCs w:val="18"/>
        </w:rPr>
        <w:footnoteRef/>
      </w:r>
      <w:r w:rsidRPr="00320022">
        <w:rPr>
          <w:rFonts w:cs="Arial"/>
          <w:bCs/>
          <w:szCs w:val="18"/>
        </w:rPr>
        <w:t xml:space="preserve"> U.S. Environmental Protection Agency, Office of Inspector General, [2009]</w:t>
      </w:r>
      <w:r w:rsidRPr="0049730B">
        <w:rPr>
          <w:rFonts w:cs="Arial"/>
          <w:bCs/>
          <w:szCs w:val="18"/>
        </w:rPr>
        <w:t xml:space="preserve"> “ENERGY STAR Program Integrity </w:t>
      </w:r>
      <w:r w:rsidRPr="00D97041">
        <w:rPr>
          <w:rFonts w:cs="Arial"/>
          <w:bCs/>
          <w:szCs w:val="18"/>
        </w:rPr>
        <w:t xml:space="preserve">Can </w:t>
      </w:r>
      <w:r w:rsidRPr="0049730B">
        <w:rPr>
          <w:rFonts w:cs="Arial"/>
          <w:bCs/>
          <w:szCs w:val="18"/>
        </w:rPr>
        <w:t xml:space="preserve">Be Enhanced Through </w:t>
      </w:r>
      <w:r w:rsidRPr="00D97041">
        <w:rPr>
          <w:rFonts w:cs="Arial"/>
          <w:bCs/>
          <w:szCs w:val="18"/>
        </w:rPr>
        <w:t>Expanded Product Testing”</w:t>
      </w:r>
    </w:p>
  </w:footnote>
  <w:footnote w:id="81">
    <w:p w14:paraId="68EAC92F" w14:textId="77777777" w:rsidR="00141A3C" w:rsidRPr="00D97041" w:rsidRDefault="00141A3C">
      <w:pPr>
        <w:pStyle w:val="FootnoteText"/>
        <w:rPr>
          <w:lang w:val="en-AU"/>
        </w:rPr>
      </w:pPr>
      <w:r>
        <w:rPr>
          <w:rStyle w:val="FootnoteReference"/>
        </w:rPr>
        <w:footnoteRef/>
      </w:r>
      <w:r>
        <w:t xml:space="preserve"> </w:t>
      </w:r>
      <w:r w:rsidRPr="00320022">
        <w:rPr>
          <w:rFonts w:cs="Arial"/>
          <w:bCs/>
          <w:szCs w:val="18"/>
        </w:rPr>
        <w:t>EECA Presentation (Internal working document), 2011</w:t>
      </w:r>
    </w:p>
  </w:footnote>
  <w:footnote w:id="82">
    <w:p w14:paraId="1234F5E8" w14:textId="77777777" w:rsidR="00141A3C" w:rsidRPr="00B22C97" w:rsidRDefault="00141A3C" w:rsidP="00B13EC5">
      <w:pPr>
        <w:pStyle w:val="FootnoteText"/>
        <w:rPr>
          <w:lang w:val="en-GB"/>
        </w:rPr>
      </w:pPr>
      <w:r>
        <w:rPr>
          <w:rStyle w:val="FootnoteReference"/>
        </w:rPr>
        <w:footnoteRef/>
      </w:r>
      <w:r>
        <w:t xml:space="preserve"> </w:t>
      </w:r>
      <w:hyperlink r:id="rId21" w:history="1">
        <w:r w:rsidRPr="00DB740C">
          <w:rPr>
            <w:rStyle w:val="Hyperlink"/>
          </w:rPr>
          <w:t>http://www.geca.org.au/</w:t>
        </w:r>
      </w:hyperlink>
      <w:r>
        <w:rPr>
          <w:lang w:val="en-GB"/>
        </w:rPr>
        <w:t xml:space="preserve"> </w:t>
      </w:r>
    </w:p>
  </w:footnote>
  <w:footnote w:id="83">
    <w:p w14:paraId="14CA72FE" w14:textId="77777777" w:rsidR="00141A3C" w:rsidRDefault="00141A3C" w:rsidP="00F61F55">
      <w:pPr>
        <w:pStyle w:val="FootnoteText"/>
      </w:pPr>
      <w:r>
        <w:rPr>
          <w:rStyle w:val="FootnoteReference"/>
        </w:rPr>
        <w:footnoteRef/>
      </w:r>
      <w:r>
        <w:t xml:space="preserve"> </w:t>
      </w:r>
      <w:hyperlink r:id="rId22" w:history="1">
        <w:r w:rsidRPr="003B42AF">
          <w:rPr>
            <w:rStyle w:val="Hyperlink"/>
          </w:rPr>
          <w:t>http://www.eeca.govt.nz/standards-and-ratings/energy-star</w:t>
        </w:r>
      </w:hyperlink>
      <w:r>
        <w:t xml:space="preserve"> </w:t>
      </w:r>
    </w:p>
  </w:footnote>
  <w:footnote w:id="84">
    <w:p w14:paraId="35AA261C" w14:textId="77777777" w:rsidR="00141A3C" w:rsidRDefault="00141A3C" w:rsidP="00F61F55">
      <w:pPr>
        <w:pStyle w:val="FootnoteText"/>
      </w:pPr>
      <w:r>
        <w:rPr>
          <w:rStyle w:val="FootnoteReference"/>
        </w:rPr>
        <w:footnoteRef/>
      </w:r>
      <w:r>
        <w:t xml:space="preserve"> </w:t>
      </w:r>
      <w:hyperlink r:id="rId23" w:history="1">
        <w:r w:rsidRPr="003B42AF">
          <w:rPr>
            <w:rStyle w:val="Hyperlink"/>
          </w:rPr>
          <w:t>http://www.energywise.govt.nz/energy-star</w:t>
        </w:r>
      </w:hyperlink>
      <w:r>
        <w:t xml:space="preserve"> </w:t>
      </w:r>
    </w:p>
  </w:footnote>
  <w:footnote w:id="85">
    <w:p w14:paraId="5B84BD9D" w14:textId="77777777" w:rsidR="00141A3C" w:rsidRPr="008E6F54" w:rsidRDefault="00141A3C" w:rsidP="0095516D">
      <w:pPr>
        <w:pStyle w:val="FootnoteText"/>
        <w:rPr>
          <w:lang w:val="en-GB"/>
        </w:rPr>
      </w:pPr>
      <w:r>
        <w:rPr>
          <w:rStyle w:val="FootnoteReference"/>
        </w:rPr>
        <w:footnoteRef/>
      </w:r>
      <w:r>
        <w:t xml:space="preserve"> </w:t>
      </w:r>
      <w:r w:rsidRPr="007D117D">
        <w:t>Stakeholders were asked “what alternative cost effective and viable policy, process and funding models could be used in Australia?”</w:t>
      </w:r>
    </w:p>
  </w:footnote>
  <w:footnote w:id="86">
    <w:p w14:paraId="0E6B07C8" w14:textId="77777777" w:rsidR="00141A3C" w:rsidRDefault="00141A3C" w:rsidP="00EA23DE">
      <w:pPr>
        <w:pStyle w:val="FootnoteText"/>
      </w:pPr>
      <w:r>
        <w:rPr>
          <w:rStyle w:val="FootnoteReference"/>
        </w:rPr>
        <w:footnoteRef/>
      </w:r>
      <w:r>
        <w:t xml:space="preserve"> Energy Efficient Strategies (2014) Energy Standards and Labelling Programs throughout the World in 2013.</w:t>
      </w:r>
    </w:p>
  </w:footnote>
  <w:footnote w:id="87">
    <w:p w14:paraId="3B162BAB" w14:textId="77777777" w:rsidR="00141A3C" w:rsidRDefault="00141A3C" w:rsidP="00BA4743">
      <w:pPr>
        <w:pStyle w:val="FootnoteText"/>
      </w:pPr>
      <w:r>
        <w:rPr>
          <w:rStyle w:val="FootnoteReference"/>
        </w:rPr>
        <w:footnoteRef/>
      </w:r>
      <w:r>
        <w:t xml:space="preserve"> LBNL (2012) International comparative analysis and current status of appliance energy efficiency standards and labelling programs</w:t>
      </w:r>
      <w:r>
        <w:rPr>
          <w:lang w:val="en-GB"/>
        </w:rPr>
        <w:t>.</w:t>
      </w:r>
    </w:p>
  </w:footnote>
  <w:footnote w:id="88">
    <w:p w14:paraId="5C9618CF" w14:textId="77777777" w:rsidR="00141A3C" w:rsidRPr="00BA4743" w:rsidRDefault="00141A3C">
      <w:pPr>
        <w:pStyle w:val="FootnoteText"/>
        <w:rPr>
          <w:lang w:val="en-GB"/>
        </w:rPr>
      </w:pPr>
      <w:r>
        <w:rPr>
          <w:rStyle w:val="FootnoteReference"/>
        </w:rPr>
        <w:footnoteRef/>
      </w:r>
      <w:r>
        <w:t xml:space="preserve"> </w:t>
      </w:r>
      <w:r>
        <w:rPr>
          <w:lang w:val="en-GB"/>
        </w:rPr>
        <w:t xml:space="preserve">CLASP Standards and Labelling scheme guidebook (2005). </w:t>
      </w:r>
    </w:p>
  </w:footnote>
  <w:footnote w:id="89">
    <w:p w14:paraId="0542A74D" w14:textId="77777777" w:rsidR="00141A3C" w:rsidRPr="00B94359" w:rsidRDefault="00141A3C" w:rsidP="00B94359">
      <w:pPr>
        <w:pStyle w:val="FootnoteText"/>
        <w:rPr>
          <w:lang w:val="en-GB"/>
        </w:rPr>
      </w:pPr>
      <w:r>
        <w:rPr>
          <w:rStyle w:val="FootnoteReference"/>
        </w:rPr>
        <w:footnoteRef/>
      </w:r>
      <w:r>
        <w:t xml:space="preserve"> 12% of the total</w:t>
      </w:r>
      <w:r w:rsidRPr="00B94359">
        <w:t xml:space="preserve"> and 4% of oil and gas demand in the residential, commercial and industrial sectors excluding energy used for  transport and industrial process heat.</w:t>
      </w:r>
    </w:p>
  </w:footnote>
  <w:footnote w:id="90">
    <w:p w14:paraId="6918F03D" w14:textId="77777777" w:rsidR="00141A3C" w:rsidRPr="00F024D1" w:rsidRDefault="00141A3C">
      <w:pPr>
        <w:pStyle w:val="FootnoteText"/>
        <w:rPr>
          <w:lang w:val="en-GB"/>
        </w:rPr>
      </w:pPr>
      <w:r>
        <w:rPr>
          <w:rStyle w:val="FootnoteReference"/>
        </w:rPr>
        <w:footnoteRef/>
      </w:r>
      <w:r>
        <w:t xml:space="preserve"> LBNL (2012) International comparative analysis and current status of appliance energy efficiency standards and labelling programs</w:t>
      </w:r>
      <w:r>
        <w:rPr>
          <w:lang w:val="en-GB"/>
        </w:rPr>
        <w:t>.</w:t>
      </w:r>
    </w:p>
  </w:footnote>
  <w:footnote w:id="91">
    <w:p w14:paraId="7CC547FF" w14:textId="77777777" w:rsidR="00141A3C" w:rsidRPr="00983742" w:rsidRDefault="00141A3C">
      <w:pPr>
        <w:pStyle w:val="FootnoteText"/>
        <w:rPr>
          <w:lang w:val="en-GB"/>
        </w:rPr>
      </w:pPr>
      <w:r>
        <w:rPr>
          <w:rStyle w:val="FootnoteReference"/>
        </w:rPr>
        <w:footnoteRef/>
      </w:r>
      <w:r>
        <w:t xml:space="preserve"> </w:t>
      </w:r>
      <w:r w:rsidRPr="00673C3E">
        <w:t>CLASP Standards and Labelling scheme guidebook (2005).</w:t>
      </w:r>
    </w:p>
  </w:footnote>
  <w:footnote w:id="92">
    <w:p w14:paraId="3767FACC" w14:textId="77777777" w:rsidR="00141A3C" w:rsidRPr="00C0330B" w:rsidRDefault="00141A3C">
      <w:pPr>
        <w:pStyle w:val="FootnoteText"/>
        <w:rPr>
          <w:lang w:val="en-GB"/>
        </w:rPr>
      </w:pPr>
      <w:r>
        <w:rPr>
          <w:rStyle w:val="FootnoteReference"/>
        </w:rPr>
        <w:footnoteRef/>
      </w:r>
      <w:r>
        <w:t xml:space="preserve"> </w:t>
      </w:r>
      <w:r>
        <w:rPr>
          <w:lang w:val="en-GB"/>
        </w:rPr>
        <w:t xml:space="preserve">Than those leading the design and implementation of policies.  </w:t>
      </w:r>
    </w:p>
  </w:footnote>
  <w:footnote w:id="93">
    <w:p w14:paraId="2B0D3303" w14:textId="77777777" w:rsidR="00141A3C" w:rsidRPr="00C0330B" w:rsidRDefault="00141A3C" w:rsidP="0049586D">
      <w:pPr>
        <w:pStyle w:val="FootnoteText"/>
        <w:rPr>
          <w:lang w:val="en-GB"/>
        </w:rPr>
      </w:pPr>
      <w:r>
        <w:rPr>
          <w:rStyle w:val="FootnoteReference"/>
        </w:rPr>
        <w:footnoteRef/>
      </w:r>
      <w:r>
        <w:t xml:space="preserve"> </w:t>
      </w:r>
      <w:r w:rsidRPr="00842B88">
        <w:t>E3 2014, Impacts of the E3 program: Projected energy, cost and emission savings, March 2014</w:t>
      </w:r>
      <w:r>
        <w:rPr>
          <w:lang w:val="en-GB"/>
        </w:rPr>
        <w:t xml:space="preserve">.  </w:t>
      </w:r>
      <w:r w:rsidRPr="00093A6B">
        <w:rPr>
          <w:iCs/>
          <w:szCs w:val="18"/>
        </w:rPr>
        <w:t xml:space="preserve">The range </w:t>
      </w:r>
      <w:r>
        <w:rPr>
          <w:iCs/>
          <w:szCs w:val="18"/>
          <w:lang w:val="en-GB"/>
        </w:rPr>
        <w:t xml:space="preserve">between some estimated </w:t>
      </w:r>
      <w:r w:rsidRPr="00093A6B">
        <w:rPr>
          <w:iCs/>
          <w:szCs w:val="18"/>
        </w:rPr>
        <w:t>is large because these statistics have been developed using data from a range of sources.  All data sets contain statistical errors, which compound when sets are added together.</w:t>
      </w:r>
    </w:p>
  </w:footnote>
  <w:footnote w:id="94">
    <w:p w14:paraId="346AB7D5" w14:textId="77777777" w:rsidR="00141A3C" w:rsidRPr="009D32BA" w:rsidRDefault="00141A3C">
      <w:pPr>
        <w:pStyle w:val="FootnoteText"/>
        <w:rPr>
          <w:lang w:val="en-GB"/>
        </w:rPr>
      </w:pPr>
      <w:r>
        <w:rPr>
          <w:rStyle w:val="FootnoteReference"/>
        </w:rPr>
        <w:footnoteRef/>
      </w:r>
      <w:r>
        <w:t xml:space="preserve"> </w:t>
      </w:r>
      <w:r>
        <w:rPr>
          <w:lang w:val="en-GB"/>
        </w:rPr>
        <w:t xml:space="preserve">Aggregated savings over the period. </w:t>
      </w:r>
    </w:p>
  </w:footnote>
  <w:footnote w:id="95">
    <w:p w14:paraId="7D1B33A0" w14:textId="77777777" w:rsidR="00141A3C" w:rsidRDefault="00141A3C" w:rsidP="0049586D">
      <w:pPr>
        <w:pStyle w:val="FootnoteText"/>
      </w:pPr>
      <w:r>
        <w:rPr>
          <w:rStyle w:val="FootnoteReference"/>
        </w:rPr>
        <w:footnoteRef/>
      </w:r>
      <w:r>
        <w:t xml:space="preserve"> Analysis by </w:t>
      </w:r>
      <w:r w:rsidRPr="00A71C14">
        <w:t>DoI</w:t>
      </w:r>
      <w:r>
        <w:t>S</w:t>
      </w:r>
    </w:p>
  </w:footnote>
  <w:footnote w:id="96">
    <w:p w14:paraId="17988BBF" w14:textId="77777777" w:rsidR="00141A3C" w:rsidRDefault="00141A3C" w:rsidP="009D2521">
      <w:pPr>
        <w:pStyle w:val="FootnoteText"/>
      </w:pPr>
      <w:r>
        <w:rPr>
          <w:rStyle w:val="FootnoteReference"/>
        </w:rPr>
        <w:footnoteRef/>
      </w:r>
      <w:r>
        <w:t xml:space="preserve"> </w:t>
      </w:r>
      <w:r w:rsidRPr="00A234D0">
        <w:t>E3 2009, GREENING WHITEGOODS, A report into the energy efficiency trends of whitegoods in Australia from 1993 to 2009</w:t>
      </w:r>
      <w:r>
        <w:rPr>
          <w:lang w:val="en-AU"/>
        </w:rPr>
        <w:t>;</w:t>
      </w:r>
      <w:r>
        <w:t xml:space="preserve"> and </w:t>
      </w:r>
      <w:r w:rsidRPr="00A234D0">
        <w:t>E3 2010, Evaluation of Energy Efficiency Policy Measures for Household Air Conditioners in Australia</w:t>
      </w:r>
    </w:p>
  </w:footnote>
  <w:footnote w:id="97">
    <w:p w14:paraId="5235D35C" w14:textId="77777777" w:rsidR="00141A3C" w:rsidRPr="00C63AE5" w:rsidRDefault="00141A3C" w:rsidP="00166D06">
      <w:pPr>
        <w:pStyle w:val="FootnoteText"/>
        <w:rPr>
          <w:lang w:val="en-AU"/>
        </w:rPr>
      </w:pPr>
      <w:r>
        <w:rPr>
          <w:rStyle w:val="FootnoteReference"/>
        </w:rPr>
        <w:footnoteRef/>
      </w:r>
      <w:r>
        <w:t xml:space="preserve"> What would have happened in the absence of the intervention (business as usual estimates)</w:t>
      </w:r>
    </w:p>
  </w:footnote>
  <w:footnote w:id="98">
    <w:p w14:paraId="75FA5A5E" w14:textId="77777777" w:rsidR="00141A3C" w:rsidRPr="00454DFA" w:rsidRDefault="00141A3C">
      <w:pPr>
        <w:pStyle w:val="FootnoteText"/>
        <w:rPr>
          <w:lang w:val="en-GB"/>
        </w:rPr>
      </w:pPr>
      <w:r>
        <w:rPr>
          <w:rStyle w:val="FootnoteReference"/>
        </w:rPr>
        <w:footnoteRef/>
      </w:r>
      <w:r>
        <w:t xml:space="preserve"> </w:t>
      </w:r>
      <w:r>
        <w:rPr>
          <w:lang w:val="en-GB"/>
        </w:rPr>
        <w:t xml:space="preserve">For example, the </w:t>
      </w:r>
      <w:r w:rsidRPr="00066834">
        <w:t>energy consumption</w:t>
      </w:r>
      <w:r>
        <w:rPr>
          <w:lang w:val="en-GB"/>
        </w:rPr>
        <w:t xml:space="preserve"> of clothes dryers</w:t>
      </w:r>
      <w:r w:rsidRPr="00066834">
        <w:t xml:space="preserve"> increased significantly from 2006-09, reportedly influenced by an increase in market share of larger capacity condenser models</w:t>
      </w:r>
      <w:r>
        <w:rPr>
          <w:lang w:val="en-GB"/>
        </w:rPr>
        <w:t>.</w:t>
      </w:r>
    </w:p>
  </w:footnote>
  <w:footnote w:id="99">
    <w:p w14:paraId="2069C235" w14:textId="77777777" w:rsidR="00141A3C" w:rsidRPr="00E973FD" w:rsidRDefault="00141A3C">
      <w:pPr>
        <w:pStyle w:val="FootnoteText"/>
        <w:rPr>
          <w:lang w:val="en-AU"/>
        </w:rPr>
      </w:pPr>
      <w:r>
        <w:rPr>
          <w:rStyle w:val="FootnoteReference"/>
        </w:rPr>
        <w:footnoteRef/>
      </w:r>
      <w:r>
        <w:t xml:space="preserve"> </w:t>
      </w:r>
      <w:r w:rsidRPr="00872116">
        <w:rPr>
          <w:rFonts w:eastAsia="Calibri" w:cs="Arial"/>
          <w:szCs w:val="18"/>
          <w:lang w:val="en-AU" w:eastAsia="en-US"/>
        </w:rPr>
        <w:t>E3 Report (2010) Evaluation of Energy Efficiency Policy Measures for Household Refrigeration in Australia – an assessment of energy savings since 1986</w:t>
      </w:r>
    </w:p>
  </w:footnote>
  <w:footnote w:id="100">
    <w:p w14:paraId="144C410D" w14:textId="77777777" w:rsidR="00141A3C" w:rsidRPr="008C03EA" w:rsidRDefault="00141A3C">
      <w:pPr>
        <w:pStyle w:val="FootnoteText"/>
        <w:rPr>
          <w:lang w:val="en-GB"/>
        </w:rPr>
      </w:pPr>
      <w:r>
        <w:rPr>
          <w:rStyle w:val="FootnoteReference"/>
        </w:rPr>
        <w:footnoteRef/>
      </w:r>
      <w:r>
        <w:t xml:space="preserve"> </w:t>
      </w:r>
      <w:r>
        <w:rPr>
          <w:lang w:val="en-GB"/>
        </w:rPr>
        <w:t xml:space="preserve">Respondents had purchased an appliance within the last six months. </w:t>
      </w:r>
    </w:p>
  </w:footnote>
  <w:footnote w:id="101">
    <w:p w14:paraId="4C684260" w14:textId="77777777" w:rsidR="00141A3C" w:rsidRPr="002A484E" w:rsidRDefault="00141A3C">
      <w:pPr>
        <w:pStyle w:val="FootnoteText"/>
        <w:rPr>
          <w:lang w:val="en-GB"/>
        </w:rPr>
      </w:pPr>
      <w:r>
        <w:rPr>
          <w:rStyle w:val="FootnoteReference"/>
        </w:rPr>
        <w:footnoteRef/>
      </w:r>
      <w:r>
        <w:t xml:space="preserve"> </w:t>
      </w:r>
      <w:r>
        <w:rPr>
          <w:lang w:val="en-GB"/>
        </w:rPr>
        <w:t xml:space="preserve">The full report is not published, however Sustainability Victoria have given permission to publish aspects of the research which are relevant to the Energy Rating Label.  </w:t>
      </w:r>
    </w:p>
  </w:footnote>
  <w:footnote w:id="102">
    <w:p w14:paraId="56C72E9F" w14:textId="77777777" w:rsidR="00141A3C" w:rsidRPr="00997283" w:rsidRDefault="00141A3C">
      <w:pPr>
        <w:pStyle w:val="FootnoteText"/>
        <w:rPr>
          <w:lang w:val="en-GB"/>
        </w:rPr>
      </w:pPr>
      <w:r>
        <w:rPr>
          <w:rStyle w:val="FootnoteReference"/>
        </w:rPr>
        <w:footnoteRef/>
      </w:r>
      <w:r>
        <w:t xml:space="preserve"> </w:t>
      </w:r>
      <w:hyperlink r:id="rId24" w:history="1">
        <w:r w:rsidRPr="00C62FBD">
          <w:rPr>
            <w:rStyle w:val="Hyperlink"/>
            <w:lang w:val="en-GB"/>
          </w:rPr>
          <w:t>Allen Consulting group (2014) Energy Rating Labels review</w:t>
        </w:r>
      </w:hyperlink>
      <w:r>
        <w:rPr>
          <w:lang w:val="en-GB"/>
        </w:rPr>
        <w:t xml:space="preserve">.  </w:t>
      </w:r>
    </w:p>
  </w:footnote>
  <w:footnote w:id="103">
    <w:p w14:paraId="32546A1F" w14:textId="77777777" w:rsidR="00141A3C" w:rsidRDefault="00141A3C" w:rsidP="00166D06">
      <w:pPr>
        <w:pStyle w:val="FootnoteText"/>
      </w:pPr>
      <w:r>
        <w:rPr>
          <w:rStyle w:val="FootnoteReference"/>
        </w:rPr>
        <w:footnoteRef/>
      </w:r>
      <w:r>
        <w:t xml:space="preserve"> </w:t>
      </w:r>
      <w:r w:rsidRPr="00842B88">
        <w:t>ECOS 2013, International Comparisons of Product Policies</w:t>
      </w:r>
    </w:p>
  </w:footnote>
  <w:footnote w:id="104">
    <w:p w14:paraId="6B77F15D" w14:textId="77777777" w:rsidR="00141A3C" w:rsidRDefault="00141A3C" w:rsidP="00166D06">
      <w:pPr>
        <w:pStyle w:val="FootnoteText"/>
      </w:pPr>
      <w:r>
        <w:rPr>
          <w:rStyle w:val="FootnoteReference"/>
        </w:rPr>
        <w:footnoteRef/>
      </w:r>
      <w:r>
        <w:t xml:space="preserve"> </w:t>
      </w:r>
      <w:r w:rsidRPr="00842B88">
        <w:t>Lawrence Berkeley National Laboratory 2012, International Review of the Development and Implementation of Energy Efficiency Standards and Labe</w:t>
      </w:r>
      <w:r>
        <w:t>l</w:t>
      </w:r>
      <w:r w:rsidRPr="00842B88">
        <w:t>ling Programs, February 2012</w:t>
      </w:r>
    </w:p>
  </w:footnote>
  <w:footnote w:id="105">
    <w:p w14:paraId="73736F46" w14:textId="77777777" w:rsidR="00141A3C" w:rsidRDefault="00141A3C" w:rsidP="005E2826">
      <w:pPr>
        <w:pStyle w:val="FootnoteText"/>
      </w:pPr>
      <w:r>
        <w:rPr>
          <w:rStyle w:val="FootnoteReference"/>
        </w:rPr>
        <w:footnoteRef/>
      </w:r>
      <w:r>
        <w:t xml:space="preserve"> With the exception of several who referred to the Impact Assessments undertaken by George Wilkenfeld</w:t>
      </w:r>
    </w:p>
  </w:footnote>
  <w:footnote w:id="106">
    <w:p w14:paraId="2E80BF40" w14:textId="77777777" w:rsidR="00141A3C" w:rsidRDefault="00141A3C" w:rsidP="005E2826">
      <w:pPr>
        <w:pStyle w:val="FootnoteText"/>
      </w:pPr>
      <w:r>
        <w:rPr>
          <w:rStyle w:val="FootnoteReference"/>
        </w:rPr>
        <w:footnoteRef/>
      </w:r>
      <w:r>
        <w:t xml:space="preserve"> </w:t>
      </w:r>
      <w:r w:rsidRPr="00842B88">
        <w:t>E3 2009, GREENING WHITEGOODS, A report into the energy efficiency trends of whitegoods in Australia from 1993 to 2009</w:t>
      </w:r>
      <w:r>
        <w:t xml:space="preserve"> and </w:t>
      </w:r>
      <w:r w:rsidRPr="00842B88">
        <w:t>E3 2010, Evaluation of Energy Efficiency Policy Measures for Household Air Conditioners in Australia, Prepared for Department of Climate Change and Energy Efficiency: Equipment Energy Efficiency Program, November 2010</w:t>
      </w:r>
    </w:p>
  </w:footnote>
  <w:footnote w:id="107">
    <w:p w14:paraId="1C35C69B" w14:textId="77777777" w:rsidR="00141A3C" w:rsidRPr="00421924" w:rsidRDefault="00141A3C">
      <w:pPr>
        <w:pStyle w:val="FootnoteText"/>
        <w:rPr>
          <w:lang w:val="en-AU"/>
        </w:rPr>
      </w:pPr>
      <w:r>
        <w:rPr>
          <w:rStyle w:val="FootnoteReference"/>
        </w:rPr>
        <w:footnoteRef/>
      </w:r>
      <w:r>
        <w:t xml:space="preserve"> US DOE Appliance &amp; Equipment Standards, History and Impacts</w:t>
      </w:r>
      <w:r>
        <w:rPr>
          <w:lang w:val="en-GB"/>
        </w:rPr>
        <w:t xml:space="preserve"> </w:t>
      </w:r>
      <w:hyperlink r:id="rId25" w:history="1">
        <w:r w:rsidRPr="007E566E">
          <w:rPr>
            <w:rStyle w:val="Hyperlink"/>
          </w:rPr>
          <w:t>http://energy.gov/eere/buildings/history-and-impacts</w:t>
        </w:r>
      </w:hyperlink>
    </w:p>
  </w:footnote>
  <w:footnote w:id="108">
    <w:p w14:paraId="5610DF4E" w14:textId="77777777" w:rsidR="00141A3C" w:rsidRPr="00FB3BE6" w:rsidRDefault="00141A3C">
      <w:pPr>
        <w:pStyle w:val="FootnoteText"/>
        <w:rPr>
          <w:lang w:val="en-GB"/>
        </w:rPr>
      </w:pPr>
      <w:r>
        <w:rPr>
          <w:rStyle w:val="FootnoteReference"/>
        </w:rPr>
        <w:footnoteRef/>
      </w:r>
      <w:r>
        <w:t xml:space="preserve"> </w:t>
      </w:r>
      <w:r>
        <w:rPr>
          <w:lang w:val="en-GB"/>
        </w:rPr>
        <w:t>Such as the Energy Efficiency Opportunities (EEO) program (now closed).</w:t>
      </w:r>
    </w:p>
  </w:footnote>
  <w:footnote w:id="109">
    <w:p w14:paraId="6053999D" w14:textId="77777777" w:rsidR="00141A3C" w:rsidRPr="00454DFA" w:rsidRDefault="00141A3C">
      <w:pPr>
        <w:pStyle w:val="FootnoteText"/>
        <w:rPr>
          <w:lang w:val="en-GB"/>
        </w:rPr>
      </w:pPr>
      <w:r>
        <w:rPr>
          <w:rStyle w:val="FootnoteReference"/>
        </w:rPr>
        <w:footnoteRef/>
      </w:r>
      <w:r>
        <w:t xml:space="preserve"> </w:t>
      </w:r>
      <w:hyperlink r:id="rId26" w:history="1">
        <w:r w:rsidRPr="00C62FBD">
          <w:rPr>
            <w:rStyle w:val="Hyperlink"/>
            <w:lang w:val="en-GB"/>
          </w:rPr>
          <w:t>Allen Consulting group (2014) Energy Rating Labels review</w:t>
        </w:r>
      </w:hyperlink>
      <w:r>
        <w:rPr>
          <w:lang w:val="en-GB"/>
        </w:rPr>
        <w:t xml:space="preserve">.  </w:t>
      </w:r>
    </w:p>
  </w:footnote>
  <w:footnote w:id="110">
    <w:p w14:paraId="0238F38E" w14:textId="77777777" w:rsidR="00141A3C" w:rsidRDefault="00141A3C" w:rsidP="00BC4B34">
      <w:pPr>
        <w:pStyle w:val="FootnoteText"/>
      </w:pPr>
      <w:r>
        <w:rPr>
          <w:rStyle w:val="FootnoteReference"/>
        </w:rPr>
        <w:footnoteRef/>
      </w:r>
      <w:r>
        <w:t xml:space="preserve"> </w:t>
      </w:r>
      <w:r w:rsidRPr="00842B88">
        <w:t>American Council for an Energy Efficient Economy, Appliance Standards: Comparing Predicted and Observed Prices, Report No. E13D, July 2013</w:t>
      </w:r>
      <w:r>
        <w:t xml:space="preserve">, </w:t>
      </w:r>
      <w:r w:rsidRPr="00842B88">
        <w:t>American Council for an Energy Efficient Economy, Better Appliances: An Analysis of Performance, Features and Price as Efficiency has Improved, Report No. A132, May 2013</w:t>
      </w:r>
      <w:r>
        <w:t xml:space="preserve"> and </w:t>
      </w:r>
      <w:r w:rsidRPr="00842B88">
        <w:t>E3 2011, Retrospective Review of the E3 Program, Lessons learnt from two reviews, March 2011</w:t>
      </w:r>
    </w:p>
  </w:footnote>
  <w:footnote w:id="111">
    <w:p w14:paraId="5DE4480E" w14:textId="77777777" w:rsidR="00141A3C" w:rsidRPr="002A1F99" w:rsidRDefault="00141A3C">
      <w:pPr>
        <w:pStyle w:val="FootnoteText"/>
        <w:rPr>
          <w:lang w:val="en-GB"/>
        </w:rPr>
      </w:pPr>
      <w:r>
        <w:rPr>
          <w:rStyle w:val="FootnoteReference"/>
        </w:rPr>
        <w:footnoteRef/>
      </w:r>
      <w:r>
        <w:t xml:space="preserve"> </w:t>
      </w:r>
      <w:hyperlink r:id="rId27" w:history="1">
        <w:r w:rsidRPr="00A25997">
          <w:rPr>
            <w:rStyle w:val="Hyperlink"/>
            <w:lang w:val="en-GB"/>
          </w:rPr>
          <w:t>OBPR R</w:t>
        </w:r>
        <w:r>
          <w:rPr>
            <w:rStyle w:val="Hyperlink"/>
            <w:lang w:val="en-GB"/>
          </w:rPr>
          <w:t xml:space="preserve">egulatory Burden Measure </w:t>
        </w:r>
        <w:r w:rsidRPr="00A25997">
          <w:rPr>
            <w:rStyle w:val="Hyperlink"/>
            <w:lang w:val="en-GB"/>
          </w:rPr>
          <w:t xml:space="preserve">Framework. </w:t>
        </w:r>
      </w:hyperlink>
      <w:r>
        <w:rPr>
          <w:lang w:val="en-GB"/>
        </w:rPr>
        <w:t xml:space="preserve"> </w:t>
      </w:r>
    </w:p>
  </w:footnote>
  <w:footnote w:id="112">
    <w:p w14:paraId="19AD2725" w14:textId="77777777" w:rsidR="00141A3C" w:rsidRPr="00145A5A" w:rsidRDefault="00141A3C" w:rsidP="00DF7285">
      <w:pPr>
        <w:spacing w:after="0"/>
        <w:rPr>
          <w:color w:val="BE78E6"/>
          <w:lang w:val="en-AU"/>
        </w:rPr>
      </w:pPr>
      <w:r w:rsidRPr="00145A5A">
        <w:rPr>
          <w:rStyle w:val="FootnoteReference"/>
          <w:color w:val="BE78E6"/>
        </w:rPr>
        <w:footnoteRef/>
      </w:r>
      <w:r w:rsidRPr="00145A5A">
        <w:rPr>
          <w:color w:val="BE78E6"/>
        </w:rPr>
        <w:t xml:space="preserve"> </w:t>
      </w:r>
      <w:r w:rsidRPr="00145A5A">
        <w:rPr>
          <w:iCs/>
          <w:color w:val="BE78E6"/>
          <w:sz w:val="18"/>
          <w:szCs w:val="18"/>
        </w:rPr>
        <w:t>Some registrations</w:t>
      </w:r>
      <w:r w:rsidRPr="00145A5A">
        <w:rPr>
          <w:color w:val="BE78E6"/>
          <w:sz w:val="18"/>
          <w:szCs w:val="18"/>
        </w:rPr>
        <w:t xml:space="preserve"> t</w:t>
      </w:r>
      <w:r w:rsidRPr="00145A5A">
        <w:rPr>
          <w:iCs/>
          <w:color w:val="BE78E6"/>
          <w:sz w:val="18"/>
          <w:szCs w:val="18"/>
        </w:rPr>
        <w:t>ransferred across from pre-GEMS state-based registration systems.</w:t>
      </w:r>
    </w:p>
  </w:footnote>
  <w:footnote w:id="113">
    <w:p w14:paraId="22C369B2" w14:textId="77777777" w:rsidR="00141A3C" w:rsidRPr="00D527D9" w:rsidRDefault="00141A3C" w:rsidP="0001628A">
      <w:pPr>
        <w:pStyle w:val="FootnoteText"/>
        <w:rPr>
          <w:lang w:val="en-GB"/>
        </w:rPr>
      </w:pPr>
      <w:r>
        <w:rPr>
          <w:rStyle w:val="FootnoteReference"/>
        </w:rPr>
        <w:footnoteRef/>
      </w:r>
      <w:r>
        <w:t xml:space="preserve"> </w:t>
      </w:r>
      <w:r w:rsidRPr="00DB0EE7">
        <w:t>Note that this data field is filled in by the GEMS registrant and is not independently verified. Note also that the GEMS Act defines ‘manufacturer’ as the person who performs, or has performed on the person’s behalf, the last process of manufacture of the product.</w:t>
      </w:r>
    </w:p>
  </w:footnote>
  <w:footnote w:id="114">
    <w:p w14:paraId="3DBA8E6E" w14:textId="77777777" w:rsidR="00141A3C" w:rsidRDefault="00141A3C" w:rsidP="00C6702F">
      <w:pPr>
        <w:pStyle w:val="FootnoteText"/>
      </w:pPr>
      <w:r>
        <w:rPr>
          <w:rStyle w:val="FootnoteReference"/>
        </w:rPr>
        <w:footnoteRef/>
      </w:r>
      <w:r>
        <w:t xml:space="preserve"> </w:t>
      </w:r>
      <w:r w:rsidRPr="00A27B50">
        <w:t>ECOS 2013, International Comparisons of Product Policies</w:t>
      </w:r>
      <w:r>
        <w:t xml:space="preserve"> and </w:t>
      </w:r>
      <w:r w:rsidRPr="00A27B50">
        <w:t>CLASP, 2014: Improving Global Comparability of Appliance Energy Efficiency Standards and Labels</w:t>
      </w:r>
    </w:p>
  </w:footnote>
  <w:footnote w:id="115">
    <w:p w14:paraId="38F6F7B7" w14:textId="77777777" w:rsidR="00141A3C" w:rsidRDefault="00141A3C" w:rsidP="00C6702F">
      <w:pPr>
        <w:pStyle w:val="FootnoteText"/>
      </w:pPr>
      <w:r>
        <w:rPr>
          <w:rStyle w:val="FootnoteReference"/>
        </w:rPr>
        <w:footnoteRef/>
      </w:r>
      <w:r>
        <w:t xml:space="preserve"> In addition: </w:t>
      </w:r>
      <w:r w:rsidRPr="00C64E5A">
        <w:t>Process &amp; Industrial Equipment</w:t>
      </w:r>
      <w:r>
        <w:t xml:space="preserve">; Commercial Catering; and </w:t>
      </w:r>
      <w:r w:rsidRPr="00C64E5A">
        <w:t>Commercial Electronics &amp; Lighting</w:t>
      </w:r>
      <w:r>
        <w:t xml:space="preserve">. </w:t>
      </w:r>
      <w:r w:rsidRPr="00A27B50">
        <w:t>GWA 2004, Coverage of Residential, Commercial and Manufacturing Sectors, prepared for the AGO</w:t>
      </w:r>
      <w:r>
        <w:t xml:space="preserve"> and </w:t>
      </w:r>
      <w:r w:rsidRPr="00A27B50">
        <w:t>GWA &amp; MEA, DRAFT WORK PLAN July 2011-June 2014, Scope, Resource Requirements and Projected Impacts, 2011-2030</w:t>
      </w:r>
    </w:p>
  </w:footnote>
  <w:footnote w:id="116">
    <w:p w14:paraId="7589F494" w14:textId="77777777" w:rsidR="00141A3C" w:rsidRPr="00983742" w:rsidRDefault="00141A3C">
      <w:pPr>
        <w:pStyle w:val="FootnoteText"/>
        <w:rPr>
          <w:lang w:val="en-GB"/>
        </w:rPr>
      </w:pPr>
      <w:r>
        <w:rPr>
          <w:rStyle w:val="FootnoteReference"/>
        </w:rPr>
        <w:footnoteRef/>
      </w:r>
      <w:r>
        <w:t xml:space="preserve"> </w:t>
      </w:r>
      <w:r>
        <w:rPr>
          <w:lang w:val="en-GB"/>
        </w:rPr>
        <w:t xml:space="preserve">New Zealand is leading development work on commercial refrigeration currently. </w:t>
      </w:r>
    </w:p>
  </w:footnote>
  <w:footnote w:id="117">
    <w:p w14:paraId="4878CE72" w14:textId="77777777" w:rsidR="00141A3C" w:rsidRDefault="00141A3C" w:rsidP="00C6702F">
      <w:pPr>
        <w:pStyle w:val="FootnoteText"/>
      </w:pPr>
      <w:r>
        <w:rPr>
          <w:rStyle w:val="FootnoteReference"/>
        </w:rPr>
        <w:footnoteRef/>
      </w:r>
      <w:r>
        <w:t xml:space="preserve"> CLASP, 2014,</w:t>
      </w:r>
      <w:r w:rsidRPr="00B035E1">
        <w:t xml:space="preserve"> Improving Global Comparability of Appliance Energy Efficiency Standards and Labels</w:t>
      </w:r>
    </w:p>
  </w:footnote>
  <w:footnote w:id="118">
    <w:p w14:paraId="5D94CED8" w14:textId="77777777" w:rsidR="00141A3C" w:rsidRPr="0006426E" w:rsidRDefault="00141A3C">
      <w:pPr>
        <w:pStyle w:val="FootnoteText"/>
        <w:rPr>
          <w:lang w:val="en-AU"/>
        </w:rPr>
      </w:pPr>
      <w:r>
        <w:rPr>
          <w:rStyle w:val="FootnoteReference"/>
        </w:rPr>
        <w:footnoteRef/>
      </w:r>
      <w:r>
        <w:t xml:space="preserve"> </w:t>
      </w:r>
      <w:r w:rsidRPr="0006426E">
        <w:t xml:space="preserve">Differences in the categorisation of products means that the </w:t>
      </w:r>
      <w:r>
        <w:t>CLASP figure</w:t>
      </w:r>
      <w:r>
        <w:rPr>
          <w:lang w:val="en-AU"/>
        </w:rPr>
        <w:t>s</w:t>
      </w:r>
      <w:r>
        <w:t xml:space="preserve"> differ from the D</w:t>
      </w:r>
      <w:r>
        <w:rPr>
          <w:lang w:val="en-AU"/>
        </w:rPr>
        <w:t>oIS</w:t>
      </w:r>
      <w:r>
        <w:t xml:space="preserve"> figures. </w:t>
      </w:r>
      <w:r>
        <w:rPr>
          <w:lang w:val="en-AU"/>
        </w:rPr>
        <w:t>Nonetheless</w:t>
      </w:r>
      <w:r w:rsidRPr="0006426E">
        <w:t>, it provides an indication Australia's situation relative to other countries.</w:t>
      </w:r>
    </w:p>
  </w:footnote>
  <w:footnote w:id="119">
    <w:p w14:paraId="30D00FBC" w14:textId="77777777" w:rsidR="00141A3C" w:rsidRDefault="00141A3C" w:rsidP="00C6702F">
      <w:pPr>
        <w:pStyle w:val="FootnoteText"/>
      </w:pPr>
      <w:r>
        <w:rPr>
          <w:rStyle w:val="FootnoteReference"/>
        </w:rPr>
        <w:footnoteRef/>
      </w:r>
      <w:r>
        <w:t xml:space="preserve"> </w:t>
      </w:r>
      <w:r w:rsidRPr="00BE6CA6">
        <w:t>CLASP, 2014: Improving Global Comparability of Appliance Energy Efficiency Standards and Labels</w:t>
      </w:r>
    </w:p>
  </w:footnote>
  <w:footnote w:id="120">
    <w:p w14:paraId="38F85BEA" w14:textId="77777777" w:rsidR="00141A3C" w:rsidRPr="00983742" w:rsidRDefault="00141A3C" w:rsidP="00F63619">
      <w:pPr>
        <w:pStyle w:val="FootnoteText"/>
        <w:rPr>
          <w:lang w:val="en-GB"/>
        </w:rPr>
      </w:pPr>
      <w:r>
        <w:rPr>
          <w:rStyle w:val="FootnoteReference"/>
        </w:rPr>
        <w:footnoteRef/>
      </w:r>
      <w:r>
        <w:t xml:space="preserve"> </w:t>
      </w:r>
      <w:r>
        <w:rPr>
          <w:lang w:val="en-GB"/>
        </w:rPr>
        <w:t>Note – whilst there are methodological issues with the evidence base, several different evidence sources support the conclusion which provides a good level of confidence in the savings.  Furthermore, t</w:t>
      </w:r>
      <w:r>
        <w:t xml:space="preserve">he model to measure achievements of the program is </w:t>
      </w:r>
      <w:r>
        <w:rPr>
          <w:lang w:val="en-GB"/>
        </w:rPr>
        <w:t xml:space="preserve">also being strengthened, which will add more rigour to the assessment in future. </w:t>
      </w:r>
    </w:p>
  </w:footnote>
  <w:footnote w:id="121">
    <w:p w14:paraId="2AEAF7D3" w14:textId="77777777" w:rsidR="00141A3C" w:rsidRDefault="00141A3C" w:rsidP="00882DA9">
      <w:pPr>
        <w:pStyle w:val="FootnoteText"/>
      </w:pPr>
      <w:r>
        <w:rPr>
          <w:rStyle w:val="FootnoteReference"/>
        </w:rPr>
        <w:footnoteRef/>
      </w:r>
      <w:r>
        <w:t xml:space="preserve"> </w:t>
      </w:r>
      <w:r>
        <w:rPr>
          <w:lang w:val="en-AU"/>
        </w:rPr>
        <w:t>Before</w:t>
      </w:r>
      <w:r w:rsidRPr="00334E2E">
        <w:t xml:space="preserve"> 2012</w:t>
      </w:r>
      <w:r>
        <w:rPr>
          <w:lang w:val="en-AU"/>
        </w:rPr>
        <w:t>, the program managed</w:t>
      </w:r>
      <w:r w:rsidRPr="00334E2E">
        <w:t xml:space="preserve"> by accessing this type of data from other sources.</w:t>
      </w:r>
    </w:p>
  </w:footnote>
  <w:footnote w:id="122">
    <w:p w14:paraId="13322F00" w14:textId="77777777" w:rsidR="00141A3C" w:rsidRPr="00243E2E" w:rsidRDefault="00141A3C" w:rsidP="00243E2E">
      <w:pPr>
        <w:spacing w:after="0" w:line="240" w:lineRule="auto"/>
        <w:rPr>
          <w:rFonts w:eastAsia="Calibri"/>
          <w:sz w:val="18"/>
          <w:szCs w:val="18"/>
          <w:lang w:val="en-AU" w:eastAsia="en-US"/>
        </w:rPr>
      </w:pPr>
      <w:r>
        <w:rPr>
          <w:rStyle w:val="FootnoteReference"/>
        </w:rPr>
        <w:footnoteRef/>
      </w:r>
      <w:r>
        <w:t xml:space="preserve"> </w:t>
      </w:r>
      <w:hyperlink r:id="rId28" w:history="1">
        <w:r w:rsidRPr="00243E2E">
          <w:rPr>
            <w:rFonts w:eastAsia="Calibri"/>
            <w:color w:val="0000FF"/>
            <w:sz w:val="18"/>
            <w:szCs w:val="18"/>
            <w:u w:val="single"/>
            <w:lang w:val="en-AU" w:eastAsia="en-US"/>
          </w:rPr>
          <w:t>https://www.coag.gov.au/node/516</w:t>
        </w:r>
      </w:hyperlink>
    </w:p>
  </w:footnote>
  <w:footnote w:id="123">
    <w:p w14:paraId="0741C235" w14:textId="77777777" w:rsidR="00141A3C" w:rsidRPr="00537095" w:rsidRDefault="00141A3C">
      <w:pPr>
        <w:pStyle w:val="FootnoteText"/>
        <w:rPr>
          <w:lang w:val="en-AU"/>
        </w:rPr>
      </w:pPr>
      <w:r>
        <w:rPr>
          <w:rStyle w:val="FootnoteReference"/>
        </w:rPr>
        <w:footnoteRef/>
      </w:r>
      <w:r>
        <w:t xml:space="preserve"> </w:t>
      </w:r>
      <w:r>
        <w:rPr>
          <w:lang w:val="en-AU"/>
        </w:rPr>
        <w:t>See further discussion at Section 7.3.1.2</w:t>
      </w:r>
    </w:p>
  </w:footnote>
  <w:footnote w:id="124">
    <w:p w14:paraId="00C42F5E" w14:textId="77777777" w:rsidR="00141A3C" w:rsidRPr="00F54A80" w:rsidRDefault="00141A3C">
      <w:pPr>
        <w:pStyle w:val="FootnoteText"/>
        <w:rPr>
          <w:lang w:val="en-GB"/>
        </w:rPr>
      </w:pPr>
      <w:r>
        <w:rPr>
          <w:rStyle w:val="FootnoteReference"/>
        </w:rPr>
        <w:footnoteRef/>
      </w:r>
      <w:r>
        <w:t xml:space="preserve"> </w:t>
      </w:r>
      <w:hyperlink r:id="rId29" w:history="1">
        <w:r w:rsidRPr="00F54A80">
          <w:rPr>
            <w:rStyle w:val="Hyperlink"/>
            <w:lang w:val="en-GB"/>
          </w:rPr>
          <w:t>Greenhouse and Energy Minimum Standards Bill 2012 Explanatory Memorandum</w:t>
        </w:r>
      </w:hyperlink>
      <w:r>
        <w:rPr>
          <w:lang w:val="en-GB"/>
        </w:rPr>
        <w:t xml:space="preserve">. </w:t>
      </w:r>
    </w:p>
  </w:footnote>
  <w:footnote w:id="125">
    <w:p w14:paraId="0159E0E6" w14:textId="77777777" w:rsidR="00141A3C" w:rsidRPr="009C37B6" w:rsidRDefault="00141A3C">
      <w:pPr>
        <w:pStyle w:val="FootnoteText"/>
        <w:rPr>
          <w:lang w:val="en-GB"/>
        </w:rPr>
      </w:pPr>
      <w:r>
        <w:rPr>
          <w:rStyle w:val="FootnoteReference"/>
        </w:rPr>
        <w:footnoteRef/>
      </w:r>
      <w:r>
        <w:t xml:space="preserve"> </w:t>
      </w:r>
      <w:r>
        <w:rPr>
          <w:lang w:val="en-GB"/>
        </w:rPr>
        <w:t xml:space="preserve">Several Government and energy expert stakeholders noted that it was relatively early days. </w:t>
      </w:r>
    </w:p>
  </w:footnote>
  <w:footnote w:id="126">
    <w:p w14:paraId="7015906C" w14:textId="77777777" w:rsidR="00141A3C" w:rsidRPr="00997283" w:rsidRDefault="00141A3C">
      <w:pPr>
        <w:pStyle w:val="FootnoteText"/>
        <w:rPr>
          <w:lang w:val="en-GB"/>
        </w:rPr>
      </w:pPr>
      <w:r>
        <w:rPr>
          <w:rStyle w:val="FootnoteReference"/>
        </w:rPr>
        <w:footnoteRef/>
      </w:r>
      <w:r>
        <w:t xml:space="preserve"> </w:t>
      </w:r>
      <w:r w:rsidRPr="00D7221A">
        <w:t xml:space="preserve">A detailed assessment of the regulations by clause is provided in the </w:t>
      </w:r>
      <w:r>
        <w:rPr>
          <w:lang w:val="en-AU"/>
        </w:rPr>
        <w:t>A</w:t>
      </w:r>
      <w:r w:rsidRPr="00D7221A">
        <w:t xml:space="preserve">ppendix.  </w:t>
      </w:r>
    </w:p>
  </w:footnote>
  <w:footnote w:id="127">
    <w:p w14:paraId="065285C5" w14:textId="77777777" w:rsidR="00141A3C" w:rsidRDefault="00141A3C" w:rsidP="000603D1">
      <w:pPr>
        <w:pStyle w:val="FootnoteText"/>
      </w:pPr>
      <w:r>
        <w:rPr>
          <w:rStyle w:val="FootnoteReference"/>
        </w:rPr>
        <w:footnoteRef/>
      </w:r>
      <w:r>
        <w:t xml:space="preserve"> ECOS 2013, International Comparisons of Product Policies.</w:t>
      </w:r>
    </w:p>
  </w:footnote>
  <w:footnote w:id="128">
    <w:p w14:paraId="26E28B8B" w14:textId="77777777" w:rsidR="00141A3C" w:rsidRPr="00997283" w:rsidRDefault="00141A3C">
      <w:pPr>
        <w:pStyle w:val="FootnoteText"/>
        <w:rPr>
          <w:lang w:val="en-GB"/>
        </w:rPr>
      </w:pPr>
      <w:r>
        <w:rPr>
          <w:rStyle w:val="FootnoteReference"/>
        </w:rPr>
        <w:footnoteRef/>
      </w:r>
      <w:r>
        <w:t xml:space="preserve"> </w:t>
      </w:r>
      <w:r>
        <w:rPr>
          <w:lang w:val="en-GB"/>
        </w:rPr>
        <w:t>T</w:t>
      </w:r>
      <w:r w:rsidRPr="00610D9F">
        <w:t>he determinations proces</w:t>
      </w:r>
      <w:r>
        <w:t xml:space="preserve">s is explained in the </w:t>
      </w:r>
      <w:r>
        <w:rPr>
          <w:lang w:val="en-AU"/>
        </w:rPr>
        <w:t>A</w:t>
      </w:r>
      <w:r>
        <w:t>ppendix</w:t>
      </w:r>
      <w:r>
        <w:rPr>
          <w:lang w:val="en-AU"/>
        </w:rPr>
        <w:t xml:space="preserve"> under </w:t>
      </w:r>
      <w:r w:rsidRPr="00610D9F">
        <w:t>Operation of the Equipment Energy Efficiency Program (E3)</w:t>
      </w:r>
      <w:r>
        <w:rPr>
          <w:lang w:val="en-GB"/>
        </w:rPr>
        <w:t>.</w:t>
      </w:r>
    </w:p>
  </w:footnote>
  <w:footnote w:id="129">
    <w:p w14:paraId="5C101714" w14:textId="77777777" w:rsidR="00141A3C" w:rsidRDefault="00141A3C" w:rsidP="000603D1">
      <w:pPr>
        <w:pStyle w:val="FootnoteText"/>
      </w:pPr>
      <w:r>
        <w:rPr>
          <w:rStyle w:val="FootnoteReference"/>
        </w:rPr>
        <w:footnoteRef/>
      </w:r>
      <w:r>
        <w:t xml:space="preserve"> Including </w:t>
      </w:r>
      <w:r>
        <w:rPr>
          <w:lang w:val="en-GB"/>
        </w:rPr>
        <w:t xml:space="preserve">product profiles, </w:t>
      </w:r>
      <w:r>
        <w:t>risk assessment, cost benefit analysis, stakeholder consultation.</w:t>
      </w:r>
    </w:p>
  </w:footnote>
  <w:footnote w:id="130">
    <w:p w14:paraId="70525452" w14:textId="77777777" w:rsidR="00141A3C" w:rsidRDefault="00141A3C" w:rsidP="000603D1">
      <w:pPr>
        <w:pStyle w:val="FootnoteText"/>
      </w:pPr>
      <w:r>
        <w:rPr>
          <w:rStyle w:val="FootnoteReference"/>
        </w:rPr>
        <w:footnoteRef/>
      </w:r>
      <w:r>
        <w:t xml:space="preserve"> ECOS 2013, International Comparisons of Product Policies.</w:t>
      </w:r>
    </w:p>
  </w:footnote>
  <w:footnote w:id="131">
    <w:p w14:paraId="2179C9DF" w14:textId="77777777" w:rsidR="00141A3C" w:rsidRDefault="00141A3C" w:rsidP="000603D1">
      <w:pPr>
        <w:pStyle w:val="FootnoteText"/>
      </w:pPr>
      <w:r>
        <w:rPr>
          <w:rStyle w:val="FootnoteReference"/>
        </w:rPr>
        <w:footnoteRef/>
      </w:r>
      <w:r>
        <w:t xml:space="preserve"> ECOS 2013, International Comparisons of Product Policies.</w:t>
      </w:r>
    </w:p>
  </w:footnote>
  <w:footnote w:id="132">
    <w:p w14:paraId="5842420F" w14:textId="77777777" w:rsidR="00141A3C" w:rsidRPr="00C3272A" w:rsidRDefault="00141A3C">
      <w:pPr>
        <w:pStyle w:val="FootnoteText"/>
        <w:rPr>
          <w:lang w:val="en-GB"/>
        </w:rPr>
      </w:pPr>
      <w:r>
        <w:rPr>
          <w:rStyle w:val="FootnoteReference"/>
        </w:rPr>
        <w:footnoteRef/>
      </w:r>
      <w:r>
        <w:t xml:space="preserve"> </w:t>
      </w:r>
      <w:r>
        <w:rPr>
          <w:lang w:val="en-GB"/>
        </w:rPr>
        <w:t>Note that t</w:t>
      </w:r>
      <w:r w:rsidRPr="00C3272A">
        <w:rPr>
          <w:lang w:val="en-GB"/>
        </w:rPr>
        <w:t xml:space="preserve">he market monitoring powers – requiring companies to provide sales data - have not been used by the GEMS Regulator and are not </w:t>
      </w:r>
      <w:r>
        <w:rPr>
          <w:lang w:val="en-GB"/>
        </w:rPr>
        <w:t>planned to be used</w:t>
      </w:r>
      <w:r w:rsidRPr="00C3272A">
        <w:rPr>
          <w:lang w:val="en-GB"/>
        </w:rPr>
        <w:t>.</w:t>
      </w:r>
    </w:p>
  </w:footnote>
  <w:footnote w:id="133">
    <w:p w14:paraId="00ED0F52" w14:textId="77777777" w:rsidR="00141A3C" w:rsidRPr="002A1F99" w:rsidRDefault="00141A3C">
      <w:pPr>
        <w:pStyle w:val="FootnoteText"/>
        <w:rPr>
          <w:lang w:val="en-GB"/>
        </w:rPr>
      </w:pPr>
      <w:r>
        <w:rPr>
          <w:rStyle w:val="FootnoteReference"/>
        </w:rPr>
        <w:footnoteRef/>
      </w:r>
      <w:r>
        <w:t xml:space="preserve"> </w:t>
      </w:r>
      <w:r>
        <w:rPr>
          <w:lang w:val="en-GB"/>
        </w:rPr>
        <w:t xml:space="preserve">CLASP (2005) Energy Efficiency Standards and Labelling handbook. </w:t>
      </w:r>
    </w:p>
  </w:footnote>
  <w:footnote w:id="134">
    <w:p w14:paraId="21717669" w14:textId="77777777" w:rsidR="00141A3C" w:rsidRDefault="00141A3C" w:rsidP="00F36D6D">
      <w:pPr>
        <w:pStyle w:val="FootnoteText"/>
      </w:pPr>
      <w:r>
        <w:rPr>
          <w:rStyle w:val="FootnoteReference"/>
        </w:rPr>
        <w:footnoteRef/>
      </w:r>
      <w:r>
        <w:t xml:space="preserve"> </w:t>
      </w:r>
      <w:r>
        <w:rPr>
          <w:lang w:val="en-AU"/>
        </w:rPr>
        <w:t>Before</w:t>
      </w:r>
      <w:r w:rsidRPr="00334E2E">
        <w:t xml:space="preserve"> 2012</w:t>
      </w:r>
      <w:r>
        <w:rPr>
          <w:lang w:val="en-AU"/>
        </w:rPr>
        <w:t>, the program managed</w:t>
      </w:r>
      <w:r w:rsidRPr="00334E2E">
        <w:t xml:space="preserve"> by accessing this type of data from other sources.</w:t>
      </w:r>
    </w:p>
  </w:footnote>
  <w:footnote w:id="135">
    <w:p w14:paraId="18D867C6" w14:textId="77777777" w:rsidR="00141A3C" w:rsidRPr="005D23A0" w:rsidRDefault="00141A3C">
      <w:pPr>
        <w:pStyle w:val="FootnoteText"/>
        <w:rPr>
          <w:lang w:val="en-GB"/>
        </w:rPr>
      </w:pPr>
      <w:r>
        <w:rPr>
          <w:rStyle w:val="FootnoteReference"/>
        </w:rPr>
        <w:footnoteRef/>
      </w:r>
      <w:r>
        <w:t xml:space="preserve"> </w:t>
      </w:r>
      <w:r>
        <w:rPr>
          <w:lang w:val="en-GB"/>
        </w:rPr>
        <w:t xml:space="preserve">To occur it does require the agreement of all participating jurisdictions. </w:t>
      </w:r>
    </w:p>
  </w:footnote>
  <w:footnote w:id="136">
    <w:p w14:paraId="4111DCCD" w14:textId="77777777" w:rsidR="00141A3C" w:rsidRPr="00807EFB" w:rsidRDefault="00141A3C">
      <w:pPr>
        <w:pStyle w:val="FootnoteText"/>
        <w:rPr>
          <w:lang w:val="en-AU"/>
        </w:rPr>
      </w:pPr>
      <w:r>
        <w:rPr>
          <w:rStyle w:val="FootnoteReference"/>
        </w:rPr>
        <w:footnoteRef/>
      </w:r>
      <w:r>
        <w:t xml:space="preserve"> </w:t>
      </w:r>
      <w:r w:rsidRPr="00807EFB">
        <w:t xml:space="preserve">Calculated using total annualised registration costs (DoIS OBPR Regulatory Burden Measure Framework estimate), and assuming that extensions would be appropriate for less than 10% of registered products (i.e. products which are likely to be on the market for more than 5 years).  </w:t>
      </w:r>
    </w:p>
  </w:footnote>
  <w:footnote w:id="137">
    <w:p w14:paraId="655079B4" w14:textId="77777777" w:rsidR="00141A3C" w:rsidRDefault="00141A3C" w:rsidP="00832A48">
      <w:pPr>
        <w:pStyle w:val="FootnoteText"/>
      </w:pPr>
      <w:r>
        <w:rPr>
          <w:rStyle w:val="FootnoteReference"/>
        </w:rPr>
        <w:footnoteRef/>
      </w:r>
      <w:r>
        <w:t xml:space="preserve"> This estimate includes costs of registration and the administrative burden on industry to register products. </w:t>
      </w:r>
    </w:p>
  </w:footnote>
  <w:footnote w:id="138">
    <w:p w14:paraId="5B59CCA6" w14:textId="77777777" w:rsidR="00141A3C" w:rsidRDefault="00141A3C" w:rsidP="00832A48">
      <w:pPr>
        <w:pStyle w:val="FootnoteText"/>
      </w:pPr>
      <w:r>
        <w:rPr>
          <w:rStyle w:val="FootnoteReference"/>
        </w:rPr>
        <w:footnoteRef/>
      </w:r>
      <w:r>
        <w:t xml:space="preserve"> Of the Greenhouse and Energy Minimum Standards (Registration Fees) Act 2012.</w:t>
      </w:r>
    </w:p>
  </w:footnote>
  <w:footnote w:id="139">
    <w:p w14:paraId="1F0CE97A" w14:textId="77777777" w:rsidR="00141A3C" w:rsidRPr="00997283" w:rsidRDefault="00141A3C">
      <w:pPr>
        <w:pStyle w:val="FootnoteText"/>
        <w:rPr>
          <w:lang w:val="en-GB"/>
        </w:rPr>
      </w:pPr>
      <w:r>
        <w:rPr>
          <w:rStyle w:val="FootnoteReference"/>
        </w:rPr>
        <w:footnoteRef/>
      </w:r>
      <w:r>
        <w:t xml:space="preserve"> </w:t>
      </w:r>
      <w:r>
        <w:rPr>
          <w:lang w:val="en-GB"/>
        </w:rPr>
        <w:t xml:space="preserve">Such as the US and EU schemes.  </w:t>
      </w:r>
    </w:p>
  </w:footnote>
  <w:footnote w:id="140">
    <w:p w14:paraId="4D65B9BF" w14:textId="77777777" w:rsidR="00141A3C" w:rsidRDefault="00141A3C" w:rsidP="00832A48">
      <w:pPr>
        <w:pStyle w:val="FootnoteText"/>
      </w:pPr>
      <w:r>
        <w:rPr>
          <w:rStyle w:val="FootnoteReference"/>
        </w:rPr>
        <w:footnoteRef/>
      </w:r>
      <w:r>
        <w:t xml:space="preserve"> For example, the fans industry have requested regulation and for it to be implemented as soon as possible. </w:t>
      </w:r>
    </w:p>
  </w:footnote>
  <w:footnote w:id="141">
    <w:p w14:paraId="5293B8B7" w14:textId="77777777" w:rsidR="00141A3C" w:rsidRDefault="00141A3C" w:rsidP="00832A48">
      <w:pPr>
        <w:pStyle w:val="FootnoteText"/>
      </w:pPr>
      <w:r>
        <w:rPr>
          <w:rStyle w:val="FootnoteReference"/>
        </w:rPr>
        <w:footnoteRef/>
      </w:r>
      <w:r>
        <w:t xml:space="preserve"> I.e. at the product profile and consultation RIS stages.  International schemes also have ‘fast ‘and ‘slow’ track processes. </w:t>
      </w:r>
    </w:p>
  </w:footnote>
  <w:footnote w:id="142">
    <w:p w14:paraId="082226A4" w14:textId="77777777" w:rsidR="00141A3C" w:rsidRDefault="00141A3C" w:rsidP="00643682">
      <w:pPr>
        <w:rPr>
          <w:color w:val="1F497D"/>
        </w:rPr>
      </w:pPr>
      <w:r>
        <w:rPr>
          <w:rStyle w:val="FootnoteReference"/>
        </w:rPr>
        <w:footnoteRef/>
      </w:r>
      <w:r>
        <w:t xml:space="preserve"> </w:t>
      </w:r>
      <w:hyperlink r:id="rId30" w:history="1">
        <w:r w:rsidRPr="00643682">
          <w:rPr>
            <w:color w:val="BE78E6"/>
            <w:sz w:val="18"/>
            <w:lang w:val="x-none" w:eastAsia="x-none"/>
          </w:rPr>
          <w:t>http://www.environment.gov.au/protection/ozone/legislation</w:t>
        </w:r>
      </w:hyperlink>
    </w:p>
    <w:p w14:paraId="2131131C" w14:textId="77777777" w:rsidR="00141A3C" w:rsidRPr="00643682" w:rsidRDefault="00141A3C">
      <w:pPr>
        <w:pStyle w:val="FootnoteText"/>
        <w:rPr>
          <w:lang w:val="en-AU"/>
        </w:rPr>
      </w:pPr>
    </w:p>
  </w:footnote>
  <w:footnote w:id="143">
    <w:p w14:paraId="72B6CF1E" w14:textId="77777777" w:rsidR="00141A3C" w:rsidRPr="00BA7476" w:rsidRDefault="00141A3C" w:rsidP="00BA7476">
      <w:pPr>
        <w:spacing w:after="0"/>
      </w:pPr>
      <w:r w:rsidRPr="00BA7476">
        <w:rPr>
          <w:rStyle w:val="FootnoteReference"/>
          <w:sz w:val="18"/>
        </w:rPr>
        <w:footnoteRef/>
      </w:r>
      <w:r w:rsidRPr="00BA7476">
        <w:rPr>
          <w:sz w:val="18"/>
        </w:rPr>
        <w:t xml:space="preserve"> </w:t>
      </w:r>
      <w:hyperlink r:id="rId31" w:history="1">
        <w:r w:rsidRPr="00BA7476">
          <w:rPr>
            <w:rStyle w:val="Hyperlink"/>
            <w:sz w:val="18"/>
          </w:rPr>
          <w:t>US Appliance and Equipment Standards program rule making schedule</w:t>
        </w:r>
      </w:hyperlink>
      <w:r w:rsidRPr="00BA7476">
        <w:rPr>
          <w:sz w:val="18"/>
        </w:rPr>
        <w:t xml:space="preserve">. </w:t>
      </w:r>
    </w:p>
  </w:footnote>
  <w:footnote w:id="144">
    <w:p w14:paraId="6A34A9B5" w14:textId="77777777" w:rsidR="00141A3C" w:rsidRPr="00BA7476" w:rsidRDefault="00141A3C">
      <w:pPr>
        <w:pStyle w:val="FootnoteText"/>
        <w:rPr>
          <w:lang w:val="en-GB"/>
        </w:rPr>
      </w:pPr>
      <w:r>
        <w:rPr>
          <w:rStyle w:val="FootnoteReference"/>
        </w:rPr>
        <w:footnoteRef/>
      </w:r>
      <w:r>
        <w:t xml:space="preserve"> </w:t>
      </w:r>
      <w:hyperlink r:id="rId32" w:history="1">
        <w:r w:rsidRPr="00BA7476">
          <w:rPr>
            <w:rStyle w:val="Hyperlink"/>
            <w:lang w:val="en-GB"/>
          </w:rPr>
          <w:t xml:space="preserve">EU Ecodesign Directive </w:t>
        </w:r>
        <w:r>
          <w:rPr>
            <w:rStyle w:val="Hyperlink"/>
            <w:lang w:val="en-GB"/>
          </w:rPr>
          <w:t xml:space="preserve">study to establish the  2015-17 </w:t>
        </w:r>
        <w:r w:rsidRPr="00BA7476">
          <w:rPr>
            <w:rStyle w:val="Hyperlink"/>
            <w:lang w:val="en-GB"/>
          </w:rPr>
          <w:t>Work Plan</w:t>
        </w:r>
      </w:hyperlink>
      <w:r>
        <w:rPr>
          <w:lang w:val="en-GB"/>
        </w:rPr>
        <w:t xml:space="preserve">. </w:t>
      </w:r>
    </w:p>
  </w:footnote>
  <w:footnote w:id="145">
    <w:p w14:paraId="015F6FAE" w14:textId="77777777" w:rsidR="00141A3C" w:rsidRDefault="00141A3C" w:rsidP="003604F5">
      <w:pPr>
        <w:pStyle w:val="FootnoteText"/>
      </w:pPr>
      <w:r>
        <w:rPr>
          <w:rStyle w:val="FootnoteReference"/>
        </w:rPr>
        <w:footnoteRef/>
      </w:r>
      <w:r>
        <w:t xml:space="preserve"> </w:t>
      </w:r>
      <w:r w:rsidRPr="00645273">
        <w:rPr>
          <w:rFonts w:cs="Calibri"/>
          <w:szCs w:val="18"/>
        </w:rPr>
        <w:t xml:space="preserve">Lawrence Berkeley National Laboratory 2012, </w:t>
      </w:r>
      <w:r w:rsidRPr="00645273">
        <w:rPr>
          <w:rFonts w:cs="Calibri"/>
          <w:bCs/>
          <w:szCs w:val="18"/>
        </w:rPr>
        <w:t xml:space="preserve">International Review of the Development and Implementation </w:t>
      </w:r>
      <w:r w:rsidRPr="00645273">
        <w:rPr>
          <w:szCs w:val="18"/>
        </w:rPr>
        <w:t>of Energy Efficiency Standards and Label</w:t>
      </w:r>
      <w:r>
        <w:rPr>
          <w:szCs w:val="18"/>
        </w:rPr>
        <w:t>l</w:t>
      </w:r>
      <w:r w:rsidRPr="00645273">
        <w:rPr>
          <w:szCs w:val="18"/>
        </w:rPr>
        <w:t>ing Programs, February 2012</w:t>
      </w:r>
    </w:p>
  </w:footnote>
  <w:footnote w:id="146">
    <w:p w14:paraId="454C2167" w14:textId="77777777" w:rsidR="00141A3C" w:rsidRDefault="00141A3C" w:rsidP="00861F6D">
      <w:pPr>
        <w:pStyle w:val="FootnoteText"/>
      </w:pPr>
      <w:r>
        <w:rPr>
          <w:rStyle w:val="FootnoteReference"/>
        </w:rPr>
        <w:footnoteRef/>
      </w:r>
      <w:r>
        <w:t xml:space="preserve"> </w:t>
      </w:r>
      <w:r w:rsidRPr="00645273">
        <w:rPr>
          <w:szCs w:val="18"/>
          <w:lang w:val="en-US" w:eastAsia="en-US"/>
        </w:rPr>
        <w:t xml:space="preserve">ECOS 2013, International </w:t>
      </w:r>
      <w:r w:rsidRPr="00645273">
        <w:rPr>
          <w:szCs w:val="18"/>
        </w:rPr>
        <w:t>Comparisons of Product Policies</w:t>
      </w:r>
    </w:p>
  </w:footnote>
  <w:footnote w:id="147">
    <w:p w14:paraId="14AA594B" w14:textId="77777777" w:rsidR="00141A3C" w:rsidRPr="00997283" w:rsidRDefault="00141A3C">
      <w:pPr>
        <w:pStyle w:val="FootnoteText"/>
        <w:rPr>
          <w:lang w:val="en-GB"/>
        </w:rPr>
      </w:pPr>
      <w:r>
        <w:rPr>
          <w:rStyle w:val="FootnoteReference"/>
        </w:rPr>
        <w:footnoteRef/>
      </w:r>
      <w:r>
        <w:t xml:space="preserve"> </w:t>
      </w:r>
      <w:r>
        <w:rPr>
          <w:lang w:val="en-GB"/>
        </w:rPr>
        <w:t>W</w:t>
      </w:r>
      <w:r w:rsidRPr="008F5751">
        <w:t>hich is costly and time consuming and arguably less worthwhile as there is not a major manufacturing base in Australia and most products are imported</w:t>
      </w:r>
      <w:r>
        <w:rPr>
          <w:lang w:val="en-GB"/>
        </w:rPr>
        <w:t>.</w:t>
      </w:r>
    </w:p>
  </w:footnote>
  <w:footnote w:id="148">
    <w:p w14:paraId="66304E43" w14:textId="77777777" w:rsidR="00141A3C" w:rsidRDefault="00141A3C" w:rsidP="00861F6D">
      <w:pPr>
        <w:pStyle w:val="FootnoteText"/>
      </w:pPr>
      <w:r>
        <w:rPr>
          <w:rStyle w:val="FootnoteReference"/>
        </w:rPr>
        <w:footnoteRef/>
      </w:r>
      <w:r>
        <w:t xml:space="preserve"> </w:t>
      </w:r>
      <w:r w:rsidRPr="00645273">
        <w:rPr>
          <w:szCs w:val="18"/>
          <w:lang w:val="en-US" w:eastAsia="en-US"/>
        </w:rPr>
        <w:t>Comparison of Australian and US Cost-Benefit Approaches to MEPS Environmental Energy Technologies Division Lawrence Berkeley National Laboratory (LBNL) Berkeley, California, USA</w:t>
      </w:r>
    </w:p>
  </w:footnote>
  <w:footnote w:id="149">
    <w:p w14:paraId="66374D22" w14:textId="77777777" w:rsidR="00141A3C" w:rsidRDefault="00141A3C" w:rsidP="00861F6D">
      <w:pPr>
        <w:pStyle w:val="FootnoteText"/>
      </w:pPr>
      <w:r>
        <w:rPr>
          <w:rStyle w:val="FootnoteReference"/>
        </w:rPr>
        <w:footnoteRef/>
      </w:r>
      <w:r>
        <w:t xml:space="preserve"> Note that although the review was conducted on the program prior to GEMS, there have been no significant changes that would reduce the impact of the RIS process. A number of small improvements were recommended, but these were not expected to produce a dramatic impact on the results of the process. </w:t>
      </w:r>
    </w:p>
  </w:footnote>
  <w:footnote w:id="150">
    <w:p w14:paraId="729707A9" w14:textId="77777777" w:rsidR="00141A3C" w:rsidRDefault="00141A3C" w:rsidP="00861F6D">
      <w:pPr>
        <w:pStyle w:val="FootnoteText"/>
      </w:pPr>
      <w:r>
        <w:rPr>
          <w:rStyle w:val="FootnoteReference"/>
        </w:rPr>
        <w:footnoteRef/>
      </w:r>
      <w:r>
        <w:t xml:space="preserve"> </w:t>
      </w:r>
      <w:r w:rsidRPr="00645273">
        <w:rPr>
          <w:szCs w:val="18"/>
          <w:lang w:val="en-US" w:eastAsia="en-US"/>
        </w:rPr>
        <w:t>Comparison of Australian and US Cost-Benefit Approaches to MEPS Environmental Energy Technologies Division Lawrence Berkeley National Laboratory (LBNL) Berkeley, California, USA</w:t>
      </w:r>
    </w:p>
  </w:footnote>
  <w:footnote w:id="151">
    <w:p w14:paraId="270DD755" w14:textId="77777777" w:rsidR="00141A3C" w:rsidRPr="00BC3335" w:rsidRDefault="00141A3C">
      <w:pPr>
        <w:pStyle w:val="FootnoteText"/>
        <w:rPr>
          <w:lang w:val="en-GB"/>
        </w:rPr>
      </w:pPr>
      <w:r>
        <w:rPr>
          <w:rStyle w:val="FootnoteReference"/>
        </w:rPr>
        <w:footnoteRef/>
      </w:r>
      <w:r>
        <w:t xml:space="preserve"> This included RISs for computers and monitors, gas water heaters and phase out of greenhouse intensive water heaters</w:t>
      </w:r>
      <w:r>
        <w:rPr>
          <w:lang w:val="en-GB"/>
        </w:rPr>
        <w:t>.</w:t>
      </w:r>
    </w:p>
  </w:footnote>
  <w:footnote w:id="152">
    <w:p w14:paraId="590A91F2" w14:textId="77777777" w:rsidR="00141A3C" w:rsidRPr="00997283" w:rsidRDefault="00141A3C">
      <w:pPr>
        <w:pStyle w:val="FootnoteText"/>
        <w:rPr>
          <w:lang w:val="en-GB"/>
        </w:rPr>
      </w:pPr>
      <w:r>
        <w:rPr>
          <w:rStyle w:val="FootnoteReference"/>
        </w:rPr>
        <w:footnoteRef/>
      </w:r>
      <w:r>
        <w:t xml:space="preserve"> These were identified as </w:t>
      </w:r>
      <w:r>
        <w:rPr>
          <w:lang w:val="en-GB"/>
        </w:rPr>
        <w:t xml:space="preserve">issues relating to the product profiles which inform RISs.  For example, the gas water heater RIS uses existing evidence to inform the existence and scale of market failures (e.g. tenant landlord issues), however primary evidence was not undertaken to inform the nature and scale of issues in the Australian market. </w:t>
      </w:r>
    </w:p>
  </w:footnote>
  <w:footnote w:id="153">
    <w:p w14:paraId="058DE85B" w14:textId="77777777" w:rsidR="00141A3C" w:rsidRPr="00997283" w:rsidRDefault="00141A3C">
      <w:pPr>
        <w:pStyle w:val="FootnoteText"/>
        <w:rPr>
          <w:lang w:val="en-GB"/>
        </w:rPr>
      </w:pPr>
      <w:r>
        <w:rPr>
          <w:rStyle w:val="FootnoteReference"/>
        </w:rPr>
        <w:footnoteRef/>
      </w:r>
      <w:r>
        <w:t xml:space="preserve"> </w:t>
      </w:r>
      <w:r>
        <w:rPr>
          <w:lang w:val="en-GB"/>
        </w:rPr>
        <w:t xml:space="preserve">It is worth noting that improvements are being made to the RIS process under GEMS, which may mitigate these concerns for new RISs. </w:t>
      </w:r>
    </w:p>
  </w:footnote>
  <w:footnote w:id="154">
    <w:p w14:paraId="30178CB4" w14:textId="77777777" w:rsidR="00141A3C" w:rsidRPr="00687C5D" w:rsidRDefault="00141A3C" w:rsidP="00861F6D">
      <w:pPr>
        <w:pStyle w:val="FootnoteText"/>
        <w:rPr>
          <w:lang w:val="en-AU"/>
        </w:rPr>
      </w:pPr>
      <w:r>
        <w:rPr>
          <w:rStyle w:val="FootnoteReference"/>
        </w:rPr>
        <w:footnoteRef/>
      </w:r>
      <w:r>
        <w:t xml:space="preserve"> </w:t>
      </w:r>
      <w:r w:rsidRPr="00320022">
        <w:rPr>
          <w:szCs w:val="18"/>
        </w:rPr>
        <w:t xml:space="preserve">The </w:t>
      </w:r>
      <w:r>
        <w:rPr>
          <w:lang w:val="en-AU"/>
        </w:rPr>
        <w:t>Consumer Advocacy Panel was superseded by Energy Consumers Australia in January 2015.</w:t>
      </w:r>
    </w:p>
  </w:footnote>
  <w:footnote w:id="155">
    <w:p w14:paraId="127D9E39" w14:textId="77777777" w:rsidR="00141A3C" w:rsidRDefault="00141A3C" w:rsidP="00861F6D">
      <w:pPr>
        <w:pStyle w:val="FootnoteText"/>
      </w:pPr>
      <w:r>
        <w:rPr>
          <w:rStyle w:val="FootnoteReference"/>
        </w:rPr>
        <w:footnoteRef/>
      </w:r>
      <w:r>
        <w:t xml:space="preserve"> </w:t>
      </w:r>
      <w:r w:rsidRPr="00645273">
        <w:rPr>
          <w:szCs w:val="18"/>
          <w:lang w:val="en-US" w:eastAsia="en-US"/>
        </w:rPr>
        <w:t xml:space="preserve">ECOS 2013, International </w:t>
      </w:r>
      <w:r w:rsidRPr="00645273">
        <w:rPr>
          <w:szCs w:val="18"/>
        </w:rPr>
        <w:t>Comparisons of Product Policies</w:t>
      </w:r>
    </w:p>
  </w:footnote>
  <w:footnote w:id="156">
    <w:p w14:paraId="782BB976" w14:textId="77777777" w:rsidR="00141A3C" w:rsidRPr="00997283" w:rsidRDefault="00141A3C">
      <w:pPr>
        <w:pStyle w:val="FootnoteText"/>
        <w:rPr>
          <w:lang w:val="en-GB"/>
        </w:rPr>
      </w:pPr>
      <w:r>
        <w:rPr>
          <w:rStyle w:val="FootnoteReference"/>
        </w:rPr>
        <w:footnoteRef/>
      </w:r>
      <w:r>
        <w:t xml:space="preserve"> </w:t>
      </w:r>
      <w:r>
        <w:rPr>
          <w:lang w:val="en-GB"/>
        </w:rPr>
        <w:t xml:space="preserve">On the basis that there are fewer market players, which means it should be easier and faster to consult with the market and make decisions. </w:t>
      </w:r>
    </w:p>
  </w:footnote>
  <w:footnote w:id="157">
    <w:p w14:paraId="4076CC05" w14:textId="77777777" w:rsidR="00141A3C" w:rsidRDefault="00141A3C" w:rsidP="00861F6D">
      <w:pPr>
        <w:pStyle w:val="FootnoteText"/>
      </w:pPr>
      <w:r>
        <w:rPr>
          <w:rStyle w:val="FootnoteReference"/>
        </w:rPr>
        <w:footnoteRef/>
      </w:r>
      <w:r>
        <w:t xml:space="preserve"> </w:t>
      </w:r>
      <w:hyperlink r:id="rId33" w:history="1">
        <w:r w:rsidRPr="0044756E">
          <w:rPr>
            <w:rStyle w:val="Hyperlink"/>
          </w:rPr>
          <w:t>http://energy.gov/eere/buildings/appliance-standards-and-rulemaking-federal-advisory-committee</w:t>
        </w:r>
      </w:hyperlink>
      <w:r>
        <w:t xml:space="preserve"> and </w:t>
      </w:r>
      <w:hyperlink r:id="rId34" w:history="1">
        <w:r w:rsidRPr="00707D8B">
          <w:rPr>
            <w:rStyle w:val="Hyperlink"/>
          </w:rPr>
          <w:t>http://energy.gov/gc/articles/doe-announces-changes-energy-conservation-standards-process</w:t>
        </w:r>
      </w:hyperlink>
    </w:p>
  </w:footnote>
  <w:footnote w:id="158">
    <w:p w14:paraId="287DA1E0" w14:textId="77777777" w:rsidR="00141A3C" w:rsidRPr="00837142" w:rsidRDefault="00141A3C">
      <w:pPr>
        <w:pStyle w:val="FootnoteText"/>
        <w:rPr>
          <w:lang w:val="en-AU"/>
        </w:rPr>
      </w:pPr>
      <w:r>
        <w:rPr>
          <w:rStyle w:val="FootnoteReference"/>
        </w:rPr>
        <w:footnoteRef/>
      </w:r>
      <w:r>
        <w:t xml:space="preserve"> </w:t>
      </w:r>
      <w:r w:rsidRPr="00645273">
        <w:rPr>
          <w:szCs w:val="18"/>
          <w:lang w:val="en-US" w:eastAsia="en-US"/>
        </w:rPr>
        <w:t xml:space="preserve">ECOS 2013, International </w:t>
      </w:r>
      <w:r w:rsidRPr="00645273">
        <w:rPr>
          <w:szCs w:val="18"/>
        </w:rPr>
        <w:t>Comparisons of Product Policies</w:t>
      </w:r>
    </w:p>
  </w:footnote>
  <w:footnote w:id="159">
    <w:p w14:paraId="76B7E1D8" w14:textId="77777777" w:rsidR="00141A3C" w:rsidRPr="00B070CC" w:rsidRDefault="00141A3C">
      <w:pPr>
        <w:pStyle w:val="FootnoteText"/>
        <w:rPr>
          <w:lang w:val="en-GB"/>
        </w:rPr>
      </w:pPr>
      <w:r>
        <w:rPr>
          <w:rStyle w:val="FootnoteReference"/>
        </w:rPr>
        <w:footnoteRef/>
      </w:r>
      <w:r>
        <w:t xml:space="preserve"> </w:t>
      </w:r>
      <w:r>
        <w:rPr>
          <w:lang w:val="en-GB"/>
        </w:rPr>
        <w:t>T</w:t>
      </w:r>
      <w:r>
        <w:t>he EU program being an exception</w:t>
      </w:r>
      <w:r>
        <w:rPr>
          <w:lang w:val="en-GB"/>
        </w:rPr>
        <w:t>.</w:t>
      </w:r>
    </w:p>
  </w:footnote>
  <w:footnote w:id="160">
    <w:p w14:paraId="076002A6" w14:textId="77777777" w:rsidR="00141A3C" w:rsidRDefault="00141A3C" w:rsidP="00B070CC">
      <w:pPr>
        <w:pStyle w:val="FootnoteText"/>
      </w:pPr>
      <w:r>
        <w:rPr>
          <w:rStyle w:val="FootnoteReference"/>
        </w:rPr>
        <w:footnoteRef/>
      </w:r>
      <w:r>
        <w:t xml:space="preserve"> </w:t>
      </w:r>
      <w:r w:rsidRPr="00645273">
        <w:rPr>
          <w:szCs w:val="18"/>
          <w:lang w:val="en-US" w:eastAsia="en-US"/>
        </w:rPr>
        <w:t>CLASP 2010, Compliance Counts: A Practitioner’s Guidebook on Best Practice Monitoring, Verification, and Enforcement for Appliance Standards &amp; Label</w:t>
      </w:r>
      <w:r>
        <w:rPr>
          <w:szCs w:val="18"/>
          <w:lang w:val="en-US" w:eastAsia="en-US"/>
        </w:rPr>
        <w:t>l</w:t>
      </w:r>
      <w:r w:rsidRPr="00645273">
        <w:rPr>
          <w:szCs w:val="18"/>
          <w:lang w:val="en-US" w:eastAsia="en-US"/>
        </w:rPr>
        <w:t>ing</w:t>
      </w:r>
    </w:p>
  </w:footnote>
  <w:footnote w:id="161">
    <w:p w14:paraId="0952526E" w14:textId="77777777" w:rsidR="00141A3C" w:rsidRDefault="00141A3C" w:rsidP="00B070CC">
      <w:pPr>
        <w:pStyle w:val="FootnoteText"/>
      </w:pPr>
      <w:r>
        <w:rPr>
          <w:rStyle w:val="FootnoteReference"/>
        </w:rPr>
        <w:footnoteRef/>
      </w:r>
      <w:r>
        <w:t xml:space="preserve"> Ecofys 2014, Evaluation of the Energy Labelling Directive and specific aspects of the Ecodesign Directive</w:t>
      </w:r>
    </w:p>
    <w:p w14:paraId="3630FB50" w14:textId="77777777" w:rsidR="00141A3C" w:rsidRDefault="00141A3C" w:rsidP="00B070CC">
      <w:pPr>
        <w:pStyle w:val="FootnoteText"/>
      </w:pPr>
      <w:r>
        <w:t>ENER/C3/2012-523</w:t>
      </w:r>
    </w:p>
  </w:footnote>
  <w:footnote w:id="162">
    <w:p w14:paraId="1025EC21" w14:textId="77777777" w:rsidR="00141A3C" w:rsidRDefault="00141A3C" w:rsidP="00B070CC">
      <w:pPr>
        <w:pStyle w:val="FootnoteText"/>
      </w:pPr>
      <w:r>
        <w:rPr>
          <w:rStyle w:val="FootnoteReference"/>
        </w:rPr>
        <w:footnoteRef/>
      </w:r>
      <w:r>
        <w:t xml:space="preserve"> For example, allowing reports from overseas and in-house laboratories </w:t>
      </w:r>
    </w:p>
  </w:footnote>
  <w:footnote w:id="163">
    <w:p w14:paraId="19E06D15" w14:textId="77777777" w:rsidR="00141A3C" w:rsidRDefault="00141A3C" w:rsidP="00D54172">
      <w:pPr>
        <w:pStyle w:val="FootnoteText"/>
      </w:pPr>
      <w:r>
        <w:rPr>
          <w:rStyle w:val="FootnoteReference"/>
        </w:rPr>
        <w:footnoteRef/>
      </w:r>
      <w:r>
        <w:t xml:space="preserve"> </w:t>
      </w:r>
      <w:r w:rsidRPr="00F217C2">
        <w:t>CLASP 2010, Compliance Counts: A Practitioner’s Guidebook on Best Practice Monitoring, Verification, and Enforcement for Appliance Standards &amp; Labe</w:t>
      </w:r>
      <w:r>
        <w:t>l</w:t>
      </w:r>
      <w:r w:rsidRPr="00F217C2">
        <w:t>ling</w:t>
      </w:r>
    </w:p>
  </w:footnote>
  <w:footnote w:id="164">
    <w:p w14:paraId="51C56FDB" w14:textId="77777777" w:rsidR="00141A3C" w:rsidRDefault="00141A3C" w:rsidP="00D54172">
      <w:pPr>
        <w:pStyle w:val="FootnoteText"/>
      </w:pPr>
      <w:r>
        <w:rPr>
          <w:rStyle w:val="FootnoteReference"/>
        </w:rPr>
        <w:footnoteRef/>
      </w:r>
      <w:r>
        <w:t xml:space="preserve"> Results of labelling surveys and check testing are published on the Energy Rating website</w:t>
      </w:r>
    </w:p>
  </w:footnote>
  <w:footnote w:id="165">
    <w:p w14:paraId="1E610B5D" w14:textId="77777777" w:rsidR="00141A3C" w:rsidRPr="00983742" w:rsidRDefault="00141A3C">
      <w:pPr>
        <w:pStyle w:val="FootnoteText"/>
        <w:rPr>
          <w:lang w:val="en-GB"/>
        </w:rPr>
      </w:pPr>
      <w:r>
        <w:rPr>
          <w:rStyle w:val="FootnoteReference"/>
        </w:rPr>
        <w:footnoteRef/>
      </w:r>
      <w:r>
        <w:t xml:space="preserve"> LBNL (2012) International comparative analysis and current status of appliance energy efficiency standards and labelling programs</w:t>
      </w:r>
      <w:r>
        <w:rPr>
          <w:lang w:val="en-GB"/>
        </w:rPr>
        <w:t>.</w:t>
      </w:r>
    </w:p>
  </w:footnote>
  <w:footnote w:id="166">
    <w:p w14:paraId="0BFDAA5B" w14:textId="77777777" w:rsidR="00141A3C" w:rsidRDefault="00141A3C" w:rsidP="00193AFD">
      <w:pPr>
        <w:pStyle w:val="FootnoteText"/>
      </w:pPr>
      <w:r>
        <w:rPr>
          <w:rStyle w:val="FootnoteReference"/>
        </w:rPr>
        <w:footnoteRef/>
      </w:r>
      <w:r>
        <w:t xml:space="preserve"> </w:t>
      </w:r>
      <w:r w:rsidRPr="00645273">
        <w:t>ECOS 2013, International Comparisons of Product Policies</w:t>
      </w:r>
    </w:p>
  </w:footnote>
  <w:footnote w:id="167">
    <w:p w14:paraId="1D7D280C" w14:textId="77777777" w:rsidR="00141A3C" w:rsidRDefault="00141A3C" w:rsidP="00193AFD">
      <w:pPr>
        <w:pStyle w:val="FootnoteText"/>
      </w:pPr>
      <w:r>
        <w:rPr>
          <w:rStyle w:val="FootnoteReference"/>
        </w:rPr>
        <w:footnoteRef/>
      </w:r>
      <w:r>
        <w:t xml:space="preserve"> Now available from the Energy </w:t>
      </w:r>
      <w:r>
        <w:rPr>
          <w:lang w:val="en-AU"/>
        </w:rPr>
        <w:t>Rating</w:t>
      </w:r>
      <w:r>
        <w:t xml:space="preserve"> website</w:t>
      </w:r>
    </w:p>
  </w:footnote>
  <w:footnote w:id="168">
    <w:p w14:paraId="657616AB" w14:textId="77777777" w:rsidR="00141A3C" w:rsidRPr="00997283" w:rsidRDefault="00141A3C">
      <w:pPr>
        <w:pStyle w:val="FootnoteText"/>
        <w:rPr>
          <w:lang w:val="en-GB"/>
        </w:rPr>
      </w:pPr>
      <w:r>
        <w:rPr>
          <w:rStyle w:val="FootnoteReference"/>
        </w:rPr>
        <w:footnoteRef/>
      </w:r>
      <w:r>
        <w:t xml:space="preserve"> </w:t>
      </w:r>
      <w:r>
        <w:rPr>
          <w:lang w:val="en-GB"/>
        </w:rPr>
        <w:t xml:space="preserve">Note this discussion is about the function of the website as a guide to influence purchase choices by consumers. </w:t>
      </w:r>
    </w:p>
  </w:footnote>
  <w:footnote w:id="169">
    <w:p w14:paraId="7E5094CE" w14:textId="77777777" w:rsidR="00141A3C" w:rsidRDefault="00141A3C" w:rsidP="00E03F8F">
      <w:pPr>
        <w:pStyle w:val="FootnoteText"/>
      </w:pPr>
      <w:r>
        <w:rPr>
          <w:rStyle w:val="FootnoteReference"/>
        </w:rPr>
        <w:footnoteRef/>
      </w:r>
      <w:r>
        <w:t xml:space="preserve"> </w:t>
      </w:r>
      <w:r>
        <w:rPr>
          <w:lang w:val="en-AU"/>
        </w:rPr>
        <w:t xml:space="preserve">The Consumer Advocacy Panel was superseded by Energy Consumers Australia in January, 2015. </w:t>
      </w:r>
      <w:hyperlink w:history="1"/>
    </w:p>
  </w:footnote>
  <w:footnote w:id="170">
    <w:p w14:paraId="7469983F" w14:textId="77777777" w:rsidR="00141A3C" w:rsidRDefault="00141A3C" w:rsidP="000165D6">
      <w:pPr>
        <w:pStyle w:val="FootnoteText"/>
      </w:pPr>
      <w:r>
        <w:rPr>
          <w:rStyle w:val="FootnoteReference"/>
        </w:rPr>
        <w:footnoteRef/>
      </w:r>
      <w:r>
        <w:t xml:space="preserve"> </w:t>
      </w:r>
      <w:r w:rsidRPr="00F217C2">
        <w:t>CLASP 2010, Compliance Counts: A Practitioner’s Guidebook on Best Practice Monitoring, Verification, and Enforcement for Appliance Standards &amp; Labe</w:t>
      </w:r>
      <w:r>
        <w:t>l</w:t>
      </w:r>
      <w:r w:rsidRPr="00F217C2">
        <w:t>ling</w:t>
      </w:r>
    </w:p>
  </w:footnote>
  <w:footnote w:id="171">
    <w:p w14:paraId="12029B01" w14:textId="77777777" w:rsidR="00141A3C" w:rsidRDefault="00141A3C" w:rsidP="000165D6">
      <w:pPr>
        <w:pStyle w:val="FootnoteText"/>
      </w:pPr>
      <w:r>
        <w:rPr>
          <w:rStyle w:val="FootnoteReference"/>
        </w:rPr>
        <w:footnoteRef/>
      </w:r>
      <w:r>
        <w:t xml:space="preserve"> Results of labelling surveys and check testing are published on the Energy Rating website</w:t>
      </w:r>
    </w:p>
  </w:footnote>
  <w:footnote w:id="172">
    <w:p w14:paraId="0901416B" w14:textId="77777777" w:rsidR="00141A3C" w:rsidRDefault="00141A3C" w:rsidP="000165D6">
      <w:pPr>
        <w:pStyle w:val="FootnoteText"/>
      </w:pPr>
      <w:r>
        <w:rPr>
          <w:rStyle w:val="FootnoteReference"/>
        </w:rPr>
        <w:footnoteRef/>
      </w:r>
      <w:r>
        <w:t xml:space="preserve"> </w:t>
      </w:r>
      <w:r w:rsidRPr="00F217C2">
        <w:t>CLASP 2010, Compliance Counts: A Practitioner’s Guidebook on Best Practice Monitoring, Verification, and Enforcement for Appliance Standards &amp; Labe</w:t>
      </w:r>
      <w:r>
        <w:t>l</w:t>
      </w:r>
      <w:r w:rsidRPr="00F217C2">
        <w:t>ling</w:t>
      </w:r>
    </w:p>
  </w:footnote>
  <w:footnote w:id="173">
    <w:p w14:paraId="1037675D" w14:textId="77777777" w:rsidR="00141A3C" w:rsidRPr="00194F92" w:rsidRDefault="00141A3C">
      <w:pPr>
        <w:pStyle w:val="FootnoteText"/>
        <w:rPr>
          <w:lang w:val="en-GB"/>
        </w:rPr>
      </w:pPr>
      <w:r>
        <w:rPr>
          <w:rStyle w:val="FootnoteReference"/>
        </w:rPr>
        <w:footnoteRef/>
      </w:r>
      <w:r>
        <w:t xml:space="preserve"> </w:t>
      </w:r>
      <w:r w:rsidRPr="00194F92">
        <w:t xml:space="preserve">For example, in the sample we included both industry representative and individual manufacturers across a range of product groups. We also covered most </w:t>
      </w:r>
      <w:r>
        <w:rPr>
          <w:lang w:val="en-AU"/>
        </w:rPr>
        <w:t>s</w:t>
      </w:r>
      <w:r w:rsidRPr="00194F92">
        <w:t>tate</w:t>
      </w:r>
      <w:r>
        <w:rPr>
          <w:lang w:val="en-AU"/>
        </w:rPr>
        <w:t>s</w:t>
      </w:r>
      <w:r w:rsidRPr="00194F92">
        <w:t xml:space="preserve"> and </w:t>
      </w:r>
      <w:r>
        <w:rPr>
          <w:lang w:val="en-AU"/>
        </w:rPr>
        <w:t>t</w:t>
      </w:r>
      <w:r w:rsidRPr="00194F92">
        <w:t xml:space="preserve">erritories in the sample.   </w:t>
      </w:r>
    </w:p>
  </w:footnote>
  <w:footnote w:id="174">
    <w:p w14:paraId="388504D2" w14:textId="77777777" w:rsidR="00141A3C" w:rsidRPr="006E5038" w:rsidRDefault="00141A3C">
      <w:pPr>
        <w:pStyle w:val="FootnoteText"/>
        <w:rPr>
          <w:lang w:val="en-GB"/>
        </w:rPr>
      </w:pPr>
      <w:r>
        <w:rPr>
          <w:rStyle w:val="FootnoteReference"/>
        </w:rPr>
        <w:footnoteRef/>
      </w:r>
      <w:r>
        <w:t xml:space="preserve"> </w:t>
      </w:r>
      <w:r>
        <w:rPr>
          <w:lang w:val="en-GB"/>
        </w:rPr>
        <w:t xml:space="preserve">Acknowledging that this may compromise discussion on several other key issues, which were also covered within the interviews. </w:t>
      </w:r>
    </w:p>
  </w:footnote>
  <w:footnote w:id="175">
    <w:p w14:paraId="6216C24E" w14:textId="77777777" w:rsidR="00141A3C" w:rsidRPr="00B77520" w:rsidRDefault="00141A3C">
      <w:pPr>
        <w:pStyle w:val="FootnoteText"/>
        <w:rPr>
          <w:lang w:val="en-GB"/>
        </w:rPr>
      </w:pPr>
      <w:r>
        <w:rPr>
          <w:rStyle w:val="FootnoteReference"/>
        </w:rPr>
        <w:footnoteRef/>
      </w:r>
      <w:r>
        <w:t xml:space="preserve"> </w:t>
      </w:r>
      <w:r>
        <w:rPr>
          <w:lang w:val="en-GB"/>
        </w:rPr>
        <w:t xml:space="preserve">MEA (2012) Cost recovery in energy efficiency standards and labelling programs.  </w:t>
      </w:r>
    </w:p>
  </w:footnote>
  <w:footnote w:id="176">
    <w:p w14:paraId="1E291842" w14:textId="77777777" w:rsidR="00141A3C" w:rsidRPr="00172DF9" w:rsidRDefault="00141A3C">
      <w:pPr>
        <w:pStyle w:val="FootnoteText"/>
        <w:rPr>
          <w:lang w:val="en-GB"/>
        </w:rPr>
      </w:pPr>
      <w:r>
        <w:rPr>
          <w:rStyle w:val="FootnoteReference"/>
        </w:rPr>
        <w:footnoteRef/>
      </w:r>
      <w:r>
        <w:t xml:space="preserve"> </w:t>
      </w:r>
      <w:r>
        <w:rPr>
          <w:lang w:val="en-GB"/>
        </w:rPr>
        <w:t xml:space="preserve">An exception to this is the Energy Saving Trust Recommended scheme, however this is a voluntary endorsement labelling scheme, which prior to moving to industry funding, had many years of UK Government backing.  </w:t>
      </w:r>
    </w:p>
  </w:footnote>
  <w:footnote w:id="177">
    <w:p w14:paraId="2994615D" w14:textId="77777777" w:rsidR="00141A3C" w:rsidRPr="00C1142B" w:rsidRDefault="00141A3C">
      <w:pPr>
        <w:pStyle w:val="FootnoteText"/>
        <w:rPr>
          <w:lang w:val="en-GB"/>
        </w:rPr>
      </w:pPr>
      <w:r>
        <w:rPr>
          <w:rStyle w:val="FootnoteReference"/>
        </w:rPr>
        <w:footnoteRef/>
      </w:r>
      <w:r>
        <w:t xml:space="preserve"> </w:t>
      </w:r>
      <w:hyperlink r:id="rId35" w:history="1">
        <w:r w:rsidRPr="00C1142B">
          <w:rPr>
            <w:rStyle w:val="Hyperlink"/>
            <w:lang w:val="en-GB"/>
          </w:rPr>
          <w:t>Registration fees under GEMS legislation</w:t>
        </w:r>
      </w:hyperlink>
      <w:r>
        <w:rPr>
          <w:lang w:val="en-GB"/>
        </w:rPr>
        <w:t xml:space="preserve">. </w:t>
      </w:r>
    </w:p>
  </w:footnote>
  <w:footnote w:id="178">
    <w:p w14:paraId="3C67E7E7" w14:textId="77777777" w:rsidR="00141A3C" w:rsidRPr="00CC7884" w:rsidRDefault="00141A3C">
      <w:pPr>
        <w:pStyle w:val="FootnoteText"/>
        <w:rPr>
          <w:lang w:val="en-GB"/>
        </w:rPr>
      </w:pPr>
      <w:r>
        <w:rPr>
          <w:rStyle w:val="FootnoteReference"/>
        </w:rPr>
        <w:footnoteRef/>
      </w:r>
      <w:r>
        <w:t xml:space="preserve"> </w:t>
      </w:r>
      <w:r>
        <w:rPr>
          <w:lang w:val="en-GB"/>
        </w:rPr>
        <w:t xml:space="preserve">MEA (2012) Cost recovery in energy efficiency standards and labelling programs.  </w:t>
      </w:r>
    </w:p>
  </w:footnote>
  <w:footnote w:id="179">
    <w:p w14:paraId="79386ED1" w14:textId="77777777" w:rsidR="00141A3C" w:rsidRDefault="00141A3C" w:rsidP="00B3496A">
      <w:pPr>
        <w:pStyle w:val="FootnoteText"/>
      </w:pPr>
      <w:r>
        <w:rPr>
          <w:rStyle w:val="FootnoteReference"/>
        </w:rPr>
        <w:footnoteRef/>
      </w:r>
      <w:r>
        <w:t xml:space="preserve"> </w:t>
      </w:r>
      <w:r w:rsidRPr="00340086">
        <w:t>Lawrence Berkeley National Laboratory 2012, International Review of the Development and Implementation of Energy Efficiency Standards and Labe</w:t>
      </w:r>
      <w:r>
        <w:t>l</w:t>
      </w:r>
      <w:r w:rsidRPr="00340086">
        <w:t>ling Programs, February 2012</w:t>
      </w:r>
    </w:p>
  </w:footnote>
  <w:footnote w:id="180">
    <w:p w14:paraId="05004955" w14:textId="77777777" w:rsidR="00141A3C" w:rsidRPr="008F36B4" w:rsidRDefault="00141A3C">
      <w:pPr>
        <w:pStyle w:val="FootnoteText"/>
        <w:rPr>
          <w:lang w:val="en-GB"/>
        </w:rPr>
      </w:pPr>
      <w:r>
        <w:rPr>
          <w:rStyle w:val="FootnoteReference"/>
        </w:rPr>
        <w:footnoteRef/>
      </w:r>
      <w:r>
        <w:t xml:space="preserve"> </w:t>
      </w:r>
      <w:r>
        <w:rPr>
          <w:lang w:val="en-GB"/>
        </w:rPr>
        <w:t xml:space="preserve">However, it is not clear what stakeholder consultation was undertaken to inform this view. </w:t>
      </w:r>
    </w:p>
  </w:footnote>
  <w:footnote w:id="181">
    <w:p w14:paraId="7709E9AA" w14:textId="77777777" w:rsidR="00141A3C" w:rsidRPr="00B35FE7" w:rsidRDefault="00141A3C">
      <w:pPr>
        <w:pStyle w:val="FootnoteText"/>
        <w:rPr>
          <w:lang w:val="en-GB"/>
        </w:rPr>
      </w:pPr>
      <w:r>
        <w:rPr>
          <w:rStyle w:val="FootnoteReference"/>
        </w:rPr>
        <w:footnoteRef/>
      </w:r>
      <w:r>
        <w:t xml:space="preserve"> </w:t>
      </w:r>
      <w:r>
        <w:rPr>
          <w:lang w:val="en-GB"/>
        </w:rPr>
        <w:t>Registration costs under the multi-jurisdictional scheme ranged slightly between states and territories, but were approximately $AUD 180-200 (MEA 2012, Cost recovery in S&amp;L programs).</w:t>
      </w:r>
    </w:p>
  </w:footnote>
  <w:footnote w:id="182">
    <w:p w14:paraId="525609E8" w14:textId="77777777" w:rsidR="00141A3C" w:rsidRPr="00626419" w:rsidRDefault="00141A3C">
      <w:pPr>
        <w:pStyle w:val="FootnoteText"/>
        <w:rPr>
          <w:lang w:val="en-GB"/>
        </w:rPr>
      </w:pPr>
      <w:r>
        <w:rPr>
          <w:rStyle w:val="FootnoteReference"/>
        </w:rPr>
        <w:footnoteRef/>
      </w:r>
      <w:r>
        <w:t xml:space="preserve"> </w:t>
      </w:r>
      <w:r>
        <w:rPr>
          <w:lang w:val="en-GB"/>
        </w:rPr>
        <w:t xml:space="preserve">Note, </w:t>
      </w:r>
      <w:r>
        <w:t>products</w:t>
      </w:r>
      <w:r>
        <w:rPr>
          <w:lang w:val="en-GB"/>
        </w:rPr>
        <w:t xml:space="preserve"> need</w:t>
      </w:r>
      <w:r w:rsidRPr="002513B4">
        <w:t xml:space="preserve"> to be tested for a variety of reasons, including electrical safety, so </w:t>
      </w:r>
      <w:r>
        <w:rPr>
          <w:lang w:val="en-GB"/>
        </w:rPr>
        <w:t xml:space="preserve">these </w:t>
      </w:r>
      <w:r w:rsidRPr="002513B4">
        <w:t>costs are not only as a result of GEMS requirements</w:t>
      </w:r>
      <w:r>
        <w:rPr>
          <w:lang w:val="en-GB"/>
        </w:rPr>
        <w:t>.</w:t>
      </w:r>
    </w:p>
  </w:footnote>
  <w:footnote w:id="183">
    <w:p w14:paraId="49C6D987" w14:textId="77777777" w:rsidR="00141A3C" w:rsidRPr="005E249A" w:rsidRDefault="00141A3C">
      <w:pPr>
        <w:pStyle w:val="FootnoteText"/>
        <w:rPr>
          <w:lang w:val="en-GB"/>
        </w:rPr>
      </w:pPr>
      <w:r>
        <w:rPr>
          <w:rStyle w:val="FootnoteReference"/>
        </w:rPr>
        <w:footnoteRef/>
      </w:r>
      <w:r>
        <w:t xml:space="preserve"> </w:t>
      </w:r>
      <w:r>
        <w:rPr>
          <w:lang w:val="en-GB"/>
        </w:rPr>
        <w:t xml:space="preserve">An element of the quote has been redacted in order to mitigate risk of the respondent organisation being identifiable. </w:t>
      </w:r>
    </w:p>
  </w:footnote>
  <w:footnote w:id="184">
    <w:p w14:paraId="6C93FE7C" w14:textId="77777777" w:rsidR="00141A3C" w:rsidRPr="00CC3442" w:rsidRDefault="00141A3C">
      <w:pPr>
        <w:pStyle w:val="FootnoteText"/>
        <w:rPr>
          <w:lang w:val="en-GB"/>
        </w:rPr>
      </w:pPr>
      <w:r>
        <w:rPr>
          <w:rStyle w:val="FootnoteReference"/>
        </w:rPr>
        <w:footnoteRef/>
      </w:r>
      <w:r>
        <w:t xml:space="preserve"> </w:t>
      </w:r>
      <w:r>
        <w:rPr>
          <w:lang w:val="en-GB"/>
        </w:rPr>
        <w:t>Note discussions were held with state and territory public servants.  Ministerial views were not sought through the review.</w:t>
      </w:r>
    </w:p>
  </w:footnote>
  <w:footnote w:id="185">
    <w:p w14:paraId="0496D136" w14:textId="77777777" w:rsidR="00141A3C" w:rsidRPr="00997283" w:rsidRDefault="00141A3C">
      <w:pPr>
        <w:pStyle w:val="FootnoteText"/>
        <w:rPr>
          <w:lang w:val="en-GB"/>
        </w:rPr>
      </w:pPr>
      <w:r>
        <w:rPr>
          <w:rStyle w:val="FootnoteReference"/>
        </w:rPr>
        <w:footnoteRef/>
      </w:r>
      <w:r>
        <w:t xml:space="preserve"> </w:t>
      </w:r>
      <w:r>
        <w:rPr>
          <w:lang w:val="en-GB"/>
        </w:rPr>
        <w:t xml:space="preserve">And depending on the level implemented, there could be an impact on consumer choice.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DBD06" w14:textId="77777777" w:rsidR="00141A3C" w:rsidRDefault="00141A3C">
    <w:pPr>
      <w:pStyle w:val="Header"/>
      <w:jc w:val="right"/>
    </w:pPr>
    <w:r>
      <w:fldChar w:fldCharType="begin"/>
    </w:r>
    <w:r>
      <w:instrText xml:space="preserve"> PAGE   \* MERGEFORMAT </w:instrText>
    </w:r>
    <w:r>
      <w:fldChar w:fldCharType="separate"/>
    </w:r>
    <w:r w:rsidR="00D57624">
      <w:rPr>
        <w:noProof/>
      </w:rPr>
      <w:t>89</w:t>
    </w:r>
    <w:r>
      <w:rPr>
        <w:noProof/>
      </w:rPr>
      <w:fldChar w:fldCharType="end"/>
    </w:r>
  </w:p>
  <w:p w14:paraId="6929487F" w14:textId="77777777" w:rsidR="00141A3C" w:rsidRDefault="00141A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41EEB24E"/>
    <w:lvl w:ilvl="0">
      <w:start w:val="1"/>
      <w:numFmt w:val="decimal"/>
      <w:pStyle w:val="ListNumber2"/>
      <w:lvlText w:val="%1."/>
      <w:lvlJc w:val="left"/>
      <w:pPr>
        <w:ind w:left="643" w:hanging="360"/>
      </w:pPr>
      <w:rPr>
        <w:rFonts w:hint="default"/>
        <w:b/>
        <w:i w:val="0"/>
        <w:color w:val="BE78E6"/>
      </w:rPr>
    </w:lvl>
  </w:abstractNum>
  <w:abstractNum w:abstractNumId="1" w15:restartNumberingAfterBreak="0">
    <w:nsid w:val="00502A64"/>
    <w:multiLevelType w:val="multilevel"/>
    <w:tmpl w:val="0809001D"/>
    <w:styleLink w:val="DatabuildListStyle"/>
    <w:lvl w:ilvl="0">
      <w:start w:val="1"/>
      <w:numFmt w:val="decimal"/>
      <w:lvlText w:val="%1)"/>
      <w:lvlJc w:val="left"/>
      <w:pPr>
        <w:ind w:left="360" w:hanging="360"/>
      </w:pPr>
      <w:rPr>
        <w:rFonts w:ascii="Calibri" w:hAnsi="Calibri"/>
        <w:b/>
        <w:color w:val="C28DFF"/>
        <w:sz w:val="20"/>
      </w:rPr>
    </w:lvl>
    <w:lvl w:ilvl="1">
      <w:start w:val="1"/>
      <w:numFmt w:val="lowerLetter"/>
      <w:lvlText w:val="%2)"/>
      <w:lvlJc w:val="left"/>
      <w:pPr>
        <w:ind w:left="720" w:hanging="360"/>
      </w:pPr>
      <w:rPr>
        <w:rFonts w:ascii="Calibri" w:hAnsi="Calibri"/>
        <w:b/>
        <w:color w:val="C28DFF"/>
        <w:sz w:val="20"/>
      </w:rPr>
    </w:lvl>
    <w:lvl w:ilvl="2">
      <w:start w:val="1"/>
      <w:numFmt w:val="lowerRoman"/>
      <w:lvlText w:val="%3)"/>
      <w:lvlJc w:val="left"/>
      <w:pPr>
        <w:ind w:left="1080" w:hanging="360"/>
      </w:pPr>
      <w:rPr>
        <w:rFonts w:ascii="Calibri" w:hAnsi="Calibri"/>
        <w:b/>
        <w:color w:val="C28DFF"/>
        <w:sz w:val="20"/>
      </w:rPr>
    </w:lvl>
    <w:lvl w:ilvl="3">
      <w:start w:val="1"/>
      <w:numFmt w:val="decimal"/>
      <w:lvlText w:val="(%4)"/>
      <w:lvlJc w:val="left"/>
      <w:pPr>
        <w:ind w:left="1440" w:hanging="360"/>
      </w:pPr>
      <w:rPr>
        <w:rFonts w:ascii="Calibri" w:hAnsi="Calibri"/>
        <w:i/>
        <w:color w:val="C28DFF"/>
        <w:sz w:val="18"/>
      </w:rPr>
    </w:lvl>
    <w:lvl w:ilvl="4">
      <w:start w:val="1"/>
      <w:numFmt w:val="lowerLetter"/>
      <w:lvlText w:val="(%5)"/>
      <w:lvlJc w:val="left"/>
      <w:pPr>
        <w:ind w:left="1800" w:hanging="360"/>
      </w:pPr>
      <w:rPr>
        <w:rFonts w:ascii="Calibri" w:hAnsi="Calibri"/>
        <w:i/>
        <w:color w:val="C28DFF"/>
        <w:sz w:val="18"/>
      </w:rPr>
    </w:lvl>
    <w:lvl w:ilvl="5">
      <w:start w:val="1"/>
      <w:numFmt w:val="lowerRoman"/>
      <w:lvlText w:val="(%6)"/>
      <w:lvlJc w:val="left"/>
      <w:pPr>
        <w:ind w:left="2160" w:hanging="360"/>
      </w:pPr>
      <w:rPr>
        <w:rFonts w:ascii="Calibri" w:hAnsi="Calibri"/>
        <w:i/>
        <w:color w:val="C28DFF"/>
        <w:sz w:val="18"/>
      </w:rPr>
    </w:lvl>
    <w:lvl w:ilvl="6">
      <w:start w:val="1"/>
      <w:numFmt w:val="bullet"/>
      <w:lvlText w:val=""/>
      <w:lvlJc w:val="left"/>
      <w:pPr>
        <w:ind w:left="2520" w:hanging="360"/>
      </w:pPr>
      <w:rPr>
        <w:rFonts w:ascii="Symbol" w:hAnsi="Symbol" w:hint="default"/>
        <w:color w:val="C28DFF"/>
        <w:sz w:val="16"/>
        <w:u w:val="none"/>
      </w:rPr>
    </w:lvl>
    <w:lvl w:ilvl="7">
      <w:start w:val="1"/>
      <w:numFmt w:val="bullet"/>
      <w:lvlText w:val=""/>
      <w:lvlJc w:val="left"/>
      <w:pPr>
        <w:ind w:left="2880" w:hanging="360"/>
      </w:pPr>
      <w:rPr>
        <w:rFonts w:ascii="Symbol" w:hAnsi="Symbol" w:hint="default"/>
        <w:color w:val="C28DFF"/>
        <w:sz w:val="16"/>
      </w:rPr>
    </w:lvl>
    <w:lvl w:ilvl="8">
      <w:start w:val="1"/>
      <w:numFmt w:val="bullet"/>
      <w:lvlText w:val=""/>
      <w:lvlJc w:val="left"/>
      <w:pPr>
        <w:ind w:left="3240" w:hanging="360"/>
      </w:pPr>
      <w:rPr>
        <w:rFonts w:ascii="Symbol" w:hAnsi="Symbol" w:hint="default"/>
        <w:color w:val="C28DFF"/>
        <w:sz w:val="16"/>
      </w:rPr>
    </w:lvl>
  </w:abstractNum>
  <w:abstractNum w:abstractNumId="2" w15:restartNumberingAfterBreak="0">
    <w:nsid w:val="0054401C"/>
    <w:multiLevelType w:val="hybridMultilevel"/>
    <w:tmpl w:val="868C41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9F19E2"/>
    <w:multiLevelType w:val="hybridMultilevel"/>
    <w:tmpl w:val="9EFE0A68"/>
    <w:lvl w:ilvl="0" w:tplc="ADB2F9C6">
      <w:start w:val="1"/>
      <w:numFmt w:val="decimal"/>
      <w:lvlText w:val="%1."/>
      <w:lvlJc w:val="left"/>
      <w:pPr>
        <w:ind w:left="360" w:hanging="360"/>
      </w:pPr>
      <w:rPr>
        <w:rFonts w:hint="default"/>
        <w:b w:val="0"/>
      </w:rPr>
    </w:lvl>
    <w:lvl w:ilvl="1" w:tplc="B8B6CA46">
      <w:start w:val="1"/>
      <w:numFmt w:val="bullet"/>
      <w:lvlText w:val="-"/>
      <w:lvlJc w:val="left"/>
      <w:pPr>
        <w:ind w:left="1080" w:hanging="360"/>
      </w:pPr>
      <w:rPr>
        <w:rFonts w:ascii="Calibri" w:eastAsia="Times New Roman" w:hAnsi="Calibri" w:cs="Calibri" w:hint="default"/>
      </w:rPr>
    </w:lvl>
    <w:lvl w:ilvl="2" w:tplc="B8B6CA46">
      <w:start w:val="1"/>
      <w:numFmt w:val="bullet"/>
      <w:lvlText w:val="-"/>
      <w:lvlJc w:val="left"/>
      <w:pPr>
        <w:ind w:left="1980" w:hanging="360"/>
      </w:pPr>
      <w:rPr>
        <w:rFonts w:ascii="Calibri" w:eastAsia="Times New Roman" w:hAnsi="Calibri" w:cs="Calibri" w:hint="default"/>
      </w:r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9FF2F92"/>
    <w:multiLevelType w:val="hybridMultilevel"/>
    <w:tmpl w:val="9286BD10"/>
    <w:lvl w:ilvl="0" w:tplc="0809000F">
      <w:start w:val="1"/>
      <w:numFmt w:val="decimal"/>
      <w:lvlText w:val="%1."/>
      <w:lvlJc w:val="left"/>
      <w:pPr>
        <w:ind w:left="405" w:hanging="360"/>
      </w:pPr>
      <w:rPr>
        <w:rFonts w:hint="default"/>
      </w:rPr>
    </w:lvl>
    <w:lvl w:ilvl="1" w:tplc="08090003">
      <w:start w:val="1"/>
      <w:numFmt w:val="bullet"/>
      <w:lvlText w:val="o"/>
      <w:lvlJc w:val="left"/>
      <w:pPr>
        <w:ind w:left="1125" w:hanging="360"/>
      </w:pPr>
      <w:rPr>
        <w:rFonts w:ascii="Courier New" w:hAnsi="Courier New" w:cs="Courier New" w:hint="default"/>
      </w:rPr>
    </w:lvl>
    <w:lvl w:ilvl="2" w:tplc="08090005">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5" w15:restartNumberingAfterBreak="0">
    <w:nsid w:val="0A2A1A77"/>
    <w:multiLevelType w:val="hybridMultilevel"/>
    <w:tmpl w:val="79FC44AC"/>
    <w:lvl w:ilvl="0" w:tplc="F4FC0842">
      <w:start w:val="1"/>
      <w:numFmt w:val="decimal"/>
      <w:lvlText w:val="%1."/>
      <w:lvlJc w:val="left"/>
      <w:pPr>
        <w:ind w:left="405" w:hanging="360"/>
      </w:pPr>
      <w:rPr>
        <w:rFonts w:hint="default"/>
        <w:b w:val="0"/>
        <w:i w:val="0"/>
        <w:color w:val="auto"/>
      </w:rPr>
    </w:lvl>
    <w:lvl w:ilvl="1" w:tplc="08090003">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6" w15:restartNumberingAfterBreak="0">
    <w:nsid w:val="0B6676C0"/>
    <w:multiLevelType w:val="hybridMultilevel"/>
    <w:tmpl w:val="7C5C4C08"/>
    <w:lvl w:ilvl="0" w:tplc="6FDCC790">
      <w:start w:val="1"/>
      <w:numFmt w:val="decimal"/>
      <w:lvlText w:val="%1."/>
      <w:lvlJc w:val="left"/>
      <w:pPr>
        <w:ind w:left="360" w:hanging="360"/>
      </w:pPr>
      <w:rPr>
        <w:rFonts w:hint="default"/>
        <w:b w:val="0"/>
      </w:rPr>
    </w:lvl>
    <w:lvl w:ilvl="1" w:tplc="0809000F">
      <w:start w:val="1"/>
      <w:numFmt w:val="decimal"/>
      <w:lvlText w:val="%2."/>
      <w:lvlJc w:val="left"/>
      <w:pPr>
        <w:ind w:left="1080" w:hanging="360"/>
      </w:pPr>
    </w:lvl>
    <w:lvl w:ilvl="2" w:tplc="B8B6CA46">
      <w:start w:val="1"/>
      <w:numFmt w:val="bullet"/>
      <w:lvlText w:val="-"/>
      <w:lvlJc w:val="left"/>
      <w:pPr>
        <w:ind w:left="1980" w:hanging="360"/>
      </w:pPr>
      <w:rPr>
        <w:rFonts w:ascii="Calibri" w:eastAsia="Times New Roman" w:hAnsi="Calibri" w:cs="Calibri" w:hint="default"/>
      </w:r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E0C2073"/>
    <w:multiLevelType w:val="hybridMultilevel"/>
    <w:tmpl w:val="D478BB9E"/>
    <w:lvl w:ilvl="0" w:tplc="0809000F">
      <w:start w:val="1"/>
      <w:numFmt w:val="decimal"/>
      <w:lvlText w:val="%1."/>
      <w:lvlJc w:val="left"/>
      <w:pPr>
        <w:ind w:left="360" w:hanging="360"/>
      </w:pPr>
    </w:lvl>
    <w:lvl w:ilvl="1" w:tplc="0809000F">
      <w:start w:val="1"/>
      <w:numFmt w:val="decimal"/>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F927DB3"/>
    <w:multiLevelType w:val="hybridMultilevel"/>
    <w:tmpl w:val="9CDAED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9">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EB4559"/>
    <w:multiLevelType w:val="hybridMultilevel"/>
    <w:tmpl w:val="584CDD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3072147"/>
    <w:multiLevelType w:val="hybridMultilevel"/>
    <w:tmpl w:val="AE568FD0"/>
    <w:lvl w:ilvl="0" w:tplc="67BAA416">
      <w:start w:val="1"/>
      <w:numFmt w:val="bullet"/>
      <w:lvlText w:val="-"/>
      <w:lvlJc w:val="left"/>
      <w:pPr>
        <w:ind w:left="405" w:hanging="360"/>
      </w:pPr>
      <w:rPr>
        <w:rFonts w:ascii="Calibri" w:eastAsia="Times New Roman" w:hAnsi="Calibri" w:cs="Calibri" w:hint="default"/>
      </w:rPr>
    </w:lvl>
    <w:lvl w:ilvl="1" w:tplc="B8B6CA46">
      <w:start w:val="1"/>
      <w:numFmt w:val="bullet"/>
      <w:lvlText w:val="-"/>
      <w:lvlJc w:val="left"/>
      <w:pPr>
        <w:ind w:left="1440" w:hanging="360"/>
      </w:pPr>
      <w:rPr>
        <w:rFonts w:ascii="Calibri" w:eastAsia="Times New Roman" w:hAnsi="Calibri" w:cs="Calibri" w:hint="default"/>
        <w:b/>
        <w:i w:val="0"/>
        <w:color w:val="BE78E6"/>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3C636A"/>
    <w:multiLevelType w:val="hybridMultilevel"/>
    <w:tmpl w:val="D2D6054C"/>
    <w:lvl w:ilvl="0" w:tplc="8280FA2E">
      <w:start w:val="1"/>
      <w:numFmt w:val="decimal"/>
      <w:lvlText w:val="%1."/>
      <w:lvlJc w:val="left"/>
      <w:pPr>
        <w:ind w:left="720" w:hanging="360"/>
      </w:pPr>
      <w:rPr>
        <w:rFonts w:hint="default"/>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FB0339"/>
    <w:multiLevelType w:val="hybridMultilevel"/>
    <w:tmpl w:val="F17E2F3E"/>
    <w:lvl w:ilvl="0" w:tplc="1E02BD5A">
      <w:start w:val="1"/>
      <w:numFmt w:val="bullet"/>
      <w:lvlText w:val=""/>
      <w:lvlJc w:val="left"/>
      <w:pPr>
        <w:ind w:left="720" w:hanging="360"/>
      </w:pPr>
      <w:rPr>
        <w:rFonts w:ascii="Symbol" w:hAnsi="Symbol" w:hint="default"/>
        <w:b/>
        <w:i w:val="0"/>
        <w:color w:val="BE78E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5E5EF2"/>
    <w:multiLevelType w:val="hybridMultilevel"/>
    <w:tmpl w:val="46882C44"/>
    <w:lvl w:ilvl="0" w:tplc="0809000F">
      <w:start w:val="1"/>
      <w:numFmt w:val="decimal"/>
      <w:lvlText w:val="%1."/>
      <w:lvlJc w:val="left"/>
      <w:pPr>
        <w:ind w:left="3294" w:hanging="360"/>
      </w:pPr>
      <w:rPr>
        <w:rFonts w:hint="default"/>
      </w:rPr>
    </w:lvl>
    <w:lvl w:ilvl="1" w:tplc="08090019" w:tentative="1">
      <w:start w:val="1"/>
      <w:numFmt w:val="lowerLetter"/>
      <w:lvlText w:val="%2."/>
      <w:lvlJc w:val="left"/>
      <w:pPr>
        <w:ind w:left="4374" w:hanging="360"/>
      </w:pPr>
    </w:lvl>
    <w:lvl w:ilvl="2" w:tplc="0809001B" w:tentative="1">
      <w:start w:val="1"/>
      <w:numFmt w:val="lowerRoman"/>
      <w:lvlText w:val="%3."/>
      <w:lvlJc w:val="right"/>
      <w:pPr>
        <w:ind w:left="5094" w:hanging="180"/>
      </w:pPr>
    </w:lvl>
    <w:lvl w:ilvl="3" w:tplc="0809000F" w:tentative="1">
      <w:start w:val="1"/>
      <w:numFmt w:val="decimal"/>
      <w:lvlText w:val="%4."/>
      <w:lvlJc w:val="left"/>
      <w:pPr>
        <w:ind w:left="5814" w:hanging="360"/>
      </w:pPr>
    </w:lvl>
    <w:lvl w:ilvl="4" w:tplc="08090019" w:tentative="1">
      <w:start w:val="1"/>
      <w:numFmt w:val="lowerLetter"/>
      <w:lvlText w:val="%5."/>
      <w:lvlJc w:val="left"/>
      <w:pPr>
        <w:ind w:left="6534" w:hanging="360"/>
      </w:pPr>
    </w:lvl>
    <w:lvl w:ilvl="5" w:tplc="0809001B" w:tentative="1">
      <w:start w:val="1"/>
      <w:numFmt w:val="lowerRoman"/>
      <w:lvlText w:val="%6."/>
      <w:lvlJc w:val="right"/>
      <w:pPr>
        <w:ind w:left="7254" w:hanging="180"/>
      </w:pPr>
    </w:lvl>
    <w:lvl w:ilvl="6" w:tplc="0809000F" w:tentative="1">
      <w:start w:val="1"/>
      <w:numFmt w:val="decimal"/>
      <w:lvlText w:val="%7."/>
      <w:lvlJc w:val="left"/>
      <w:pPr>
        <w:ind w:left="7974" w:hanging="360"/>
      </w:pPr>
    </w:lvl>
    <w:lvl w:ilvl="7" w:tplc="08090019" w:tentative="1">
      <w:start w:val="1"/>
      <w:numFmt w:val="lowerLetter"/>
      <w:lvlText w:val="%8."/>
      <w:lvlJc w:val="left"/>
      <w:pPr>
        <w:ind w:left="8694" w:hanging="360"/>
      </w:pPr>
    </w:lvl>
    <w:lvl w:ilvl="8" w:tplc="0809001B" w:tentative="1">
      <w:start w:val="1"/>
      <w:numFmt w:val="lowerRoman"/>
      <w:lvlText w:val="%9."/>
      <w:lvlJc w:val="right"/>
      <w:pPr>
        <w:ind w:left="9414" w:hanging="180"/>
      </w:pPr>
    </w:lvl>
  </w:abstractNum>
  <w:abstractNum w:abstractNumId="14" w15:restartNumberingAfterBreak="0">
    <w:nsid w:val="1A6843EB"/>
    <w:multiLevelType w:val="hybridMultilevel"/>
    <w:tmpl w:val="AA6A1146"/>
    <w:lvl w:ilvl="0" w:tplc="0248E3CE">
      <w:start w:val="3"/>
      <w:numFmt w:val="bullet"/>
      <w:lvlText w:val="-"/>
      <w:lvlJc w:val="left"/>
      <w:pPr>
        <w:ind w:left="405" w:hanging="360"/>
      </w:pPr>
      <w:rPr>
        <w:rFonts w:ascii="Calibri" w:eastAsia="Times New Roman"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5" w15:restartNumberingAfterBreak="0">
    <w:nsid w:val="1C1927DE"/>
    <w:multiLevelType w:val="hybridMultilevel"/>
    <w:tmpl w:val="ABC2A804"/>
    <w:lvl w:ilvl="0" w:tplc="8B1E93A4">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B8B6CA46">
      <w:start w:val="1"/>
      <w:numFmt w:val="bullet"/>
      <w:lvlText w:val="-"/>
      <w:lvlJc w:val="left"/>
      <w:pPr>
        <w:ind w:left="1980" w:hanging="360"/>
      </w:pPr>
      <w:rPr>
        <w:rFonts w:ascii="Calibri" w:eastAsia="Times New Roman" w:hAnsi="Calibri" w:cs="Calibri" w:hint="default"/>
      </w:r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E461EAE"/>
    <w:multiLevelType w:val="hybridMultilevel"/>
    <w:tmpl w:val="3F72619C"/>
    <w:lvl w:ilvl="0" w:tplc="38FEC102">
      <w:start w:val="1"/>
      <w:numFmt w:val="lowerLetter"/>
      <w:lvlText w:val="%1."/>
      <w:lvlJc w:val="left"/>
      <w:pPr>
        <w:ind w:left="1440" w:hanging="360"/>
      </w:pPr>
      <w:rPr>
        <w:rFonts w:hint="default"/>
        <w:b w:val="0"/>
        <w:i w:val="0"/>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49A670B"/>
    <w:multiLevelType w:val="hybridMultilevel"/>
    <w:tmpl w:val="9EFE0A68"/>
    <w:lvl w:ilvl="0" w:tplc="ADB2F9C6">
      <w:start w:val="1"/>
      <w:numFmt w:val="decimal"/>
      <w:lvlText w:val="%1."/>
      <w:lvlJc w:val="left"/>
      <w:pPr>
        <w:ind w:left="360" w:hanging="360"/>
      </w:pPr>
      <w:rPr>
        <w:rFonts w:hint="default"/>
        <w:b w:val="0"/>
      </w:rPr>
    </w:lvl>
    <w:lvl w:ilvl="1" w:tplc="B8B6CA46">
      <w:start w:val="1"/>
      <w:numFmt w:val="bullet"/>
      <w:lvlText w:val="-"/>
      <w:lvlJc w:val="left"/>
      <w:pPr>
        <w:ind w:left="1080" w:hanging="360"/>
      </w:pPr>
      <w:rPr>
        <w:rFonts w:ascii="Calibri" w:eastAsia="Times New Roman" w:hAnsi="Calibri" w:cs="Calibri" w:hint="default"/>
      </w:rPr>
    </w:lvl>
    <w:lvl w:ilvl="2" w:tplc="B8B6CA46">
      <w:start w:val="1"/>
      <w:numFmt w:val="bullet"/>
      <w:lvlText w:val="-"/>
      <w:lvlJc w:val="left"/>
      <w:pPr>
        <w:ind w:left="1980" w:hanging="360"/>
      </w:pPr>
      <w:rPr>
        <w:rFonts w:ascii="Calibri" w:eastAsia="Times New Roman" w:hAnsi="Calibri" w:cs="Calibri" w:hint="default"/>
      </w:r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5B95A41"/>
    <w:multiLevelType w:val="hybridMultilevel"/>
    <w:tmpl w:val="241A865E"/>
    <w:lvl w:ilvl="0" w:tplc="0248E3CE">
      <w:start w:val="3"/>
      <w:numFmt w:val="bullet"/>
      <w:lvlText w:val="-"/>
      <w:lvlJc w:val="left"/>
      <w:pPr>
        <w:ind w:left="720" w:hanging="360"/>
      </w:pPr>
      <w:rPr>
        <w:rFonts w:ascii="Calibri" w:eastAsia="Times New Roman"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76B7386"/>
    <w:multiLevelType w:val="hybridMultilevel"/>
    <w:tmpl w:val="F7202360"/>
    <w:lvl w:ilvl="0" w:tplc="0809000F">
      <w:start w:val="1"/>
      <w:numFmt w:val="decimal"/>
      <w:lvlText w:val="%1."/>
      <w:lvlJc w:val="left"/>
      <w:pPr>
        <w:ind w:left="405" w:hanging="360"/>
      </w:pPr>
      <w:rPr>
        <w:rFonts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0" w15:restartNumberingAfterBreak="0">
    <w:nsid w:val="29780EF3"/>
    <w:multiLevelType w:val="multilevel"/>
    <w:tmpl w:val="51BAC690"/>
    <w:styleLink w:val="List0"/>
    <w:lvl w:ilvl="0">
      <w:numFmt w:val="bullet"/>
      <w:lvlText w:val="•"/>
      <w:lvlJc w:val="left"/>
      <w:pPr>
        <w:tabs>
          <w:tab w:val="num" w:pos="765"/>
        </w:tabs>
        <w:ind w:left="765" w:hanging="360"/>
      </w:pPr>
      <w:rPr>
        <w:position w:val="0"/>
        <w:sz w:val="22"/>
        <w:szCs w:val="22"/>
        <w:rtl w:val="0"/>
      </w:rPr>
    </w:lvl>
    <w:lvl w:ilvl="1">
      <w:start w:val="1"/>
      <w:numFmt w:val="bullet"/>
      <w:lvlText w:val="o"/>
      <w:lvlJc w:val="left"/>
      <w:pPr>
        <w:tabs>
          <w:tab w:val="num" w:pos="1425"/>
        </w:tabs>
        <w:ind w:left="1425" w:hanging="300"/>
      </w:pPr>
      <w:rPr>
        <w:position w:val="0"/>
        <w:sz w:val="20"/>
        <w:szCs w:val="20"/>
        <w:rtl w:val="0"/>
      </w:rPr>
    </w:lvl>
    <w:lvl w:ilvl="2">
      <w:start w:val="1"/>
      <w:numFmt w:val="bullet"/>
      <w:lvlText w:val="▪"/>
      <w:lvlJc w:val="left"/>
      <w:pPr>
        <w:tabs>
          <w:tab w:val="num" w:pos="2145"/>
        </w:tabs>
        <w:ind w:left="2145" w:hanging="300"/>
      </w:pPr>
      <w:rPr>
        <w:position w:val="0"/>
        <w:sz w:val="20"/>
        <w:szCs w:val="20"/>
        <w:rtl w:val="0"/>
      </w:rPr>
    </w:lvl>
    <w:lvl w:ilvl="3">
      <w:start w:val="1"/>
      <w:numFmt w:val="bullet"/>
      <w:lvlText w:val="•"/>
      <w:lvlJc w:val="left"/>
      <w:pPr>
        <w:tabs>
          <w:tab w:val="num" w:pos="2865"/>
        </w:tabs>
        <w:ind w:left="2865" w:hanging="300"/>
      </w:pPr>
      <w:rPr>
        <w:position w:val="0"/>
        <w:sz w:val="20"/>
        <w:szCs w:val="20"/>
        <w:rtl w:val="0"/>
      </w:rPr>
    </w:lvl>
    <w:lvl w:ilvl="4">
      <w:start w:val="1"/>
      <w:numFmt w:val="bullet"/>
      <w:lvlText w:val="o"/>
      <w:lvlJc w:val="left"/>
      <w:pPr>
        <w:tabs>
          <w:tab w:val="num" w:pos="3585"/>
        </w:tabs>
        <w:ind w:left="3585" w:hanging="300"/>
      </w:pPr>
      <w:rPr>
        <w:position w:val="0"/>
        <w:sz w:val="20"/>
        <w:szCs w:val="20"/>
        <w:rtl w:val="0"/>
      </w:rPr>
    </w:lvl>
    <w:lvl w:ilvl="5">
      <w:start w:val="1"/>
      <w:numFmt w:val="bullet"/>
      <w:lvlText w:val="▪"/>
      <w:lvlJc w:val="left"/>
      <w:pPr>
        <w:tabs>
          <w:tab w:val="num" w:pos="4305"/>
        </w:tabs>
        <w:ind w:left="4305" w:hanging="300"/>
      </w:pPr>
      <w:rPr>
        <w:position w:val="0"/>
        <w:sz w:val="20"/>
        <w:szCs w:val="20"/>
        <w:rtl w:val="0"/>
      </w:rPr>
    </w:lvl>
    <w:lvl w:ilvl="6">
      <w:start w:val="1"/>
      <w:numFmt w:val="bullet"/>
      <w:lvlText w:val="•"/>
      <w:lvlJc w:val="left"/>
      <w:pPr>
        <w:tabs>
          <w:tab w:val="num" w:pos="5025"/>
        </w:tabs>
        <w:ind w:left="5025" w:hanging="300"/>
      </w:pPr>
      <w:rPr>
        <w:position w:val="0"/>
        <w:sz w:val="20"/>
        <w:szCs w:val="20"/>
        <w:rtl w:val="0"/>
      </w:rPr>
    </w:lvl>
    <w:lvl w:ilvl="7">
      <w:start w:val="1"/>
      <w:numFmt w:val="bullet"/>
      <w:lvlText w:val="o"/>
      <w:lvlJc w:val="left"/>
      <w:pPr>
        <w:tabs>
          <w:tab w:val="num" w:pos="5745"/>
        </w:tabs>
        <w:ind w:left="5745" w:hanging="300"/>
      </w:pPr>
      <w:rPr>
        <w:position w:val="0"/>
        <w:sz w:val="20"/>
        <w:szCs w:val="20"/>
        <w:rtl w:val="0"/>
      </w:rPr>
    </w:lvl>
    <w:lvl w:ilvl="8">
      <w:start w:val="1"/>
      <w:numFmt w:val="bullet"/>
      <w:lvlText w:val="▪"/>
      <w:lvlJc w:val="left"/>
      <w:pPr>
        <w:tabs>
          <w:tab w:val="num" w:pos="6465"/>
        </w:tabs>
        <w:ind w:left="6465" w:hanging="300"/>
      </w:pPr>
      <w:rPr>
        <w:position w:val="0"/>
        <w:sz w:val="20"/>
        <w:szCs w:val="20"/>
        <w:rtl w:val="0"/>
      </w:rPr>
    </w:lvl>
  </w:abstractNum>
  <w:abstractNum w:abstractNumId="21" w15:restartNumberingAfterBreak="0">
    <w:nsid w:val="2B6F0B79"/>
    <w:multiLevelType w:val="hybridMultilevel"/>
    <w:tmpl w:val="B01CBA1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2DD3332F"/>
    <w:multiLevelType w:val="hybridMultilevel"/>
    <w:tmpl w:val="36EA23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105962"/>
    <w:multiLevelType w:val="hybridMultilevel"/>
    <w:tmpl w:val="7C0E8B2E"/>
    <w:lvl w:ilvl="0" w:tplc="0809000F">
      <w:start w:val="1"/>
      <w:numFmt w:val="decimal"/>
      <w:lvlText w:val="%1."/>
      <w:lvlJc w:val="left"/>
      <w:pPr>
        <w:ind w:left="666" w:hanging="360"/>
      </w:pPr>
    </w:lvl>
    <w:lvl w:ilvl="1" w:tplc="08090019">
      <w:start w:val="1"/>
      <w:numFmt w:val="lowerLetter"/>
      <w:lvlText w:val="%2."/>
      <w:lvlJc w:val="left"/>
      <w:pPr>
        <w:ind w:left="1386" w:hanging="360"/>
      </w:pPr>
    </w:lvl>
    <w:lvl w:ilvl="2" w:tplc="0809001B">
      <w:start w:val="1"/>
      <w:numFmt w:val="lowerRoman"/>
      <w:lvlText w:val="%3."/>
      <w:lvlJc w:val="right"/>
      <w:pPr>
        <w:ind w:left="2106" w:hanging="180"/>
      </w:pPr>
    </w:lvl>
    <w:lvl w:ilvl="3" w:tplc="0809000F">
      <w:start w:val="1"/>
      <w:numFmt w:val="decimal"/>
      <w:lvlText w:val="%4."/>
      <w:lvlJc w:val="left"/>
      <w:pPr>
        <w:ind w:left="2826" w:hanging="360"/>
      </w:pPr>
    </w:lvl>
    <w:lvl w:ilvl="4" w:tplc="08090019">
      <w:start w:val="1"/>
      <w:numFmt w:val="lowerLetter"/>
      <w:lvlText w:val="%5."/>
      <w:lvlJc w:val="left"/>
      <w:pPr>
        <w:ind w:left="3546" w:hanging="360"/>
      </w:pPr>
    </w:lvl>
    <w:lvl w:ilvl="5" w:tplc="0809001B">
      <w:start w:val="1"/>
      <w:numFmt w:val="lowerRoman"/>
      <w:lvlText w:val="%6."/>
      <w:lvlJc w:val="right"/>
      <w:pPr>
        <w:ind w:left="4266" w:hanging="180"/>
      </w:pPr>
    </w:lvl>
    <w:lvl w:ilvl="6" w:tplc="0809000F">
      <w:start w:val="1"/>
      <w:numFmt w:val="decimal"/>
      <w:lvlText w:val="%7."/>
      <w:lvlJc w:val="left"/>
      <w:pPr>
        <w:ind w:left="4986" w:hanging="360"/>
      </w:pPr>
    </w:lvl>
    <w:lvl w:ilvl="7" w:tplc="08090019">
      <w:start w:val="1"/>
      <w:numFmt w:val="lowerLetter"/>
      <w:lvlText w:val="%8."/>
      <w:lvlJc w:val="left"/>
      <w:pPr>
        <w:ind w:left="5706" w:hanging="360"/>
      </w:pPr>
    </w:lvl>
    <w:lvl w:ilvl="8" w:tplc="0809001B">
      <w:start w:val="1"/>
      <w:numFmt w:val="lowerRoman"/>
      <w:lvlText w:val="%9."/>
      <w:lvlJc w:val="right"/>
      <w:pPr>
        <w:ind w:left="6426" w:hanging="180"/>
      </w:pPr>
    </w:lvl>
  </w:abstractNum>
  <w:abstractNum w:abstractNumId="24" w15:restartNumberingAfterBreak="0">
    <w:nsid w:val="2F645097"/>
    <w:multiLevelType w:val="hybridMultilevel"/>
    <w:tmpl w:val="DEF4D24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F9C3EC2"/>
    <w:multiLevelType w:val="hybridMultilevel"/>
    <w:tmpl w:val="74C88E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08345D5"/>
    <w:multiLevelType w:val="hybridMultilevel"/>
    <w:tmpl w:val="D9CE3EBE"/>
    <w:lvl w:ilvl="0" w:tplc="1E02BD5A">
      <w:start w:val="1"/>
      <w:numFmt w:val="bullet"/>
      <w:lvlText w:val=""/>
      <w:lvlJc w:val="left"/>
      <w:pPr>
        <w:ind w:left="720" w:hanging="360"/>
      </w:pPr>
      <w:rPr>
        <w:rFonts w:ascii="Symbol" w:hAnsi="Symbol" w:hint="default"/>
        <w:b/>
        <w:i w:val="0"/>
        <w:color w:val="BE78E6"/>
      </w:rPr>
    </w:lvl>
    <w:lvl w:ilvl="1" w:tplc="1E02BD5A">
      <w:start w:val="1"/>
      <w:numFmt w:val="bullet"/>
      <w:lvlText w:val=""/>
      <w:lvlJc w:val="left"/>
      <w:pPr>
        <w:ind w:left="1440" w:hanging="360"/>
      </w:pPr>
      <w:rPr>
        <w:rFonts w:ascii="Symbol" w:hAnsi="Symbol" w:hint="default"/>
        <w:b/>
        <w:i w:val="0"/>
        <w:color w:val="BE78E6"/>
      </w:rPr>
    </w:lvl>
    <w:lvl w:ilvl="2" w:tplc="79901736">
      <w:numFmt w:val="bullet"/>
      <w:lvlText w:val="-"/>
      <w:lvlJc w:val="left"/>
      <w:pPr>
        <w:ind w:left="2160" w:hanging="360"/>
      </w:pPr>
      <w:rPr>
        <w:rFonts w:ascii="Calibri" w:eastAsia="Times New Roman" w:hAnsi="Calibri" w:cs="Arial" w:hint="default"/>
        <w:b/>
        <w:i w:val="0"/>
        <w:color w:val="auto"/>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11E02A8"/>
    <w:multiLevelType w:val="hybridMultilevel"/>
    <w:tmpl w:val="07744872"/>
    <w:lvl w:ilvl="0" w:tplc="0809000F">
      <w:start w:val="1"/>
      <w:numFmt w:val="decimal"/>
      <w:lvlText w:val="%1."/>
      <w:lvlJc w:val="left"/>
      <w:pPr>
        <w:ind w:left="928"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31FA6F8E"/>
    <w:multiLevelType w:val="hybridMultilevel"/>
    <w:tmpl w:val="DB9C67BA"/>
    <w:lvl w:ilvl="0" w:tplc="3DC284AC">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4E20140"/>
    <w:multiLevelType w:val="hybridMultilevel"/>
    <w:tmpl w:val="29482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6F91BBE"/>
    <w:multiLevelType w:val="hybridMultilevel"/>
    <w:tmpl w:val="B31AA16C"/>
    <w:lvl w:ilvl="0" w:tplc="0D6C2EFA">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31" w15:restartNumberingAfterBreak="0">
    <w:nsid w:val="3D1877C4"/>
    <w:multiLevelType w:val="hybridMultilevel"/>
    <w:tmpl w:val="D8DAA5B8"/>
    <w:lvl w:ilvl="0" w:tplc="ADD2F12E">
      <w:start w:val="1"/>
      <w:numFmt w:val="bullet"/>
      <w:lvlText w:val="•"/>
      <w:lvlJc w:val="left"/>
      <w:pPr>
        <w:tabs>
          <w:tab w:val="num" w:pos="720"/>
        </w:tabs>
        <w:ind w:left="720" w:hanging="360"/>
      </w:pPr>
      <w:rPr>
        <w:rFonts w:ascii="Swis721 BdOul BT Tur" w:hAnsi="Swis721 BdOul BT Tur" w:cs="Swis721 BdOul BT Tur"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DC5638A"/>
    <w:multiLevelType w:val="hybridMultilevel"/>
    <w:tmpl w:val="D81AEE22"/>
    <w:lvl w:ilvl="0" w:tplc="B8B6CA46">
      <w:start w:val="1"/>
      <w:numFmt w:val="bullet"/>
      <w:lvlText w:val="-"/>
      <w:lvlJc w:val="left"/>
      <w:pPr>
        <w:ind w:left="405" w:hanging="360"/>
      </w:pPr>
      <w:rPr>
        <w:rFonts w:ascii="Calibri" w:eastAsia="Times New Roman" w:hAnsi="Calibri" w:cs="Calibri" w:hint="default"/>
      </w:rPr>
    </w:lvl>
    <w:lvl w:ilvl="1" w:tplc="08090003">
      <w:start w:val="1"/>
      <w:numFmt w:val="bullet"/>
      <w:lvlText w:val="o"/>
      <w:lvlJc w:val="left"/>
      <w:pPr>
        <w:ind w:left="1125" w:hanging="360"/>
      </w:pPr>
      <w:rPr>
        <w:rFonts w:ascii="Courier New" w:hAnsi="Courier New" w:cs="Courier New" w:hint="default"/>
      </w:rPr>
    </w:lvl>
    <w:lvl w:ilvl="2" w:tplc="08090005">
      <w:start w:val="1"/>
      <w:numFmt w:val="bullet"/>
      <w:lvlText w:val=""/>
      <w:lvlJc w:val="left"/>
      <w:pPr>
        <w:ind w:left="1845" w:hanging="360"/>
      </w:pPr>
      <w:rPr>
        <w:rFonts w:ascii="Wingdings" w:hAnsi="Wingdings" w:hint="default"/>
      </w:rPr>
    </w:lvl>
    <w:lvl w:ilvl="3" w:tplc="5526F6A8">
      <w:start w:val="1"/>
      <w:numFmt w:val="decimal"/>
      <w:lvlText w:val="%4."/>
      <w:lvlJc w:val="left"/>
      <w:pPr>
        <w:ind w:left="2565" w:hanging="360"/>
      </w:pPr>
      <w:rPr>
        <w:rFonts w:hint="default"/>
      </w:rPr>
    </w:lvl>
    <w:lvl w:ilvl="4" w:tplc="08090003">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3" w15:restartNumberingAfterBreak="0">
    <w:nsid w:val="3EE7648B"/>
    <w:multiLevelType w:val="hybridMultilevel"/>
    <w:tmpl w:val="8146E0C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3FA73B7C"/>
    <w:multiLevelType w:val="hybridMultilevel"/>
    <w:tmpl w:val="A45A8898"/>
    <w:lvl w:ilvl="0" w:tplc="C8EC7C52">
      <w:start w:val="3"/>
      <w:numFmt w:val="bullet"/>
      <w:lvlText w:val="-"/>
      <w:lvlJc w:val="left"/>
      <w:pPr>
        <w:ind w:left="405" w:hanging="360"/>
      </w:pPr>
      <w:rPr>
        <w:rFonts w:ascii="Calibri" w:eastAsia="Calibri" w:hAnsi="Calibri" w:cs="Calibri" w:hint="default"/>
      </w:rPr>
    </w:lvl>
    <w:lvl w:ilvl="1" w:tplc="08090003">
      <w:start w:val="1"/>
      <w:numFmt w:val="bullet"/>
      <w:lvlText w:val="o"/>
      <w:lvlJc w:val="left"/>
      <w:pPr>
        <w:ind w:left="1125" w:hanging="360"/>
      </w:pPr>
      <w:rPr>
        <w:rFonts w:ascii="Courier New" w:hAnsi="Courier New" w:cs="Courier New" w:hint="default"/>
      </w:rPr>
    </w:lvl>
    <w:lvl w:ilvl="2" w:tplc="08090005">
      <w:start w:val="1"/>
      <w:numFmt w:val="bullet"/>
      <w:lvlText w:val=""/>
      <w:lvlJc w:val="left"/>
      <w:pPr>
        <w:ind w:left="1845" w:hanging="360"/>
      </w:pPr>
      <w:rPr>
        <w:rFonts w:ascii="Wingdings" w:hAnsi="Wingdings" w:hint="default"/>
      </w:rPr>
    </w:lvl>
    <w:lvl w:ilvl="3" w:tplc="B8B6CA46">
      <w:start w:val="1"/>
      <w:numFmt w:val="bullet"/>
      <w:lvlText w:val="-"/>
      <w:lvlJc w:val="left"/>
      <w:pPr>
        <w:ind w:left="2565" w:hanging="360"/>
      </w:pPr>
      <w:rPr>
        <w:rFonts w:ascii="Calibri" w:eastAsia="Times New Roman" w:hAnsi="Calibri" w:cs="Calibri"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5" w15:restartNumberingAfterBreak="0">
    <w:nsid w:val="408620CF"/>
    <w:multiLevelType w:val="hybridMultilevel"/>
    <w:tmpl w:val="9F866E6C"/>
    <w:lvl w:ilvl="0" w:tplc="0809000F">
      <w:start w:val="1"/>
      <w:numFmt w:val="decimal"/>
      <w:lvlText w:val="%1."/>
      <w:lvlJc w:val="left"/>
      <w:pPr>
        <w:ind w:left="2880" w:hanging="360"/>
      </w:pPr>
    </w:lvl>
    <w:lvl w:ilvl="1" w:tplc="08090019" w:tentative="1">
      <w:start w:val="1"/>
      <w:numFmt w:val="lowerLetter"/>
      <w:lvlText w:val="%2."/>
      <w:lvlJc w:val="left"/>
      <w:pPr>
        <w:ind w:left="3676" w:hanging="360"/>
      </w:pPr>
    </w:lvl>
    <w:lvl w:ilvl="2" w:tplc="0809001B" w:tentative="1">
      <w:start w:val="1"/>
      <w:numFmt w:val="lowerRoman"/>
      <w:lvlText w:val="%3."/>
      <w:lvlJc w:val="right"/>
      <w:pPr>
        <w:ind w:left="4396" w:hanging="180"/>
      </w:pPr>
    </w:lvl>
    <w:lvl w:ilvl="3" w:tplc="0809000F" w:tentative="1">
      <w:start w:val="1"/>
      <w:numFmt w:val="decimal"/>
      <w:lvlText w:val="%4."/>
      <w:lvlJc w:val="left"/>
      <w:pPr>
        <w:ind w:left="5116" w:hanging="360"/>
      </w:pPr>
    </w:lvl>
    <w:lvl w:ilvl="4" w:tplc="08090019" w:tentative="1">
      <w:start w:val="1"/>
      <w:numFmt w:val="lowerLetter"/>
      <w:lvlText w:val="%5."/>
      <w:lvlJc w:val="left"/>
      <w:pPr>
        <w:ind w:left="5836" w:hanging="360"/>
      </w:pPr>
    </w:lvl>
    <w:lvl w:ilvl="5" w:tplc="0809001B" w:tentative="1">
      <w:start w:val="1"/>
      <w:numFmt w:val="lowerRoman"/>
      <w:lvlText w:val="%6."/>
      <w:lvlJc w:val="right"/>
      <w:pPr>
        <w:ind w:left="6556" w:hanging="180"/>
      </w:pPr>
    </w:lvl>
    <w:lvl w:ilvl="6" w:tplc="0809000F" w:tentative="1">
      <w:start w:val="1"/>
      <w:numFmt w:val="decimal"/>
      <w:lvlText w:val="%7."/>
      <w:lvlJc w:val="left"/>
      <w:pPr>
        <w:ind w:left="7276" w:hanging="360"/>
      </w:pPr>
    </w:lvl>
    <w:lvl w:ilvl="7" w:tplc="08090019" w:tentative="1">
      <w:start w:val="1"/>
      <w:numFmt w:val="lowerLetter"/>
      <w:lvlText w:val="%8."/>
      <w:lvlJc w:val="left"/>
      <w:pPr>
        <w:ind w:left="7996" w:hanging="360"/>
      </w:pPr>
    </w:lvl>
    <w:lvl w:ilvl="8" w:tplc="0809001B" w:tentative="1">
      <w:start w:val="1"/>
      <w:numFmt w:val="lowerRoman"/>
      <w:lvlText w:val="%9."/>
      <w:lvlJc w:val="right"/>
      <w:pPr>
        <w:ind w:left="8716" w:hanging="180"/>
      </w:pPr>
    </w:lvl>
  </w:abstractNum>
  <w:abstractNum w:abstractNumId="36" w15:restartNumberingAfterBreak="0">
    <w:nsid w:val="40B47D0D"/>
    <w:multiLevelType w:val="hybridMultilevel"/>
    <w:tmpl w:val="8436A3A0"/>
    <w:lvl w:ilvl="0" w:tplc="B8B6CA46">
      <w:start w:val="1"/>
      <w:numFmt w:val="bullet"/>
      <w:lvlText w:val="-"/>
      <w:lvlJc w:val="left"/>
      <w:pPr>
        <w:ind w:left="1080" w:hanging="360"/>
      </w:pPr>
      <w:rPr>
        <w:rFonts w:ascii="Calibri" w:eastAsia="Times New Roman" w:hAnsi="Calibri" w:cs="Calibri" w:hint="default"/>
        <w:b/>
        <w:i w:val="0"/>
        <w:color w:val="BE78E6"/>
      </w:rPr>
    </w:lvl>
    <w:lvl w:ilvl="1" w:tplc="1E02BD5A">
      <w:start w:val="1"/>
      <w:numFmt w:val="bullet"/>
      <w:lvlText w:val=""/>
      <w:lvlJc w:val="left"/>
      <w:pPr>
        <w:ind w:left="1800" w:hanging="360"/>
      </w:pPr>
      <w:rPr>
        <w:rFonts w:ascii="Symbol" w:hAnsi="Symbol" w:hint="default"/>
        <w:b/>
        <w:i w:val="0"/>
        <w:color w:val="BE78E6"/>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40E85299"/>
    <w:multiLevelType w:val="hybridMultilevel"/>
    <w:tmpl w:val="A7A4A9AA"/>
    <w:lvl w:ilvl="0" w:tplc="0809000F">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6B74CD34">
      <w:start w:val="1"/>
      <w:numFmt w:val="lowerRoman"/>
      <w:lvlText w:val="%3."/>
      <w:lvlJc w:val="right"/>
      <w:pPr>
        <w:ind w:left="2340" w:hanging="360"/>
      </w:pPr>
      <w:rPr>
        <w:rFonts w:hint="default"/>
        <w:b w:val="0"/>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42D11F96"/>
    <w:multiLevelType w:val="hybridMultilevel"/>
    <w:tmpl w:val="B91E5F5C"/>
    <w:lvl w:ilvl="0" w:tplc="0809000F">
      <w:start w:val="1"/>
      <w:numFmt w:val="decimal"/>
      <w:lvlText w:val="%1."/>
      <w:lvlJc w:val="left"/>
      <w:pPr>
        <w:ind w:left="405" w:hanging="360"/>
      </w:pPr>
      <w:rPr>
        <w:rFonts w:hint="default"/>
      </w:rPr>
    </w:lvl>
    <w:lvl w:ilvl="1" w:tplc="673CBE78">
      <w:numFmt w:val="bullet"/>
      <w:lvlText w:val="-"/>
      <w:lvlJc w:val="left"/>
      <w:pPr>
        <w:ind w:left="1125" w:hanging="360"/>
      </w:pPr>
      <w:rPr>
        <w:rFonts w:ascii="Calibri" w:eastAsia="Times New Roman" w:hAnsi="Calibri" w:cs="Arial" w:hint="default"/>
        <w:b/>
        <w:i w:val="0"/>
        <w:color w:val="BE78E6"/>
      </w:rPr>
    </w:lvl>
    <w:lvl w:ilvl="2" w:tplc="08090005">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9" w15:restartNumberingAfterBreak="0">
    <w:nsid w:val="445B23CC"/>
    <w:multiLevelType w:val="multilevel"/>
    <w:tmpl w:val="404E5786"/>
    <w:lvl w:ilvl="0">
      <w:start w:val="1"/>
      <w:numFmt w:val="decimal"/>
      <w:pStyle w:val="Heading1"/>
      <w:lvlText w:val="%1"/>
      <w:lvlJc w:val="left"/>
      <w:pPr>
        <w:ind w:left="716" w:hanging="432"/>
      </w:pPr>
    </w:lvl>
    <w:lvl w:ilvl="1">
      <w:start w:val="1"/>
      <w:numFmt w:val="decimal"/>
      <w:pStyle w:val="Heading2"/>
      <w:lvlText w:val="%1.%2"/>
      <w:lvlJc w:val="left"/>
      <w:pPr>
        <w:ind w:left="2703"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rPr>
        <w:color w:val="BE78E6"/>
      </w:rPr>
    </w:lvl>
    <w:lvl w:ilvl="3">
      <w:start w:val="1"/>
      <w:numFmt w:val="decimal"/>
      <w:pStyle w:val="Heading4"/>
      <w:lvlText w:val="%1.%2.%3.%4"/>
      <w:lvlJc w:val="left"/>
      <w:pPr>
        <w:ind w:left="864" w:hanging="864"/>
      </w:pPr>
      <w:rPr>
        <w:color w:val="auto"/>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451738A4"/>
    <w:multiLevelType w:val="hybridMultilevel"/>
    <w:tmpl w:val="6D4A52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4798495C"/>
    <w:multiLevelType w:val="hybridMultilevel"/>
    <w:tmpl w:val="02363802"/>
    <w:lvl w:ilvl="0" w:tplc="0248E3CE">
      <w:start w:val="3"/>
      <w:numFmt w:val="bullet"/>
      <w:lvlText w:val="-"/>
      <w:lvlJc w:val="left"/>
      <w:pPr>
        <w:ind w:left="405" w:hanging="360"/>
      </w:pPr>
      <w:rPr>
        <w:rFonts w:ascii="Calibri" w:eastAsia="Times New Roman"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42" w15:restartNumberingAfterBreak="0">
    <w:nsid w:val="487753B5"/>
    <w:multiLevelType w:val="hybridMultilevel"/>
    <w:tmpl w:val="2EBC65FA"/>
    <w:lvl w:ilvl="0" w:tplc="0809000F">
      <w:start w:val="1"/>
      <w:numFmt w:val="decimal"/>
      <w:lvlText w:val="%1."/>
      <w:lvlJc w:val="left"/>
      <w:pPr>
        <w:ind w:left="4680" w:hanging="360"/>
      </w:pPr>
    </w:lvl>
    <w:lvl w:ilvl="1" w:tplc="08090019" w:tentative="1">
      <w:start w:val="1"/>
      <w:numFmt w:val="lowerLetter"/>
      <w:lvlText w:val="%2."/>
      <w:lvlJc w:val="left"/>
      <w:pPr>
        <w:ind w:left="5400" w:hanging="360"/>
      </w:pPr>
    </w:lvl>
    <w:lvl w:ilvl="2" w:tplc="0809001B" w:tentative="1">
      <w:start w:val="1"/>
      <w:numFmt w:val="lowerRoman"/>
      <w:lvlText w:val="%3."/>
      <w:lvlJc w:val="right"/>
      <w:pPr>
        <w:ind w:left="6120" w:hanging="180"/>
      </w:pPr>
    </w:lvl>
    <w:lvl w:ilvl="3" w:tplc="0809000F" w:tentative="1">
      <w:start w:val="1"/>
      <w:numFmt w:val="decimal"/>
      <w:lvlText w:val="%4."/>
      <w:lvlJc w:val="left"/>
      <w:pPr>
        <w:ind w:left="6840" w:hanging="360"/>
      </w:pPr>
    </w:lvl>
    <w:lvl w:ilvl="4" w:tplc="08090019" w:tentative="1">
      <w:start w:val="1"/>
      <w:numFmt w:val="lowerLetter"/>
      <w:lvlText w:val="%5."/>
      <w:lvlJc w:val="left"/>
      <w:pPr>
        <w:ind w:left="7560" w:hanging="360"/>
      </w:pPr>
    </w:lvl>
    <w:lvl w:ilvl="5" w:tplc="0809001B" w:tentative="1">
      <w:start w:val="1"/>
      <w:numFmt w:val="lowerRoman"/>
      <w:lvlText w:val="%6."/>
      <w:lvlJc w:val="right"/>
      <w:pPr>
        <w:ind w:left="8280" w:hanging="180"/>
      </w:pPr>
    </w:lvl>
    <w:lvl w:ilvl="6" w:tplc="0809000F" w:tentative="1">
      <w:start w:val="1"/>
      <w:numFmt w:val="decimal"/>
      <w:lvlText w:val="%7."/>
      <w:lvlJc w:val="left"/>
      <w:pPr>
        <w:ind w:left="9000" w:hanging="360"/>
      </w:pPr>
    </w:lvl>
    <w:lvl w:ilvl="7" w:tplc="08090019" w:tentative="1">
      <w:start w:val="1"/>
      <w:numFmt w:val="lowerLetter"/>
      <w:lvlText w:val="%8."/>
      <w:lvlJc w:val="left"/>
      <w:pPr>
        <w:ind w:left="9720" w:hanging="360"/>
      </w:pPr>
    </w:lvl>
    <w:lvl w:ilvl="8" w:tplc="0809001B" w:tentative="1">
      <w:start w:val="1"/>
      <w:numFmt w:val="lowerRoman"/>
      <w:lvlText w:val="%9."/>
      <w:lvlJc w:val="right"/>
      <w:pPr>
        <w:ind w:left="10440" w:hanging="180"/>
      </w:pPr>
    </w:lvl>
  </w:abstractNum>
  <w:abstractNum w:abstractNumId="43" w15:restartNumberingAfterBreak="0">
    <w:nsid w:val="48D303FE"/>
    <w:multiLevelType w:val="hybridMultilevel"/>
    <w:tmpl w:val="1D4C352A"/>
    <w:lvl w:ilvl="0" w:tplc="0248E3CE">
      <w:start w:val="3"/>
      <w:numFmt w:val="bullet"/>
      <w:lvlText w:val="-"/>
      <w:lvlJc w:val="left"/>
      <w:pPr>
        <w:ind w:left="720" w:hanging="360"/>
      </w:pPr>
      <w:rPr>
        <w:rFonts w:ascii="Calibri" w:eastAsia="Times New Roman"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B9565D1"/>
    <w:multiLevelType w:val="hybridMultilevel"/>
    <w:tmpl w:val="E774F60A"/>
    <w:lvl w:ilvl="0" w:tplc="673CBE78">
      <w:numFmt w:val="bullet"/>
      <w:lvlText w:val="-"/>
      <w:lvlJc w:val="left"/>
      <w:pPr>
        <w:ind w:left="720" w:hanging="360"/>
      </w:pPr>
      <w:rPr>
        <w:rFonts w:ascii="Calibri" w:eastAsia="Times New Roman" w:hAnsi="Calibri" w:cs="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C662E7D"/>
    <w:multiLevelType w:val="hybridMultilevel"/>
    <w:tmpl w:val="6F884FDA"/>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15:restartNumberingAfterBreak="0">
    <w:nsid w:val="4DA74606"/>
    <w:multiLevelType w:val="hybridMultilevel"/>
    <w:tmpl w:val="78C6B3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E747195"/>
    <w:multiLevelType w:val="hybridMultilevel"/>
    <w:tmpl w:val="7758F858"/>
    <w:lvl w:ilvl="0" w:tplc="B8B6CA46">
      <w:start w:val="1"/>
      <w:numFmt w:val="bullet"/>
      <w:lvlText w:val="-"/>
      <w:lvlJc w:val="left"/>
      <w:pPr>
        <w:ind w:left="1080" w:hanging="360"/>
      </w:pPr>
      <w:rPr>
        <w:rFonts w:ascii="Calibri" w:eastAsia="Times New Roman" w:hAnsi="Calibri" w:cs="Calibri" w:hint="default"/>
        <w:b/>
        <w:i w:val="0"/>
        <w:color w:val="BE78E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4EFB4874"/>
    <w:multiLevelType w:val="hybridMultilevel"/>
    <w:tmpl w:val="FC0882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9" w15:restartNumberingAfterBreak="0">
    <w:nsid w:val="4FD679C5"/>
    <w:multiLevelType w:val="hybridMultilevel"/>
    <w:tmpl w:val="8146E0C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50837FC0"/>
    <w:multiLevelType w:val="hybridMultilevel"/>
    <w:tmpl w:val="9D1A9D86"/>
    <w:lvl w:ilvl="0" w:tplc="0809000F">
      <w:start w:val="1"/>
      <w:numFmt w:val="decimal"/>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51" w15:restartNumberingAfterBreak="0">
    <w:nsid w:val="51155FAB"/>
    <w:multiLevelType w:val="hybridMultilevel"/>
    <w:tmpl w:val="F800D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3BF13DE"/>
    <w:multiLevelType w:val="hybridMultilevel"/>
    <w:tmpl w:val="B3BEEFC6"/>
    <w:lvl w:ilvl="0" w:tplc="00622C88">
      <w:start w:val="1"/>
      <w:numFmt w:val="decimal"/>
      <w:lvlText w:val="%1."/>
      <w:lvlJc w:val="left"/>
      <w:pPr>
        <w:ind w:left="360" w:hanging="360"/>
      </w:pPr>
      <w:rPr>
        <w:rFonts w:hint="default"/>
        <w:b w:val="0"/>
      </w:rPr>
    </w:lvl>
    <w:lvl w:ilvl="1" w:tplc="08090019">
      <w:start w:val="1"/>
      <w:numFmt w:val="lowerLetter"/>
      <w:lvlText w:val="%2."/>
      <w:lvlJc w:val="left"/>
      <w:pPr>
        <w:ind w:left="1080" w:hanging="360"/>
      </w:pPr>
    </w:lvl>
    <w:lvl w:ilvl="2" w:tplc="B8B6CA46">
      <w:start w:val="1"/>
      <w:numFmt w:val="bullet"/>
      <w:lvlText w:val="-"/>
      <w:lvlJc w:val="left"/>
      <w:pPr>
        <w:ind w:left="1980" w:hanging="360"/>
      </w:pPr>
      <w:rPr>
        <w:rFonts w:ascii="Calibri" w:eastAsia="Times New Roman" w:hAnsi="Calibri" w:cs="Calibri" w:hint="default"/>
      </w:r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0F">
      <w:start w:val="1"/>
      <w:numFmt w:val="decimal"/>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53E530EB"/>
    <w:multiLevelType w:val="hybridMultilevel"/>
    <w:tmpl w:val="73701ED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4660716"/>
    <w:multiLevelType w:val="hybridMultilevel"/>
    <w:tmpl w:val="1AD22EEA"/>
    <w:lvl w:ilvl="0" w:tplc="4FB685DA">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6B74CD34">
      <w:start w:val="1"/>
      <w:numFmt w:val="lowerRoman"/>
      <w:lvlText w:val="%3."/>
      <w:lvlJc w:val="right"/>
      <w:pPr>
        <w:ind w:left="2340" w:hanging="360"/>
      </w:pPr>
      <w:rPr>
        <w:rFonts w:hint="default"/>
        <w:b w:val="0"/>
      </w:rPr>
    </w:lvl>
    <w:lvl w:ilvl="3" w:tplc="0809000F">
      <w:start w:val="1"/>
      <w:numFmt w:val="decimal"/>
      <w:lvlText w:val="%4."/>
      <w:lvlJc w:val="left"/>
      <w:pPr>
        <w:ind w:left="644"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46A1DF3"/>
    <w:multiLevelType w:val="hybridMultilevel"/>
    <w:tmpl w:val="6B36663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62B7962"/>
    <w:multiLevelType w:val="hybridMultilevel"/>
    <w:tmpl w:val="E8CA3976"/>
    <w:lvl w:ilvl="0" w:tplc="0809000F">
      <w:start w:val="1"/>
      <w:numFmt w:val="decimal"/>
      <w:lvlText w:val="%1."/>
      <w:lvlJc w:val="left"/>
      <w:pPr>
        <w:ind w:left="4680" w:hanging="360"/>
      </w:pPr>
    </w:lvl>
    <w:lvl w:ilvl="1" w:tplc="08090019" w:tentative="1">
      <w:start w:val="1"/>
      <w:numFmt w:val="lowerLetter"/>
      <w:lvlText w:val="%2."/>
      <w:lvlJc w:val="left"/>
      <w:pPr>
        <w:ind w:left="5400" w:hanging="360"/>
      </w:pPr>
    </w:lvl>
    <w:lvl w:ilvl="2" w:tplc="0809001B" w:tentative="1">
      <w:start w:val="1"/>
      <w:numFmt w:val="lowerRoman"/>
      <w:lvlText w:val="%3."/>
      <w:lvlJc w:val="right"/>
      <w:pPr>
        <w:ind w:left="6120" w:hanging="180"/>
      </w:pPr>
    </w:lvl>
    <w:lvl w:ilvl="3" w:tplc="0809000F" w:tentative="1">
      <w:start w:val="1"/>
      <w:numFmt w:val="decimal"/>
      <w:lvlText w:val="%4."/>
      <w:lvlJc w:val="left"/>
      <w:pPr>
        <w:ind w:left="6840" w:hanging="360"/>
      </w:pPr>
    </w:lvl>
    <w:lvl w:ilvl="4" w:tplc="08090019" w:tentative="1">
      <w:start w:val="1"/>
      <w:numFmt w:val="lowerLetter"/>
      <w:lvlText w:val="%5."/>
      <w:lvlJc w:val="left"/>
      <w:pPr>
        <w:ind w:left="7560" w:hanging="360"/>
      </w:pPr>
    </w:lvl>
    <w:lvl w:ilvl="5" w:tplc="0809001B" w:tentative="1">
      <w:start w:val="1"/>
      <w:numFmt w:val="lowerRoman"/>
      <w:lvlText w:val="%6."/>
      <w:lvlJc w:val="right"/>
      <w:pPr>
        <w:ind w:left="8280" w:hanging="180"/>
      </w:pPr>
    </w:lvl>
    <w:lvl w:ilvl="6" w:tplc="0809000F" w:tentative="1">
      <w:start w:val="1"/>
      <w:numFmt w:val="decimal"/>
      <w:lvlText w:val="%7."/>
      <w:lvlJc w:val="left"/>
      <w:pPr>
        <w:ind w:left="9000" w:hanging="360"/>
      </w:pPr>
    </w:lvl>
    <w:lvl w:ilvl="7" w:tplc="08090019" w:tentative="1">
      <w:start w:val="1"/>
      <w:numFmt w:val="lowerLetter"/>
      <w:lvlText w:val="%8."/>
      <w:lvlJc w:val="left"/>
      <w:pPr>
        <w:ind w:left="9720" w:hanging="360"/>
      </w:pPr>
    </w:lvl>
    <w:lvl w:ilvl="8" w:tplc="0809001B" w:tentative="1">
      <w:start w:val="1"/>
      <w:numFmt w:val="lowerRoman"/>
      <w:lvlText w:val="%9."/>
      <w:lvlJc w:val="right"/>
      <w:pPr>
        <w:ind w:left="10440" w:hanging="180"/>
      </w:pPr>
    </w:lvl>
  </w:abstractNum>
  <w:abstractNum w:abstractNumId="57" w15:restartNumberingAfterBreak="0">
    <w:nsid w:val="56BE1247"/>
    <w:multiLevelType w:val="hybridMultilevel"/>
    <w:tmpl w:val="E51C219C"/>
    <w:lvl w:ilvl="0" w:tplc="0809000F">
      <w:start w:val="1"/>
      <w:numFmt w:val="decimal"/>
      <w:lvlText w:val="%1."/>
      <w:lvlJc w:val="left"/>
      <w:pPr>
        <w:ind w:left="2254" w:hanging="360"/>
      </w:pPr>
    </w:lvl>
    <w:lvl w:ilvl="1" w:tplc="08090019" w:tentative="1">
      <w:start w:val="1"/>
      <w:numFmt w:val="lowerLetter"/>
      <w:lvlText w:val="%2."/>
      <w:lvlJc w:val="left"/>
      <w:pPr>
        <w:ind w:left="2974" w:hanging="360"/>
      </w:pPr>
    </w:lvl>
    <w:lvl w:ilvl="2" w:tplc="0809001B" w:tentative="1">
      <w:start w:val="1"/>
      <w:numFmt w:val="lowerRoman"/>
      <w:lvlText w:val="%3."/>
      <w:lvlJc w:val="right"/>
      <w:pPr>
        <w:ind w:left="3694" w:hanging="180"/>
      </w:pPr>
    </w:lvl>
    <w:lvl w:ilvl="3" w:tplc="0809000F" w:tentative="1">
      <w:start w:val="1"/>
      <w:numFmt w:val="decimal"/>
      <w:lvlText w:val="%4."/>
      <w:lvlJc w:val="left"/>
      <w:pPr>
        <w:ind w:left="4414" w:hanging="360"/>
      </w:pPr>
    </w:lvl>
    <w:lvl w:ilvl="4" w:tplc="08090019" w:tentative="1">
      <w:start w:val="1"/>
      <w:numFmt w:val="lowerLetter"/>
      <w:lvlText w:val="%5."/>
      <w:lvlJc w:val="left"/>
      <w:pPr>
        <w:ind w:left="5134" w:hanging="360"/>
      </w:pPr>
    </w:lvl>
    <w:lvl w:ilvl="5" w:tplc="0809001B" w:tentative="1">
      <w:start w:val="1"/>
      <w:numFmt w:val="lowerRoman"/>
      <w:lvlText w:val="%6."/>
      <w:lvlJc w:val="right"/>
      <w:pPr>
        <w:ind w:left="5854" w:hanging="180"/>
      </w:pPr>
    </w:lvl>
    <w:lvl w:ilvl="6" w:tplc="0809000F" w:tentative="1">
      <w:start w:val="1"/>
      <w:numFmt w:val="decimal"/>
      <w:lvlText w:val="%7."/>
      <w:lvlJc w:val="left"/>
      <w:pPr>
        <w:ind w:left="6574" w:hanging="360"/>
      </w:pPr>
    </w:lvl>
    <w:lvl w:ilvl="7" w:tplc="08090019" w:tentative="1">
      <w:start w:val="1"/>
      <w:numFmt w:val="lowerLetter"/>
      <w:lvlText w:val="%8."/>
      <w:lvlJc w:val="left"/>
      <w:pPr>
        <w:ind w:left="7294" w:hanging="360"/>
      </w:pPr>
    </w:lvl>
    <w:lvl w:ilvl="8" w:tplc="0809001B" w:tentative="1">
      <w:start w:val="1"/>
      <w:numFmt w:val="lowerRoman"/>
      <w:lvlText w:val="%9."/>
      <w:lvlJc w:val="right"/>
      <w:pPr>
        <w:ind w:left="8014" w:hanging="180"/>
      </w:pPr>
    </w:lvl>
  </w:abstractNum>
  <w:abstractNum w:abstractNumId="58" w15:restartNumberingAfterBreak="0">
    <w:nsid w:val="58950CF8"/>
    <w:multiLevelType w:val="hybridMultilevel"/>
    <w:tmpl w:val="C3C02EB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8E50E1D"/>
    <w:multiLevelType w:val="hybridMultilevel"/>
    <w:tmpl w:val="8F12248C"/>
    <w:lvl w:ilvl="0" w:tplc="26C4A04A">
      <w:start w:val="1"/>
      <w:numFmt w:val="decimal"/>
      <w:lvlText w:val="%1."/>
      <w:lvlJc w:val="left"/>
      <w:pPr>
        <w:ind w:left="360" w:hanging="360"/>
      </w:pPr>
      <w:rPr>
        <w:rFonts w:hint="default"/>
        <w:b w:val="0"/>
      </w:rPr>
    </w:lvl>
    <w:lvl w:ilvl="1" w:tplc="0809000F">
      <w:start w:val="1"/>
      <w:numFmt w:val="decimal"/>
      <w:lvlText w:val="%2."/>
      <w:lvlJc w:val="left"/>
      <w:pPr>
        <w:ind w:left="1080" w:hanging="360"/>
      </w:pPr>
    </w:lvl>
    <w:lvl w:ilvl="2" w:tplc="B8B6CA46">
      <w:start w:val="1"/>
      <w:numFmt w:val="bullet"/>
      <w:lvlText w:val="-"/>
      <w:lvlJc w:val="left"/>
      <w:pPr>
        <w:ind w:left="1980" w:hanging="360"/>
      </w:pPr>
      <w:rPr>
        <w:rFonts w:ascii="Calibri" w:eastAsia="Times New Roman" w:hAnsi="Calibri" w:cs="Calibri" w:hint="default"/>
      </w:r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0F">
      <w:start w:val="1"/>
      <w:numFmt w:val="decimal"/>
      <w:lvlText w:val="%8."/>
      <w:lvlJc w:val="left"/>
      <w:pPr>
        <w:ind w:left="5400" w:hanging="360"/>
      </w:pPr>
    </w:lvl>
    <w:lvl w:ilvl="8" w:tplc="0809001B">
      <w:start w:val="1"/>
      <w:numFmt w:val="lowerRoman"/>
      <w:lvlText w:val="%9."/>
      <w:lvlJc w:val="right"/>
      <w:pPr>
        <w:ind w:left="6120" w:hanging="180"/>
      </w:pPr>
    </w:lvl>
  </w:abstractNum>
  <w:abstractNum w:abstractNumId="60" w15:restartNumberingAfterBreak="0">
    <w:nsid w:val="590A1A9D"/>
    <w:multiLevelType w:val="hybridMultilevel"/>
    <w:tmpl w:val="8146E0C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597E7D1B"/>
    <w:multiLevelType w:val="hybridMultilevel"/>
    <w:tmpl w:val="99B64BC2"/>
    <w:lvl w:ilvl="0" w:tplc="0809000F">
      <w:start w:val="1"/>
      <w:numFmt w:val="decimal"/>
      <w:lvlText w:val="%1."/>
      <w:lvlJc w:val="left"/>
      <w:pPr>
        <w:ind w:left="405" w:hanging="360"/>
      </w:pPr>
      <w:rPr>
        <w:rFonts w:hint="default"/>
      </w:rPr>
    </w:lvl>
    <w:lvl w:ilvl="1" w:tplc="0FF2F3A4">
      <w:start w:val="1"/>
      <w:numFmt w:val="lowerLetter"/>
      <w:lvlText w:val="%2."/>
      <w:lvlJc w:val="left"/>
      <w:pPr>
        <w:ind w:left="1125" w:hanging="360"/>
      </w:pPr>
      <w:rPr>
        <w:rFonts w:ascii="Calibri" w:eastAsia="Times New Roman" w:hAnsi="Calibri" w:cs="Times New Roman"/>
      </w:rPr>
    </w:lvl>
    <w:lvl w:ilvl="2" w:tplc="08090005">
      <w:start w:val="1"/>
      <w:numFmt w:val="bullet"/>
      <w:lvlText w:val=""/>
      <w:lvlJc w:val="left"/>
      <w:pPr>
        <w:ind w:left="1845" w:hanging="360"/>
      </w:pPr>
      <w:rPr>
        <w:rFonts w:ascii="Wingdings" w:hAnsi="Wingdings" w:hint="default"/>
      </w:rPr>
    </w:lvl>
    <w:lvl w:ilvl="3" w:tplc="5526F6A8">
      <w:start w:val="1"/>
      <w:numFmt w:val="decimal"/>
      <w:lvlText w:val="%4."/>
      <w:lvlJc w:val="left"/>
      <w:pPr>
        <w:ind w:left="2565" w:hanging="360"/>
      </w:pPr>
      <w:rPr>
        <w:rFonts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62" w15:restartNumberingAfterBreak="0">
    <w:nsid w:val="5B71525F"/>
    <w:multiLevelType w:val="hybridMultilevel"/>
    <w:tmpl w:val="ABC2A804"/>
    <w:lvl w:ilvl="0" w:tplc="8B1E93A4">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B8B6CA46">
      <w:start w:val="1"/>
      <w:numFmt w:val="bullet"/>
      <w:lvlText w:val="-"/>
      <w:lvlJc w:val="left"/>
      <w:pPr>
        <w:ind w:left="1980" w:hanging="360"/>
      </w:pPr>
      <w:rPr>
        <w:rFonts w:ascii="Calibri" w:eastAsia="Times New Roman" w:hAnsi="Calibri" w:cs="Calibri" w:hint="default"/>
      </w:r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5BB1578C"/>
    <w:multiLevelType w:val="hybridMultilevel"/>
    <w:tmpl w:val="F32C7E66"/>
    <w:lvl w:ilvl="0" w:tplc="AFE21430">
      <w:start w:val="1"/>
      <w:numFmt w:val="decimal"/>
      <w:lvlText w:val="%1."/>
      <w:lvlJc w:val="left"/>
      <w:pPr>
        <w:ind w:left="1080" w:hanging="360"/>
      </w:pPr>
      <w:rPr>
        <w:rFonts w:hint="default"/>
        <w:b w:val="0"/>
        <w:i w:val="0"/>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4" w15:restartNumberingAfterBreak="0">
    <w:nsid w:val="5D7B7B19"/>
    <w:multiLevelType w:val="hybridMultilevel"/>
    <w:tmpl w:val="731C88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5DB23BA4"/>
    <w:multiLevelType w:val="hybridMultilevel"/>
    <w:tmpl w:val="B4D879A2"/>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15:restartNumberingAfterBreak="0">
    <w:nsid w:val="5E3E387D"/>
    <w:multiLevelType w:val="hybridMultilevel"/>
    <w:tmpl w:val="A6EE77BC"/>
    <w:lvl w:ilvl="0" w:tplc="CBD42BDC">
      <w:start w:val="1"/>
      <w:numFmt w:val="bullet"/>
      <w:lvlText w:val="-"/>
      <w:lvlJc w:val="left"/>
      <w:pPr>
        <w:ind w:left="405"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F4225FD"/>
    <w:multiLevelType w:val="hybridMultilevel"/>
    <w:tmpl w:val="D29C35FC"/>
    <w:lvl w:ilvl="0" w:tplc="8B1E93A4">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B8B6CA46">
      <w:start w:val="1"/>
      <w:numFmt w:val="bullet"/>
      <w:lvlText w:val="-"/>
      <w:lvlJc w:val="left"/>
      <w:pPr>
        <w:ind w:left="1980" w:hanging="360"/>
      </w:pPr>
      <w:rPr>
        <w:rFonts w:ascii="Calibri" w:eastAsia="Times New Roman" w:hAnsi="Calibri" w:cs="Calibri" w:hint="default"/>
      </w:r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5F7A098B"/>
    <w:multiLevelType w:val="hybridMultilevel"/>
    <w:tmpl w:val="778229D6"/>
    <w:lvl w:ilvl="0" w:tplc="26C4A04A">
      <w:start w:val="1"/>
      <w:numFmt w:val="decimal"/>
      <w:lvlText w:val="%1."/>
      <w:lvlJc w:val="left"/>
      <w:pPr>
        <w:ind w:left="360" w:hanging="360"/>
      </w:pPr>
      <w:rPr>
        <w:rFonts w:hint="default"/>
        <w:b w:val="0"/>
      </w:rPr>
    </w:lvl>
    <w:lvl w:ilvl="1" w:tplc="0809000F">
      <w:start w:val="1"/>
      <w:numFmt w:val="decimal"/>
      <w:lvlText w:val="%2."/>
      <w:lvlJc w:val="left"/>
      <w:pPr>
        <w:ind w:left="1080" w:hanging="360"/>
      </w:pPr>
    </w:lvl>
    <w:lvl w:ilvl="2" w:tplc="B8B6CA46">
      <w:start w:val="1"/>
      <w:numFmt w:val="bullet"/>
      <w:lvlText w:val="-"/>
      <w:lvlJc w:val="left"/>
      <w:pPr>
        <w:ind w:left="1980" w:hanging="360"/>
      </w:pPr>
      <w:rPr>
        <w:rFonts w:ascii="Calibri" w:eastAsia="Times New Roman" w:hAnsi="Calibri" w:cs="Calibri" w:hint="default"/>
      </w:rPr>
    </w:lvl>
    <w:lvl w:ilvl="3" w:tplc="B8B6CA46">
      <w:start w:val="1"/>
      <w:numFmt w:val="bullet"/>
      <w:lvlText w:val="-"/>
      <w:lvlJc w:val="left"/>
      <w:pPr>
        <w:ind w:left="2520" w:hanging="360"/>
      </w:pPr>
      <w:rPr>
        <w:rFonts w:ascii="Calibri" w:eastAsia="Times New Roman" w:hAnsi="Calibri" w:cs="Calibri"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0F">
      <w:start w:val="1"/>
      <w:numFmt w:val="decimal"/>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650C5A91"/>
    <w:multiLevelType w:val="hybridMultilevel"/>
    <w:tmpl w:val="B6707882"/>
    <w:lvl w:ilvl="0" w:tplc="A5567276">
      <w:start w:val="1"/>
      <w:numFmt w:val="decimal"/>
      <w:pStyle w:val="MediumGrid1-Accent21"/>
      <w:lvlText w:val="%1."/>
      <w:lvlJc w:val="left"/>
      <w:pPr>
        <w:ind w:left="1440" w:hanging="360"/>
      </w:pPr>
      <w:rPr>
        <w:rFonts w:hint="default"/>
        <w:b/>
        <w:i w:val="0"/>
        <w:color w:val="BE78E6"/>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0" w15:restartNumberingAfterBreak="0">
    <w:nsid w:val="66786247"/>
    <w:multiLevelType w:val="multilevel"/>
    <w:tmpl w:val="05A29864"/>
    <w:styleLink w:val="List31"/>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71" w15:restartNumberingAfterBreak="0">
    <w:nsid w:val="675B4958"/>
    <w:multiLevelType w:val="hybridMultilevel"/>
    <w:tmpl w:val="356A701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693A1DE8"/>
    <w:multiLevelType w:val="hybridMultilevel"/>
    <w:tmpl w:val="D63425F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01F1D6B"/>
    <w:multiLevelType w:val="hybridMultilevel"/>
    <w:tmpl w:val="80C4523E"/>
    <w:lvl w:ilvl="0" w:tplc="08090019">
      <w:start w:val="1"/>
      <w:numFmt w:val="lowerLetter"/>
      <w:lvlText w:val="%1."/>
      <w:lvlJc w:val="left"/>
      <w:pPr>
        <w:ind w:left="3960" w:hanging="360"/>
      </w:p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74" w15:restartNumberingAfterBreak="0">
    <w:nsid w:val="70914C84"/>
    <w:multiLevelType w:val="hybridMultilevel"/>
    <w:tmpl w:val="0928A71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70D61FC0"/>
    <w:multiLevelType w:val="hybridMultilevel"/>
    <w:tmpl w:val="C3C02EB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719F268D"/>
    <w:multiLevelType w:val="hybridMultilevel"/>
    <w:tmpl w:val="4C34DEE8"/>
    <w:lvl w:ilvl="0" w:tplc="AA449004">
      <w:numFmt w:val="bullet"/>
      <w:lvlText w:val="-"/>
      <w:lvlJc w:val="left"/>
      <w:pPr>
        <w:ind w:left="390" w:hanging="360"/>
      </w:pPr>
      <w:rPr>
        <w:rFonts w:ascii="Calibri" w:eastAsia="Times New Roman" w:hAnsi="Calibri" w:cs="Calibri" w:hint="default"/>
        <w:sz w:val="16"/>
      </w:rPr>
    </w:lvl>
    <w:lvl w:ilvl="1" w:tplc="08090003" w:tentative="1">
      <w:start w:val="1"/>
      <w:numFmt w:val="bullet"/>
      <w:lvlText w:val="o"/>
      <w:lvlJc w:val="left"/>
      <w:pPr>
        <w:ind w:left="1110" w:hanging="360"/>
      </w:pPr>
      <w:rPr>
        <w:rFonts w:ascii="Courier New" w:hAnsi="Courier New" w:cs="Courier New" w:hint="default"/>
      </w:rPr>
    </w:lvl>
    <w:lvl w:ilvl="2" w:tplc="08090005" w:tentative="1">
      <w:start w:val="1"/>
      <w:numFmt w:val="bullet"/>
      <w:lvlText w:val=""/>
      <w:lvlJc w:val="left"/>
      <w:pPr>
        <w:ind w:left="1830" w:hanging="360"/>
      </w:pPr>
      <w:rPr>
        <w:rFonts w:ascii="Wingdings" w:hAnsi="Wingdings" w:hint="default"/>
      </w:rPr>
    </w:lvl>
    <w:lvl w:ilvl="3" w:tplc="08090001" w:tentative="1">
      <w:start w:val="1"/>
      <w:numFmt w:val="bullet"/>
      <w:lvlText w:val=""/>
      <w:lvlJc w:val="left"/>
      <w:pPr>
        <w:ind w:left="2550" w:hanging="360"/>
      </w:pPr>
      <w:rPr>
        <w:rFonts w:ascii="Symbol" w:hAnsi="Symbol" w:hint="default"/>
      </w:rPr>
    </w:lvl>
    <w:lvl w:ilvl="4" w:tplc="08090003" w:tentative="1">
      <w:start w:val="1"/>
      <w:numFmt w:val="bullet"/>
      <w:lvlText w:val="o"/>
      <w:lvlJc w:val="left"/>
      <w:pPr>
        <w:ind w:left="3270" w:hanging="360"/>
      </w:pPr>
      <w:rPr>
        <w:rFonts w:ascii="Courier New" w:hAnsi="Courier New" w:cs="Courier New" w:hint="default"/>
      </w:rPr>
    </w:lvl>
    <w:lvl w:ilvl="5" w:tplc="08090005" w:tentative="1">
      <w:start w:val="1"/>
      <w:numFmt w:val="bullet"/>
      <w:lvlText w:val=""/>
      <w:lvlJc w:val="left"/>
      <w:pPr>
        <w:ind w:left="3990" w:hanging="360"/>
      </w:pPr>
      <w:rPr>
        <w:rFonts w:ascii="Wingdings" w:hAnsi="Wingdings" w:hint="default"/>
      </w:rPr>
    </w:lvl>
    <w:lvl w:ilvl="6" w:tplc="08090001" w:tentative="1">
      <w:start w:val="1"/>
      <w:numFmt w:val="bullet"/>
      <w:lvlText w:val=""/>
      <w:lvlJc w:val="left"/>
      <w:pPr>
        <w:ind w:left="4710" w:hanging="360"/>
      </w:pPr>
      <w:rPr>
        <w:rFonts w:ascii="Symbol" w:hAnsi="Symbol" w:hint="default"/>
      </w:rPr>
    </w:lvl>
    <w:lvl w:ilvl="7" w:tplc="08090003" w:tentative="1">
      <w:start w:val="1"/>
      <w:numFmt w:val="bullet"/>
      <w:lvlText w:val="o"/>
      <w:lvlJc w:val="left"/>
      <w:pPr>
        <w:ind w:left="5430" w:hanging="360"/>
      </w:pPr>
      <w:rPr>
        <w:rFonts w:ascii="Courier New" w:hAnsi="Courier New" w:cs="Courier New" w:hint="default"/>
      </w:rPr>
    </w:lvl>
    <w:lvl w:ilvl="8" w:tplc="08090005" w:tentative="1">
      <w:start w:val="1"/>
      <w:numFmt w:val="bullet"/>
      <w:lvlText w:val=""/>
      <w:lvlJc w:val="left"/>
      <w:pPr>
        <w:ind w:left="6150" w:hanging="360"/>
      </w:pPr>
      <w:rPr>
        <w:rFonts w:ascii="Wingdings" w:hAnsi="Wingdings" w:hint="default"/>
      </w:rPr>
    </w:lvl>
  </w:abstractNum>
  <w:abstractNum w:abstractNumId="77" w15:restartNumberingAfterBreak="0">
    <w:nsid w:val="71F05AC8"/>
    <w:multiLevelType w:val="hybridMultilevel"/>
    <w:tmpl w:val="C80279BE"/>
    <w:lvl w:ilvl="0" w:tplc="B8B6CA46">
      <w:start w:val="1"/>
      <w:numFmt w:val="bullet"/>
      <w:lvlText w:val="-"/>
      <w:lvlJc w:val="left"/>
      <w:pPr>
        <w:ind w:left="1125"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8" w15:restartNumberingAfterBreak="0">
    <w:nsid w:val="759A57E7"/>
    <w:multiLevelType w:val="hybridMultilevel"/>
    <w:tmpl w:val="2DEC16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15:restartNumberingAfterBreak="0">
    <w:nsid w:val="75E946E5"/>
    <w:multiLevelType w:val="hybridMultilevel"/>
    <w:tmpl w:val="D7F80198"/>
    <w:lvl w:ilvl="0" w:tplc="8DF0BEDA">
      <w:start w:val="1"/>
      <w:numFmt w:val="bullet"/>
      <w:lvlText w:val="-"/>
      <w:lvlJc w:val="left"/>
      <w:pPr>
        <w:ind w:left="1146" w:hanging="360"/>
      </w:pPr>
      <w:rPr>
        <w:rFonts w:ascii="Calibri" w:eastAsia="Times New Roman" w:hAnsi="Calibri" w:cs="Calibri" w:hint="default"/>
        <w:b w:val="0"/>
        <w:i w:val="0"/>
        <w:color w:val="auto"/>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80" w15:restartNumberingAfterBreak="0">
    <w:nsid w:val="76612C0B"/>
    <w:multiLevelType w:val="hybridMultilevel"/>
    <w:tmpl w:val="DCBCB6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76B72466"/>
    <w:multiLevelType w:val="hybridMultilevel"/>
    <w:tmpl w:val="61D22938"/>
    <w:lvl w:ilvl="0" w:tplc="C4021A10">
      <w:start w:val="1"/>
      <w:numFmt w:val="decimal"/>
      <w:lvlText w:val="%1."/>
      <w:lvlJc w:val="left"/>
      <w:pPr>
        <w:ind w:left="1080" w:hanging="360"/>
      </w:pPr>
      <w:rPr>
        <w:i w:val="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2" w15:restartNumberingAfterBreak="0">
    <w:nsid w:val="79E0697C"/>
    <w:multiLevelType w:val="multilevel"/>
    <w:tmpl w:val="18E2F754"/>
    <w:styleLink w:val="List41"/>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83" w15:restartNumberingAfterBreak="0">
    <w:nsid w:val="7B36293C"/>
    <w:multiLevelType w:val="hybridMultilevel"/>
    <w:tmpl w:val="61D22938"/>
    <w:lvl w:ilvl="0" w:tplc="C4021A10">
      <w:start w:val="1"/>
      <w:numFmt w:val="decimal"/>
      <w:lvlText w:val="%1."/>
      <w:lvlJc w:val="left"/>
      <w:pPr>
        <w:ind w:left="1080" w:hanging="360"/>
      </w:pPr>
      <w:rPr>
        <w:i w:val="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4" w15:restartNumberingAfterBreak="0">
    <w:nsid w:val="7BCC1D13"/>
    <w:multiLevelType w:val="hybridMultilevel"/>
    <w:tmpl w:val="2B887C0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7E124D8F"/>
    <w:multiLevelType w:val="hybridMultilevel"/>
    <w:tmpl w:val="ABC2A804"/>
    <w:lvl w:ilvl="0" w:tplc="8B1E93A4">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B8B6CA46">
      <w:start w:val="1"/>
      <w:numFmt w:val="bullet"/>
      <w:lvlText w:val="-"/>
      <w:lvlJc w:val="left"/>
      <w:pPr>
        <w:ind w:left="1980" w:hanging="360"/>
      </w:pPr>
      <w:rPr>
        <w:rFonts w:ascii="Calibri" w:eastAsia="Times New Roman" w:hAnsi="Calibri" w:cs="Calibri" w:hint="default"/>
      </w:r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6" w15:restartNumberingAfterBreak="0">
    <w:nsid w:val="7FA82D0E"/>
    <w:multiLevelType w:val="hybridMultilevel"/>
    <w:tmpl w:val="B3BEEFC6"/>
    <w:lvl w:ilvl="0" w:tplc="00622C88">
      <w:start w:val="1"/>
      <w:numFmt w:val="decimal"/>
      <w:lvlText w:val="%1."/>
      <w:lvlJc w:val="left"/>
      <w:pPr>
        <w:ind w:left="360" w:hanging="360"/>
      </w:pPr>
      <w:rPr>
        <w:rFonts w:hint="default"/>
        <w:b w:val="0"/>
      </w:rPr>
    </w:lvl>
    <w:lvl w:ilvl="1" w:tplc="08090019">
      <w:start w:val="1"/>
      <w:numFmt w:val="lowerLetter"/>
      <w:lvlText w:val="%2."/>
      <w:lvlJc w:val="left"/>
      <w:pPr>
        <w:ind w:left="1080" w:hanging="360"/>
      </w:pPr>
    </w:lvl>
    <w:lvl w:ilvl="2" w:tplc="B8B6CA46">
      <w:start w:val="1"/>
      <w:numFmt w:val="bullet"/>
      <w:lvlText w:val="-"/>
      <w:lvlJc w:val="left"/>
      <w:pPr>
        <w:ind w:left="1980" w:hanging="360"/>
      </w:pPr>
      <w:rPr>
        <w:rFonts w:ascii="Calibri" w:eastAsia="Times New Roman" w:hAnsi="Calibri" w:cs="Calibri" w:hint="default"/>
      </w:r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0F">
      <w:start w:val="1"/>
      <w:numFmt w:val="decimal"/>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39"/>
  </w:num>
  <w:num w:numId="3">
    <w:abstractNumId w:val="69"/>
  </w:num>
  <w:num w:numId="4">
    <w:abstractNumId w:val="1"/>
  </w:num>
  <w:num w:numId="5">
    <w:abstractNumId w:val="4"/>
  </w:num>
  <w:num w:numId="6">
    <w:abstractNumId w:val="67"/>
  </w:num>
  <w:num w:numId="7">
    <w:abstractNumId w:val="7"/>
  </w:num>
  <w:num w:numId="8">
    <w:abstractNumId w:val="30"/>
  </w:num>
  <w:num w:numId="9">
    <w:abstractNumId w:val="20"/>
  </w:num>
  <w:num w:numId="10">
    <w:abstractNumId w:val="70"/>
  </w:num>
  <w:num w:numId="11">
    <w:abstractNumId w:val="82"/>
  </w:num>
  <w:num w:numId="12">
    <w:abstractNumId w:val="60"/>
  </w:num>
  <w:num w:numId="13">
    <w:abstractNumId w:val="33"/>
  </w:num>
  <w:num w:numId="14">
    <w:abstractNumId w:val="38"/>
  </w:num>
  <w:num w:numId="15">
    <w:abstractNumId w:val="10"/>
  </w:num>
  <w:num w:numId="16">
    <w:abstractNumId w:val="16"/>
  </w:num>
  <w:num w:numId="17">
    <w:abstractNumId w:val="25"/>
  </w:num>
  <w:num w:numId="18">
    <w:abstractNumId w:val="41"/>
  </w:num>
  <w:num w:numId="19">
    <w:abstractNumId w:val="54"/>
  </w:num>
  <w:num w:numId="20">
    <w:abstractNumId w:val="34"/>
  </w:num>
  <w:num w:numId="21">
    <w:abstractNumId w:val="46"/>
  </w:num>
  <w:num w:numId="22">
    <w:abstractNumId w:val="32"/>
  </w:num>
  <w:num w:numId="23">
    <w:abstractNumId w:val="2"/>
  </w:num>
  <w:num w:numId="24">
    <w:abstractNumId w:val="24"/>
  </w:num>
  <w:num w:numId="25">
    <w:abstractNumId w:val="37"/>
  </w:num>
  <w:num w:numId="26">
    <w:abstractNumId w:val="59"/>
  </w:num>
  <w:num w:numId="27">
    <w:abstractNumId w:val="18"/>
  </w:num>
  <w:num w:numId="28">
    <w:abstractNumId w:val="43"/>
  </w:num>
  <w:num w:numId="29">
    <w:abstractNumId w:val="5"/>
  </w:num>
  <w:num w:numId="30">
    <w:abstractNumId w:val="8"/>
  </w:num>
  <w:num w:numId="31">
    <w:abstractNumId w:val="62"/>
  </w:num>
  <w:num w:numId="32">
    <w:abstractNumId w:val="85"/>
  </w:num>
  <w:num w:numId="33">
    <w:abstractNumId w:val="15"/>
  </w:num>
  <w:num w:numId="34">
    <w:abstractNumId w:val="66"/>
  </w:num>
  <w:num w:numId="35">
    <w:abstractNumId w:val="80"/>
  </w:num>
  <w:num w:numId="36">
    <w:abstractNumId w:val="45"/>
  </w:num>
  <w:num w:numId="37">
    <w:abstractNumId w:val="27"/>
  </w:num>
  <w:num w:numId="38">
    <w:abstractNumId w:val="65"/>
  </w:num>
  <w:num w:numId="39">
    <w:abstractNumId w:val="17"/>
  </w:num>
  <w:num w:numId="40">
    <w:abstractNumId w:val="83"/>
  </w:num>
  <w:num w:numId="41">
    <w:abstractNumId w:val="81"/>
  </w:num>
  <w:num w:numId="42">
    <w:abstractNumId w:val="57"/>
  </w:num>
  <w:num w:numId="43">
    <w:abstractNumId w:val="23"/>
  </w:num>
  <w:num w:numId="44">
    <w:abstractNumId w:val="44"/>
  </w:num>
  <w:num w:numId="45">
    <w:abstractNumId w:val="79"/>
  </w:num>
  <w:num w:numId="46">
    <w:abstractNumId w:val="12"/>
  </w:num>
  <w:num w:numId="47">
    <w:abstractNumId w:val="14"/>
  </w:num>
  <w:num w:numId="48">
    <w:abstractNumId w:val="64"/>
  </w:num>
  <w:num w:numId="49">
    <w:abstractNumId w:val="84"/>
  </w:num>
  <w:num w:numId="50">
    <w:abstractNumId w:val="42"/>
  </w:num>
  <w:num w:numId="51">
    <w:abstractNumId w:val="61"/>
  </w:num>
  <w:num w:numId="52">
    <w:abstractNumId w:val="52"/>
  </w:num>
  <w:num w:numId="53">
    <w:abstractNumId w:val="86"/>
  </w:num>
  <w:num w:numId="54">
    <w:abstractNumId w:val="19"/>
  </w:num>
  <w:num w:numId="55">
    <w:abstractNumId w:val="47"/>
  </w:num>
  <w:num w:numId="56">
    <w:abstractNumId w:val="36"/>
  </w:num>
  <w:num w:numId="57">
    <w:abstractNumId w:val="77"/>
  </w:num>
  <w:num w:numId="58">
    <w:abstractNumId w:val="63"/>
  </w:num>
  <w:num w:numId="59">
    <w:abstractNumId w:val="68"/>
  </w:num>
  <w:num w:numId="60">
    <w:abstractNumId w:val="35"/>
  </w:num>
  <w:num w:numId="61">
    <w:abstractNumId w:val="74"/>
  </w:num>
  <w:num w:numId="62">
    <w:abstractNumId w:val="55"/>
  </w:num>
  <w:num w:numId="63">
    <w:abstractNumId w:val="75"/>
  </w:num>
  <w:num w:numId="64">
    <w:abstractNumId w:val="11"/>
  </w:num>
  <w:num w:numId="65">
    <w:abstractNumId w:val="71"/>
  </w:num>
  <w:num w:numId="66">
    <w:abstractNumId w:val="72"/>
  </w:num>
  <w:num w:numId="67">
    <w:abstractNumId w:val="58"/>
  </w:num>
  <w:num w:numId="68">
    <w:abstractNumId w:val="26"/>
  </w:num>
  <w:num w:numId="69">
    <w:abstractNumId w:val="49"/>
  </w:num>
  <w:num w:numId="70">
    <w:abstractNumId w:val="13"/>
  </w:num>
  <w:num w:numId="71">
    <w:abstractNumId w:val="73"/>
  </w:num>
  <w:num w:numId="72">
    <w:abstractNumId w:val="78"/>
  </w:num>
  <w:num w:numId="73">
    <w:abstractNumId w:val="3"/>
  </w:num>
  <w:num w:numId="74">
    <w:abstractNumId w:val="50"/>
  </w:num>
  <w:num w:numId="75">
    <w:abstractNumId w:val="53"/>
  </w:num>
  <w:num w:numId="76">
    <w:abstractNumId w:val="6"/>
  </w:num>
  <w:num w:numId="77">
    <w:abstractNumId w:val="48"/>
  </w:num>
  <w:num w:numId="78">
    <w:abstractNumId w:val="41"/>
  </w:num>
  <w:num w:numId="79">
    <w:abstractNumId w:val="40"/>
  </w:num>
  <w:num w:numId="80">
    <w:abstractNumId w:val="21"/>
  </w:num>
  <w:num w:numId="81">
    <w:abstractNumId w:val="29"/>
  </w:num>
  <w:num w:numId="82">
    <w:abstractNumId w:val="22"/>
  </w:num>
  <w:num w:numId="83">
    <w:abstractNumId w:val="9"/>
  </w:num>
  <w:num w:numId="84">
    <w:abstractNumId w:val="28"/>
  </w:num>
  <w:num w:numId="85">
    <w:abstractNumId w:val="56"/>
  </w:num>
  <w:num w:numId="86">
    <w:abstractNumId w:val="76"/>
  </w:num>
  <w:num w:numId="87">
    <w:abstractNumId w:val="31"/>
  </w:num>
  <w:num w:numId="88">
    <w:abstractNumId w:val="5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11265">
      <o:colormru v:ext="edit" colors="#eaddfb,#e1cff9,#e5dafa,#e8daf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848"/>
    <w:rsid w:val="00000366"/>
    <w:rsid w:val="00002996"/>
    <w:rsid w:val="00004FFF"/>
    <w:rsid w:val="000051A4"/>
    <w:rsid w:val="00005C4C"/>
    <w:rsid w:val="00006B97"/>
    <w:rsid w:val="0000725F"/>
    <w:rsid w:val="00007773"/>
    <w:rsid w:val="000077C8"/>
    <w:rsid w:val="000078B2"/>
    <w:rsid w:val="00007AE6"/>
    <w:rsid w:val="00007B30"/>
    <w:rsid w:val="000117EE"/>
    <w:rsid w:val="000119AA"/>
    <w:rsid w:val="00011B30"/>
    <w:rsid w:val="000134E1"/>
    <w:rsid w:val="00014252"/>
    <w:rsid w:val="00014A00"/>
    <w:rsid w:val="0001508A"/>
    <w:rsid w:val="000159B6"/>
    <w:rsid w:val="0001628A"/>
    <w:rsid w:val="000165D6"/>
    <w:rsid w:val="00016F15"/>
    <w:rsid w:val="00020941"/>
    <w:rsid w:val="00020CF5"/>
    <w:rsid w:val="0002189F"/>
    <w:rsid w:val="00021DEE"/>
    <w:rsid w:val="00022584"/>
    <w:rsid w:val="0002317C"/>
    <w:rsid w:val="000234B7"/>
    <w:rsid w:val="00023673"/>
    <w:rsid w:val="000248AF"/>
    <w:rsid w:val="000274DA"/>
    <w:rsid w:val="00027514"/>
    <w:rsid w:val="00030A6B"/>
    <w:rsid w:val="00030B2E"/>
    <w:rsid w:val="000314A0"/>
    <w:rsid w:val="000314BB"/>
    <w:rsid w:val="0003171F"/>
    <w:rsid w:val="000318ED"/>
    <w:rsid w:val="000321EB"/>
    <w:rsid w:val="000333A3"/>
    <w:rsid w:val="00033B4D"/>
    <w:rsid w:val="00034096"/>
    <w:rsid w:val="0003474B"/>
    <w:rsid w:val="000347E8"/>
    <w:rsid w:val="00036131"/>
    <w:rsid w:val="00036313"/>
    <w:rsid w:val="000365A5"/>
    <w:rsid w:val="000365FF"/>
    <w:rsid w:val="00036AD1"/>
    <w:rsid w:val="00036CAE"/>
    <w:rsid w:val="00036F87"/>
    <w:rsid w:val="000371C4"/>
    <w:rsid w:val="0004040E"/>
    <w:rsid w:val="00040BF6"/>
    <w:rsid w:val="00041317"/>
    <w:rsid w:val="0004162C"/>
    <w:rsid w:val="00041E8F"/>
    <w:rsid w:val="00041F87"/>
    <w:rsid w:val="000420FC"/>
    <w:rsid w:val="0004258F"/>
    <w:rsid w:val="000428FD"/>
    <w:rsid w:val="00043EA8"/>
    <w:rsid w:val="000441C5"/>
    <w:rsid w:val="0004448D"/>
    <w:rsid w:val="00044C36"/>
    <w:rsid w:val="00044D3A"/>
    <w:rsid w:val="00046382"/>
    <w:rsid w:val="0004657B"/>
    <w:rsid w:val="000475D8"/>
    <w:rsid w:val="0004794F"/>
    <w:rsid w:val="00047B6D"/>
    <w:rsid w:val="00047BAD"/>
    <w:rsid w:val="00047FBB"/>
    <w:rsid w:val="0005286D"/>
    <w:rsid w:val="00052C91"/>
    <w:rsid w:val="00053E84"/>
    <w:rsid w:val="00054386"/>
    <w:rsid w:val="000547FA"/>
    <w:rsid w:val="000553E2"/>
    <w:rsid w:val="00055968"/>
    <w:rsid w:val="000559AB"/>
    <w:rsid w:val="000603A2"/>
    <w:rsid w:val="000603D1"/>
    <w:rsid w:val="000609D7"/>
    <w:rsid w:val="00060C58"/>
    <w:rsid w:val="00061D27"/>
    <w:rsid w:val="00062487"/>
    <w:rsid w:val="00062E2C"/>
    <w:rsid w:val="000639DF"/>
    <w:rsid w:val="00063E9F"/>
    <w:rsid w:val="00064095"/>
    <w:rsid w:val="0006426E"/>
    <w:rsid w:val="00065285"/>
    <w:rsid w:val="000654D7"/>
    <w:rsid w:val="00065930"/>
    <w:rsid w:val="00065B8A"/>
    <w:rsid w:val="000663E2"/>
    <w:rsid w:val="00066733"/>
    <w:rsid w:val="00066834"/>
    <w:rsid w:val="00067197"/>
    <w:rsid w:val="000677AA"/>
    <w:rsid w:val="00071690"/>
    <w:rsid w:val="00073C8B"/>
    <w:rsid w:val="00075B6B"/>
    <w:rsid w:val="0007633B"/>
    <w:rsid w:val="00077DB4"/>
    <w:rsid w:val="00081381"/>
    <w:rsid w:val="000824C5"/>
    <w:rsid w:val="00082F8C"/>
    <w:rsid w:val="00087B05"/>
    <w:rsid w:val="00087C59"/>
    <w:rsid w:val="0009189E"/>
    <w:rsid w:val="00092163"/>
    <w:rsid w:val="00092727"/>
    <w:rsid w:val="00092E55"/>
    <w:rsid w:val="000931E3"/>
    <w:rsid w:val="00093423"/>
    <w:rsid w:val="00093A6B"/>
    <w:rsid w:val="00094643"/>
    <w:rsid w:val="00094CB8"/>
    <w:rsid w:val="000955B0"/>
    <w:rsid w:val="00096191"/>
    <w:rsid w:val="00096AE0"/>
    <w:rsid w:val="0009725B"/>
    <w:rsid w:val="000A0DA1"/>
    <w:rsid w:val="000A24B6"/>
    <w:rsid w:val="000A30D2"/>
    <w:rsid w:val="000A3517"/>
    <w:rsid w:val="000A3753"/>
    <w:rsid w:val="000A38BE"/>
    <w:rsid w:val="000A43CA"/>
    <w:rsid w:val="000A5806"/>
    <w:rsid w:val="000A588B"/>
    <w:rsid w:val="000A58CD"/>
    <w:rsid w:val="000A5956"/>
    <w:rsid w:val="000A5B11"/>
    <w:rsid w:val="000A6065"/>
    <w:rsid w:val="000A6E30"/>
    <w:rsid w:val="000A6F4A"/>
    <w:rsid w:val="000B1389"/>
    <w:rsid w:val="000B1699"/>
    <w:rsid w:val="000B2435"/>
    <w:rsid w:val="000B448C"/>
    <w:rsid w:val="000B4DBC"/>
    <w:rsid w:val="000B51C8"/>
    <w:rsid w:val="000B5E80"/>
    <w:rsid w:val="000B66DE"/>
    <w:rsid w:val="000B6AE5"/>
    <w:rsid w:val="000C1ADA"/>
    <w:rsid w:val="000C27F0"/>
    <w:rsid w:val="000C2B09"/>
    <w:rsid w:val="000C3426"/>
    <w:rsid w:val="000C460E"/>
    <w:rsid w:val="000C486B"/>
    <w:rsid w:val="000C4FE2"/>
    <w:rsid w:val="000C5401"/>
    <w:rsid w:val="000C6CA4"/>
    <w:rsid w:val="000C6D2F"/>
    <w:rsid w:val="000C74FD"/>
    <w:rsid w:val="000C7571"/>
    <w:rsid w:val="000D0E1B"/>
    <w:rsid w:val="000D0FDF"/>
    <w:rsid w:val="000D15F1"/>
    <w:rsid w:val="000D1942"/>
    <w:rsid w:val="000D1CB7"/>
    <w:rsid w:val="000D2759"/>
    <w:rsid w:val="000D2C7B"/>
    <w:rsid w:val="000D2DAD"/>
    <w:rsid w:val="000D30FC"/>
    <w:rsid w:val="000D3913"/>
    <w:rsid w:val="000D4867"/>
    <w:rsid w:val="000D4B91"/>
    <w:rsid w:val="000D68C8"/>
    <w:rsid w:val="000D7837"/>
    <w:rsid w:val="000D7E44"/>
    <w:rsid w:val="000D7EBB"/>
    <w:rsid w:val="000E0635"/>
    <w:rsid w:val="000E0B2C"/>
    <w:rsid w:val="000E141D"/>
    <w:rsid w:val="000E1DA4"/>
    <w:rsid w:val="000E23E7"/>
    <w:rsid w:val="000E2613"/>
    <w:rsid w:val="000E2980"/>
    <w:rsid w:val="000E2F69"/>
    <w:rsid w:val="000E3B8E"/>
    <w:rsid w:val="000E3C0D"/>
    <w:rsid w:val="000E4063"/>
    <w:rsid w:val="000E428F"/>
    <w:rsid w:val="000E4B44"/>
    <w:rsid w:val="000E4F29"/>
    <w:rsid w:val="000E6047"/>
    <w:rsid w:val="000E6AAB"/>
    <w:rsid w:val="000E6D4C"/>
    <w:rsid w:val="000E742A"/>
    <w:rsid w:val="000E7A52"/>
    <w:rsid w:val="000E7A62"/>
    <w:rsid w:val="000F18BB"/>
    <w:rsid w:val="000F218F"/>
    <w:rsid w:val="000F24ED"/>
    <w:rsid w:val="000F2526"/>
    <w:rsid w:val="000F2762"/>
    <w:rsid w:val="000F2C37"/>
    <w:rsid w:val="000F2E61"/>
    <w:rsid w:val="000F3122"/>
    <w:rsid w:val="000F4A87"/>
    <w:rsid w:val="000F633A"/>
    <w:rsid w:val="000F7740"/>
    <w:rsid w:val="00100789"/>
    <w:rsid w:val="001018BA"/>
    <w:rsid w:val="0010192D"/>
    <w:rsid w:val="00101A06"/>
    <w:rsid w:val="0010230F"/>
    <w:rsid w:val="00102EF3"/>
    <w:rsid w:val="00103B7A"/>
    <w:rsid w:val="00104054"/>
    <w:rsid w:val="00105C30"/>
    <w:rsid w:val="00107053"/>
    <w:rsid w:val="00107A77"/>
    <w:rsid w:val="00111866"/>
    <w:rsid w:val="00111B86"/>
    <w:rsid w:val="00111D1A"/>
    <w:rsid w:val="0011497A"/>
    <w:rsid w:val="00115260"/>
    <w:rsid w:val="00117542"/>
    <w:rsid w:val="001175CE"/>
    <w:rsid w:val="00120863"/>
    <w:rsid w:val="00121472"/>
    <w:rsid w:val="00122C96"/>
    <w:rsid w:val="00123115"/>
    <w:rsid w:val="001231B3"/>
    <w:rsid w:val="0012338F"/>
    <w:rsid w:val="00123AF4"/>
    <w:rsid w:val="00123BE1"/>
    <w:rsid w:val="00124110"/>
    <w:rsid w:val="00124260"/>
    <w:rsid w:val="00124473"/>
    <w:rsid w:val="00124D64"/>
    <w:rsid w:val="00124E7D"/>
    <w:rsid w:val="0012525A"/>
    <w:rsid w:val="00125CA1"/>
    <w:rsid w:val="001260F0"/>
    <w:rsid w:val="001262EB"/>
    <w:rsid w:val="0012773F"/>
    <w:rsid w:val="001277CC"/>
    <w:rsid w:val="001301CC"/>
    <w:rsid w:val="00131DFD"/>
    <w:rsid w:val="00132F83"/>
    <w:rsid w:val="00133A22"/>
    <w:rsid w:val="00133CAE"/>
    <w:rsid w:val="0013464B"/>
    <w:rsid w:val="001348C7"/>
    <w:rsid w:val="00134F1C"/>
    <w:rsid w:val="00136A5B"/>
    <w:rsid w:val="0013714B"/>
    <w:rsid w:val="001371A6"/>
    <w:rsid w:val="0013724D"/>
    <w:rsid w:val="00137E6A"/>
    <w:rsid w:val="001403EF"/>
    <w:rsid w:val="00140725"/>
    <w:rsid w:val="0014086D"/>
    <w:rsid w:val="00141A3C"/>
    <w:rsid w:val="00142BDE"/>
    <w:rsid w:val="00142C12"/>
    <w:rsid w:val="001432E4"/>
    <w:rsid w:val="00143D5E"/>
    <w:rsid w:val="00144855"/>
    <w:rsid w:val="00144C04"/>
    <w:rsid w:val="001451B6"/>
    <w:rsid w:val="00145393"/>
    <w:rsid w:val="00145A5A"/>
    <w:rsid w:val="0014642D"/>
    <w:rsid w:val="00150345"/>
    <w:rsid w:val="00150804"/>
    <w:rsid w:val="00151168"/>
    <w:rsid w:val="0015183E"/>
    <w:rsid w:val="0015207D"/>
    <w:rsid w:val="0015241D"/>
    <w:rsid w:val="0015341F"/>
    <w:rsid w:val="00154D66"/>
    <w:rsid w:val="00155231"/>
    <w:rsid w:val="00155534"/>
    <w:rsid w:val="00156FB3"/>
    <w:rsid w:val="00157026"/>
    <w:rsid w:val="001579AC"/>
    <w:rsid w:val="001579B3"/>
    <w:rsid w:val="0016046F"/>
    <w:rsid w:val="00160A9A"/>
    <w:rsid w:val="00160B6D"/>
    <w:rsid w:val="00160C0F"/>
    <w:rsid w:val="001628B7"/>
    <w:rsid w:val="001657DC"/>
    <w:rsid w:val="00166CF8"/>
    <w:rsid w:val="00166D06"/>
    <w:rsid w:val="00170207"/>
    <w:rsid w:val="00170308"/>
    <w:rsid w:val="00171943"/>
    <w:rsid w:val="001724AC"/>
    <w:rsid w:val="0017286C"/>
    <w:rsid w:val="00172DF9"/>
    <w:rsid w:val="00173883"/>
    <w:rsid w:val="00173F32"/>
    <w:rsid w:val="0017476F"/>
    <w:rsid w:val="00174B81"/>
    <w:rsid w:val="001754B8"/>
    <w:rsid w:val="0017600D"/>
    <w:rsid w:val="00176614"/>
    <w:rsid w:val="00176AA2"/>
    <w:rsid w:val="00176CB4"/>
    <w:rsid w:val="001770C8"/>
    <w:rsid w:val="00177B83"/>
    <w:rsid w:val="0018012C"/>
    <w:rsid w:val="001804E1"/>
    <w:rsid w:val="00180CEE"/>
    <w:rsid w:val="00182AFF"/>
    <w:rsid w:val="001834B0"/>
    <w:rsid w:val="00183612"/>
    <w:rsid w:val="00184106"/>
    <w:rsid w:val="001842DE"/>
    <w:rsid w:val="00184CA7"/>
    <w:rsid w:val="00185D0F"/>
    <w:rsid w:val="00186461"/>
    <w:rsid w:val="00187397"/>
    <w:rsid w:val="001900A6"/>
    <w:rsid w:val="00190325"/>
    <w:rsid w:val="00191947"/>
    <w:rsid w:val="00192326"/>
    <w:rsid w:val="00192348"/>
    <w:rsid w:val="00192479"/>
    <w:rsid w:val="00192DAA"/>
    <w:rsid w:val="001933D0"/>
    <w:rsid w:val="00193998"/>
    <w:rsid w:val="00193AFD"/>
    <w:rsid w:val="00193F4E"/>
    <w:rsid w:val="00194F92"/>
    <w:rsid w:val="00195463"/>
    <w:rsid w:val="00195560"/>
    <w:rsid w:val="001955D9"/>
    <w:rsid w:val="001962A2"/>
    <w:rsid w:val="001977D4"/>
    <w:rsid w:val="00197DF1"/>
    <w:rsid w:val="001A0762"/>
    <w:rsid w:val="001A0A63"/>
    <w:rsid w:val="001A243B"/>
    <w:rsid w:val="001A3C0B"/>
    <w:rsid w:val="001A42CC"/>
    <w:rsid w:val="001A59F5"/>
    <w:rsid w:val="001A6B5C"/>
    <w:rsid w:val="001A778C"/>
    <w:rsid w:val="001A79FC"/>
    <w:rsid w:val="001A7B28"/>
    <w:rsid w:val="001B08E0"/>
    <w:rsid w:val="001B1103"/>
    <w:rsid w:val="001B209F"/>
    <w:rsid w:val="001B2321"/>
    <w:rsid w:val="001B3134"/>
    <w:rsid w:val="001B3B65"/>
    <w:rsid w:val="001B3BA9"/>
    <w:rsid w:val="001B3FF3"/>
    <w:rsid w:val="001B55C0"/>
    <w:rsid w:val="001B5DD8"/>
    <w:rsid w:val="001B73D6"/>
    <w:rsid w:val="001B7655"/>
    <w:rsid w:val="001C1AB4"/>
    <w:rsid w:val="001C2957"/>
    <w:rsid w:val="001C35BB"/>
    <w:rsid w:val="001C3C9D"/>
    <w:rsid w:val="001C550F"/>
    <w:rsid w:val="001C5B6E"/>
    <w:rsid w:val="001C6552"/>
    <w:rsid w:val="001C6FD1"/>
    <w:rsid w:val="001D06E3"/>
    <w:rsid w:val="001D0742"/>
    <w:rsid w:val="001D155A"/>
    <w:rsid w:val="001D188D"/>
    <w:rsid w:val="001D1E52"/>
    <w:rsid w:val="001D2322"/>
    <w:rsid w:val="001D2C6A"/>
    <w:rsid w:val="001D3A5E"/>
    <w:rsid w:val="001D4903"/>
    <w:rsid w:val="001D5A82"/>
    <w:rsid w:val="001D6350"/>
    <w:rsid w:val="001D71CC"/>
    <w:rsid w:val="001E002E"/>
    <w:rsid w:val="001E01E7"/>
    <w:rsid w:val="001E0737"/>
    <w:rsid w:val="001E12B4"/>
    <w:rsid w:val="001E17BF"/>
    <w:rsid w:val="001E17DE"/>
    <w:rsid w:val="001E2777"/>
    <w:rsid w:val="001E2973"/>
    <w:rsid w:val="001E356C"/>
    <w:rsid w:val="001E6419"/>
    <w:rsid w:val="001E6BC9"/>
    <w:rsid w:val="001E6D35"/>
    <w:rsid w:val="001E7E73"/>
    <w:rsid w:val="001E7EB0"/>
    <w:rsid w:val="001F0CD1"/>
    <w:rsid w:val="001F168C"/>
    <w:rsid w:val="001F2AF0"/>
    <w:rsid w:val="001F2B3D"/>
    <w:rsid w:val="001F2D28"/>
    <w:rsid w:val="001F2F0D"/>
    <w:rsid w:val="001F31A6"/>
    <w:rsid w:val="001F3B1E"/>
    <w:rsid w:val="001F70B0"/>
    <w:rsid w:val="001F7A04"/>
    <w:rsid w:val="001F7C3F"/>
    <w:rsid w:val="00201C21"/>
    <w:rsid w:val="00201E20"/>
    <w:rsid w:val="00202195"/>
    <w:rsid w:val="00202C3C"/>
    <w:rsid w:val="00202EA9"/>
    <w:rsid w:val="002033A5"/>
    <w:rsid w:val="00204635"/>
    <w:rsid w:val="00204AFE"/>
    <w:rsid w:val="00204D7B"/>
    <w:rsid w:val="00205370"/>
    <w:rsid w:val="00205DF2"/>
    <w:rsid w:val="00205DF6"/>
    <w:rsid w:val="0020670C"/>
    <w:rsid w:val="00207157"/>
    <w:rsid w:val="00207542"/>
    <w:rsid w:val="002079F3"/>
    <w:rsid w:val="002102AA"/>
    <w:rsid w:val="0021074B"/>
    <w:rsid w:val="002108E0"/>
    <w:rsid w:val="00213E73"/>
    <w:rsid w:val="00215602"/>
    <w:rsid w:val="00216B95"/>
    <w:rsid w:val="00217028"/>
    <w:rsid w:val="002170CF"/>
    <w:rsid w:val="00220626"/>
    <w:rsid w:val="002225D8"/>
    <w:rsid w:val="002226A1"/>
    <w:rsid w:val="0022272C"/>
    <w:rsid w:val="00222BA9"/>
    <w:rsid w:val="002249DB"/>
    <w:rsid w:val="00225831"/>
    <w:rsid w:val="00225C3C"/>
    <w:rsid w:val="002264E6"/>
    <w:rsid w:val="002270D2"/>
    <w:rsid w:val="00231C0C"/>
    <w:rsid w:val="00231C75"/>
    <w:rsid w:val="00232212"/>
    <w:rsid w:val="00232F67"/>
    <w:rsid w:val="002333FD"/>
    <w:rsid w:val="00233AC7"/>
    <w:rsid w:val="002342E0"/>
    <w:rsid w:val="00234692"/>
    <w:rsid w:val="00235665"/>
    <w:rsid w:val="00235B8C"/>
    <w:rsid w:val="00235CCB"/>
    <w:rsid w:val="002373A3"/>
    <w:rsid w:val="00237842"/>
    <w:rsid w:val="00240F11"/>
    <w:rsid w:val="00241071"/>
    <w:rsid w:val="0024164B"/>
    <w:rsid w:val="0024295B"/>
    <w:rsid w:val="00243029"/>
    <w:rsid w:val="00243E2E"/>
    <w:rsid w:val="002449FF"/>
    <w:rsid w:val="00245AE6"/>
    <w:rsid w:val="0024625F"/>
    <w:rsid w:val="002471EA"/>
    <w:rsid w:val="00250DCB"/>
    <w:rsid w:val="00250F16"/>
    <w:rsid w:val="002513B4"/>
    <w:rsid w:val="0025175F"/>
    <w:rsid w:val="002518BF"/>
    <w:rsid w:val="00252EEF"/>
    <w:rsid w:val="0025325B"/>
    <w:rsid w:val="002533C2"/>
    <w:rsid w:val="00253604"/>
    <w:rsid w:val="00253E20"/>
    <w:rsid w:val="0025487F"/>
    <w:rsid w:val="002564ED"/>
    <w:rsid w:val="00257472"/>
    <w:rsid w:val="00261042"/>
    <w:rsid w:val="00262CAE"/>
    <w:rsid w:val="00262EB9"/>
    <w:rsid w:val="0026385A"/>
    <w:rsid w:val="0026457F"/>
    <w:rsid w:val="002646F1"/>
    <w:rsid w:val="00266430"/>
    <w:rsid w:val="00266CAB"/>
    <w:rsid w:val="002679F2"/>
    <w:rsid w:val="0027038C"/>
    <w:rsid w:val="00270412"/>
    <w:rsid w:val="0027052A"/>
    <w:rsid w:val="0027137A"/>
    <w:rsid w:val="00271672"/>
    <w:rsid w:val="002727D5"/>
    <w:rsid w:val="002737EB"/>
    <w:rsid w:val="00273BEE"/>
    <w:rsid w:val="0027634F"/>
    <w:rsid w:val="002764F3"/>
    <w:rsid w:val="002772B5"/>
    <w:rsid w:val="00277907"/>
    <w:rsid w:val="00277D58"/>
    <w:rsid w:val="00280221"/>
    <w:rsid w:val="00285077"/>
    <w:rsid w:val="002850AC"/>
    <w:rsid w:val="00285918"/>
    <w:rsid w:val="0028736A"/>
    <w:rsid w:val="00291D32"/>
    <w:rsid w:val="00293131"/>
    <w:rsid w:val="00293528"/>
    <w:rsid w:val="002935F4"/>
    <w:rsid w:val="00294374"/>
    <w:rsid w:val="00295132"/>
    <w:rsid w:val="00295A7E"/>
    <w:rsid w:val="0029662B"/>
    <w:rsid w:val="0029677E"/>
    <w:rsid w:val="002969F8"/>
    <w:rsid w:val="002A0967"/>
    <w:rsid w:val="002A0D00"/>
    <w:rsid w:val="002A19ED"/>
    <w:rsid w:val="002A1F99"/>
    <w:rsid w:val="002A242C"/>
    <w:rsid w:val="002A2A76"/>
    <w:rsid w:val="002A484E"/>
    <w:rsid w:val="002A4856"/>
    <w:rsid w:val="002A49D1"/>
    <w:rsid w:val="002A4AA3"/>
    <w:rsid w:val="002A522D"/>
    <w:rsid w:val="002A55C5"/>
    <w:rsid w:val="002A57F5"/>
    <w:rsid w:val="002A6B6F"/>
    <w:rsid w:val="002A7265"/>
    <w:rsid w:val="002A76A5"/>
    <w:rsid w:val="002A7E5B"/>
    <w:rsid w:val="002B044C"/>
    <w:rsid w:val="002B05C4"/>
    <w:rsid w:val="002B0E45"/>
    <w:rsid w:val="002B1344"/>
    <w:rsid w:val="002B26D7"/>
    <w:rsid w:val="002B2904"/>
    <w:rsid w:val="002B4BC5"/>
    <w:rsid w:val="002B5366"/>
    <w:rsid w:val="002B5F48"/>
    <w:rsid w:val="002B625F"/>
    <w:rsid w:val="002B736D"/>
    <w:rsid w:val="002B7EF7"/>
    <w:rsid w:val="002C06D7"/>
    <w:rsid w:val="002C33F6"/>
    <w:rsid w:val="002C34A0"/>
    <w:rsid w:val="002C3704"/>
    <w:rsid w:val="002C3D0C"/>
    <w:rsid w:val="002C52E7"/>
    <w:rsid w:val="002C5B7D"/>
    <w:rsid w:val="002C6462"/>
    <w:rsid w:val="002C6EB1"/>
    <w:rsid w:val="002C75D1"/>
    <w:rsid w:val="002D1B06"/>
    <w:rsid w:val="002D22DF"/>
    <w:rsid w:val="002D3F77"/>
    <w:rsid w:val="002D4001"/>
    <w:rsid w:val="002D60D7"/>
    <w:rsid w:val="002D6D88"/>
    <w:rsid w:val="002D7951"/>
    <w:rsid w:val="002E0F05"/>
    <w:rsid w:val="002E2B63"/>
    <w:rsid w:val="002E33F7"/>
    <w:rsid w:val="002E3968"/>
    <w:rsid w:val="002E60D3"/>
    <w:rsid w:val="002E6ECE"/>
    <w:rsid w:val="002E7F00"/>
    <w:rsid w:val="002F034E"/>
    <w:rsid w:val="002F0BD2"/>
    <w:rsid w:val="002F2289"/>
    <w:rsid w:val="002F236C"/>
    <w:rsid w:val="002F23B5"/>
    <w:rsid w:val="002F34A3"/>
    <w:rsid w:val="002F3BB1"/>
    <w:rsid w:val="002F3F8A"/>
    <w:rsid w:val="002F579A"/>
    <w:rsid w:val="002F5F05"/>
    <w:rsid w:val="002F5F5B"/>
    <w:rsid w:val="002F653D"/>
    <w:rsid w:val="002F6A7B"/>
    <w:rsid w:val="002F709B"/>
    <w:rsid w:val="002F7202"/>
    <w:rsid w:val="002F7258"/>
    <w:rsid w:val="002F7A86"/>
    <w:rsid w:val="00300314"/>
    <w:rsid w:val="00300C43"/>
    <w:rsid w:val="00301FB2"/>
    <w:rsid w:val="00301FE7"/>
    <w:rsid w:val="003040F6"/>
    <w:rsid w:val="00304918"/>
    <w:rsid w:val="003051A4"/>
    <w:rsid w:val="00305673"/>
    <w:rsid w:val="00305CDF"/>
    <w:rsid w:val="00305E91"/>
    <w:rsid w:val="00306D96"/>
    <w:rsid w:val="0030722E"/>
    <w:rsid w:val="00307246"/>
    <w:rsid w:val="0030731B"/>
    <w:rsid w:val="0031097E"/>
    <w:rsid w:val="00310C99"/>
    <w:rsid w:val="0031209F"/>
    <w:rsid w:val="00313596"/>
    <w:rsid w:val="00313F4E"/>
    <w:rsid w:val="00314807"/>
    <w:rsid w:val="00315463"/>
    <w:rsid w:val="00315849"/>
    <w:rsid w:val="00316973"/>
    <w:rsid w:val="00316B3A"/>
    <w:rsid w:val="00316D53"/>
    <w:rsid w:val="003171A3"/>
    <w:rsid w:val="00317AF9"/>
    <w:rsid w:val="00320022"/>
    <w:rsid w:val="0032049B"/>
    <w:rsid w:val="0032057F"/>
    <w:rsid w:val="003208B5"/>
    <w:rsid w:val="00320FDC"/>
    <w:rsid w:val="0032161C"/>
    <w:rsid w:val="00321679"/>
    <w:rsid w:val="00321719"/>
    <w:rsid w:val="00322324"/>
    <w:rsid w:val="00323246"/>
    <w:rsid w:val="00324014"/>
    <w:rsid w:val="00324842"/>
    <w:rsid w:val="00324BB7"/>
    <w:rsid w:val="00324FA8"/>
    <w:rsid w:val="0032613B"/>
    <w:rsid w:val="003267AB"/>
    <w:rsid w:val="00327209"/>
    <w:rsid w:val="0032753C"/>
    <w:rsid w:val="0033049D"/>
    <w:rsid w:val="00330C38"/>
    <w:rsid w:val="00331CD9"/>
    <w:rsid w:val="00333724"/>
    <w:rsid w:val="003341FE"/>
    <w:rsid w:val="00334F4D"/>
    <w:rsid w:val="00335566"/>
    <w:rsid w:val="003367C3"/>
    <w:rsid w:val="00336AFB"/>
    <w:rsid w:val="00336D17"/>
    <w:rsid w:val="0033741E"/>
    <w:rsid w:val="00337CFB"/>
    <w:rsid w:val="00337FB0"/>
    <w:rsid w:val="00340086"/>
    <w:rsid w:val="00340FDE"/>
    <w:rsid w:val="00342CBB"/>
    <w:rsid w:val="00343DEC"/>
    <w:rsid w:val="0034467C"/>
    <w:rsid w:val="00344905"/>
    <w:rsid w:val="003460C4"/>
    <w:rsid w:val="00346FF1"/>
    <w:rsid w:val="00350F97"/>
    <w:rsid w:val="00352CA0"/>
    <w:rsid w:val="00353B8F"/>
    <w:rsid w:val="00353E90"/>
    <w:rsid w:val="0035445A"/>
    <w:rsid w:val="003569F2"/>
    <w:rsid w:val="00356DEC"/>
    <w:rsid w:val="003604F5"/>
    <w:rsid w:val="0036243D"/>
    <w:rsid w:val="00363E40"/>
    <w:rsid w:val="00363F38"/>
    <w:rsid w:val="003642D4"/>
    <w:rsid w:val="00364A01"/>
    <w:rsid w:val="00366961"/>
    <w:rsid w:val="0036711A"/>
    <w:rsid w:val="00370BED"/>
    <w:rsid w:val="00370E6D"/>
    <w:rsid w:val="00372ADC"/>
    <w:rsid w:val="003738E3"/>
    <w:rsid w:val="00373DA6"/>
    <w:rsid w:val="00373F23"/>
    <w:rsid w:val="003740C1"/>
    <w:rsid w:val="00374623"/>
    <w:rsid w:val="00375EB9"/>
    <w:rsid w:val="00375FDE"/>
    <w:rsid w:val="00377DD5"/>
    <w:rsid w:val="003809BB"/>
    <w:rsid w:val="00380C63"/>
    <w:rsid w:val="00381943"/>
    <w:rsid w:val="00383914"/>
    <w:rsid w:val="00385606"/>
    <w:rsid w:val="00386EFF"/>
    <w:rsid w:val="00386FE4"/>
    <w:rsid w:val="00390DC5"/>
    <w:rsid w:val="0039120B"/>
    <w:rsid w:val="00392536"/>
    <w:rsid w:val="00393EE4"/>
    <w:rsid w:val="00394A6B"/>
    <w:rsid w:val="0039698F"/>
    <w:rsid w:val="0039704C"/>
    <w:rsid w:val="00397645"/>
    <w:rsid w:val="00397B9E"/>
    <w:rsid w:val="003A014C"/>
    <w:rsid w:val="003A040A"/>
    <w:rsid w:val="003A171D"/>
    <w:rsid w:val="003A270A"/>
    <w:rsid w:val="003A2871"/>
    <w:rsid w:val="003A33BC"/>
    <w:rsid w:val="003A4B35"/>
    <w:rsid w:val="003B05E4"/>
    <w:rsid w:val="003B1B52"/>
    <w:rsid w:val="003B1FFF"/>
    <w:rsid w:val="003B2494"/>
    <w:rsid w:val="003B2A53"/>
    <w:rsid w:val="003B3526"/>
    <w:rsid w:val="003B484F"/>
    <w:rsid w:val="003B4F27"/>
    <w:rsid w:val="003B6661"/>
    <w:rsid w:val="003B6A7E"/>
    <w:rsid w:val="003B7271"/>
    <w:rsid w:val="003B78AF"/>
    <w:rsid w:val="003C04BC"/>
    <w:rsid w:val="003C115D"/>
    <w:rsid w:val="003C1508"/>
    <w:rsid w:val="003C1952"/>
    <w:rsid w:val="003C268C"/>
    <w:rsid w:val="003C2CE6"/>
    <w:rsid w:val="003C3E25"/>
    <w:rsid w:val="003C4A37"/>
    <w:rsid w:val="003C5842"/>
    <w:rsid w:val="003C5C4A"/>
    <w:rsid w:val="003C6625"/>
    <w:rsid w:val="003C6BEC"/>
    <w:rsid w:val="003D17AB"/>
    <w:rsid w:val="003D194B"/>
    <w:rsid w:val="003D249A"/>
    <w:rsid w:val="003D2F2A"/>
    <w:rsid w:val="003D3670"/>
    <w:rsid w:val="003D37F8"/>
    <w:rsid w:val="003D3AC3"/>
    <w:rsid w:val="003D5750"/>
    <w:rsid w:val="003D5A0C"/>
    <w:rsid w:val="003D6469"/>
    <w:rsid w:val="003D6AA6"/>
    <w:rsid w:val="003D771A"/>
    <w:rsid w:val="003E06B3"/>
    <w:rsid w:val="003E14A3"/>
    <w:rsid w:val="003E26A4"/>
    <w:rsid w:val="003E3F0D"/>
    <w:rsid w:val="003E5513"/>
    <w:rsid w:val="003E593E"/>
    <w:rsid w:val="003E5BF4"/>
    <w:rsid w:val="003E658A"/>
    <w:rsid w:val="003E6C5A"/>
    <w:rsid w:val="003E6D72"/>
    <w:rsid w:val="003E7817"/>
    <w:rsid w:val="003F0100"/>
    <w:rsid w:val="003F036C"/>
    <w:rsid w:val="003F03E7"/>
    <w:rsid w:val="003F047A"/>
    <w:rsid w:val="003F053A"/>
    <w:rsid w:val="003F097A"/>
    <w:rsid w:val="003F0C25"/>
    <w:rsid w:val="003F40B9"/>
    <w:rsid w:val="003F51EE"/>
    <w:rsid w:val="003F5371"/>
    <w:rsid w:val="003F7DB5"/>
    <w:rsid w:val="00400032"/>
    <w:rsid w:val="00401831"/>
    <w:rsid w:val="00401F53"/>
    <w:rsid w:val="0040356B"/>
    <w:rsid w:val="00404E4C"/>
    <w:rsid w:val="00404FCB"/>
    <w:rsid w:val="00405C9B"/>
    <w:rsid w:val="00405E2A"/>
    <w:rsid w:val="004065A2"/>
    <w:rsid w:val="0040694E"/>
    <w:rsid w:val="00410355"/>
    <w:rsid w:val="0041160E"/>
    <w:rsid w:val="00411974"/>
    <w:rsid w:val="00412449"/>
    <w:rsid w:val="00413102"/>
    <w:rsid w:val="00414045"/>
    <w:rsid w:val="0042081B"/>
    <w:rsid w:val="00421924"/>
    <w:rsid w:val="00422870"/>
    <w:rsid w:val="0042339F"/>
    <w:rsid w:val="00423EA0"/>
    <w:rsid w:val="0042487D"/>
    <w:rsid w:val="00425838"/>
    <w:rsid w:val="00425F6B"/>
    <w:rsid w:val="004260E7"/>
    <w:rsid w:val="00427587"/>
    <w:rsid w:val="0043116F"/>
    <w:rsid w:val="00434162"/>
    <w:rsid w:val="00434442"/>
    <w:rsid w:val="004348AF"/>
    <w:rsid w:val="00434CF4"/>
    <w:rsid w:val="00435694"/>
    <w:rsid w:val="00435A55"/>
    <w:rsid w:val="004361E0"/>
    <w:rsid w:val="00436553"/>
    <w:rsid w:val="0043660A"/>
    <w:rsid w:val="00436A7C"/>
    <w:rsid w:val="00436FB1"/>
    <w:rsid w:val="00437FAC"/>
    <w:rsid w:val="00440986"/>
    <w:rsid w:val="004410E4"/>
    <w:rsid w:val="0044197D"/>
    <w:rsid w:val="00442FB1"/>
    <w:rsid w:val="00444AB0"/>
    <w:rsid w:val="004453ED"/>
    <w:rsid w:val="004469CE"/>
    <w:rsid w:val="00447586"/>
    <w:rsid w:val="00447C54"/>
    <w:rsid w:val="00447CE4"/>
    <w:rsid w:val="00451453"/>
    <w:rsid w:val="00451808"/>
    <w:rsid w:val="004527ED"/>
    <w:rsid w:val="00454789"/>
    <w:rsid w:val="00454BCE"/>
    <w:rsid w:val="00454DFA"/>
    <w:rsid w:val="00455B9E"/>
    <w:rsid w:val="00456B96"/>
    <w:rsid w:val="004576C7"/>
    <w:rsid w:val="004578B9"/>
    <w:rsid w:val="0046013D"/>
    <w:rsid w:val="00460A25"/>
    <w:rsid w:val="004618F6"/>
    <w:rsid w:val="00461CB9"/>
    <w:rsid w:val="0046217B"/>
    <w:rsid w:val="00463648"/>
    <w:rsid w:val="0046466D"/>
    <w:rsid w:val="00464815"/>
    <w:rsid w:val="00464840"/>
    <w:rsid w:val="004649A0"/>
    <w:rsid w:val="0046545C"/>
    <w:rsid w:val="00465668"/>
    <w:rsid w:val="004657C8"/>
    <w:rsid w:val="004702C6"/>
    <w:rsid w:val="0047062D"/>
    <w:rsid w:val="00470714"/>
    <w:rsid w:val="004714E0"/>
    <w:rsid w:val="00472898"/>
    <w:rsid w:val="00472C2E"/>
    <w:rsid w:val="00472F98"/>
    <w:rsid w:val="00473336"/>
    <w:rsid w:val="00474399"/>
    <w:rsid w:val="00474866"/>
    <w:rsid w:val="0047497E"/>
    <w:rsid w:val="00475448"/>
    <w:rsid w:val="00475E23"/>
    <w:rsid w:val="00476654"/>
    <w:rsid w:val="00476C8E"/>
    <w:rsid w:val="00476F41"/>
    <w:rsid w:val="004774E7"/>
    <w:rsid w:val="004802CC"/>
    <w:rsid w:val="00480806"/>
    <w:rsid w:val="00480C67"/>
    <w:rsid w:val="00481205"/>
    <w:rsid w:val="00482C28"/>
    <w:rsid w:val="0048307E"/>
    <w:rsid w:val="004831B5"/>
    <w:rsid w:val="00483A12"/>
    <w:rsid w:val="00483E42"/>
    <w:rsid w:val="00483EEF"/>
    <w:rsid w:val="0048457D"/>
    <w:rsid w:val="00484F55"/>
    <w:rsid w:val="00485FC9"/>
    <w:rsid w:val="00486D34"/>
    <w:rsid w:val="00487729"/>
    <w:rsid w:val="004907DC"/>
    <w:rsid w:val="00490867"/>
    <w:rsid w:val="00491346"/>
    <w:rsid w:val="0049365E"/>
    <w:rsid w:val="00493C65"/>
    <w:rsid w:val="00493DDE"/>
    <w:rsid w:val="0049515D"/>
    <w:rsid w:val="004953D4"/>
    <w:rsid w:val="0049586D"/>
    <w:rsid w:val="00495ACC"/>
    <w:rsid w:val="00496CD5"/>
    <w:rsid w:val="00496D86"/>
    <w:rsid w:val="0049730B"/>
    <w:rsid w:val="00497682"/>
    <w:rsid w:val="00497760"/>
    <w:rsid w:val="00497D65"/>
    <w:rsid w:val="004A055F"/>
    <w:rsid w:val="004A204E"/>
    <w:rsid w:val="004A3BD2"/>
    <w:rsid w:val="004A3DD9"/>
    <w:rsid w:val="004A4179"/>
    <w:rsid w:val="004A46DB"/>
    <w:rsid w:val="004A4CD1"/>
    <w:rsid w:val="004A5BAE"/>
    <w:rsid w:val="004A6690"/>
    <w:rsid w:val="004A688A"/>
    <w:rsid w:val="004A6CCB"/>
    <w:rsid w:val="004A6DA4"/>
    <w:rsid w:val="004B01C9"/>
    <w:rsid w:val="004B03D0"/>
    <w:rsid w:val="004B13A1"/>
    <w:rsid w:val="004B15C5"/>
    <w:rsid w:val="004B381D"/>
    <w:rsid w:val="004B393F"/>
    <w:rsid w:val="004B4909"/>
    <w:rsid w:val="004B59A5"/>
    <w:rsid w:val="004B6848"/>
    <w:rsid w:val="004B7EB7"/>
    <w:rsid w:val="004C14DE"/>
    <w:rsid w:val="004C1B6E"/>
    <w:rsid w:val="004C3C74"/>
    <w:rsid w:val="004C5332"/>
    <w:rsid w:val="004C5409"/>
    <w:rsid w:val="004C5D52"/>
    <w:rsid w:val="004C6FCD"/>
    <w:rsid w:val="004D04E1"/>
    <w:rsid w:val="004D22FB"/>
    <w:rsid w:val="004D2866"/>
    <w:rsid w:val="004D2915"/>
    <w:rsid w:val="004D32B9"/>
    <w:rsid w:val="004D380E"/>
    <w:rsid w:val="004D3B9A"/>
    <w:rsid w:val="004D410A"/>
    <w:rsid w:val="004D501E"/>
    <w:rsid w:val="004D6130"/>
    <w:rsid w:val="004D7C84"/>
    <w:rsid w:val="004E5AE5"/>
    <w:rsid w:val="004E600B"/>
    <w:rsid w:val="004E706E"/>
    <w:rsid w:val="004E76C2"/>
    <w:rsid w:val="004E7981"/>
    <w:rsid w:val="004E7B63"/>
    <w:rsid w:val="004E7F3B"/>
    <w:rsid w:val="004F00E5"/>
    <w:rsid w:val="004F1F23"/>
    <w:rsid w:val="004F2612"/>
    <w:rsid w:val="004F434B"/>
    <w:rsid w:val="004F4512"/>
    <w:rsid w:val="004F47AC"/>
    <w:rsid w:val="004F5361"/>
    <w:rsid w:val="004F690E"/>
    <w:rsid w:val="004F7164"/>
    <w:rsid w:val="004F77F3"/>
    <w:rsid w:val="00500E41"/>
    <w:rsid w:val="00501EFD"/>
    <w:rsid w:val="005024B4"/>
    <w:rsid w:val="00502CD7"/>
    <w:rsid w:val="005049B0"/>
    <w:rsid w:val="00504FC5"/>
    <w:rsid w:val="0050608A"/>
    <w:rsid w:val="00507C2A"/>
    <w:rsid w:val="00510609"/>
    <w:rsid w:val="0051063F"/>
    <w:rsid w:val="00510658"/>
    <w:rsid w:val="00511034"/>
    <w:rsid w:val="0051126B"/>
    <w:rsid w:val="005117AB"/>
    <w:rsid w:val="0051210E"/>
    <w:rsid w:val="00512C97"/>
    <w:rsid w:val="0051314F"/>
    <w:rsid w:val="00513517"/>
    <w:rsid w:val="00515700"/>
    <w:rsid w:val="0051593B"/>
    <w:rsid w:val="00516379"/>
    <w:rsid w:val="00516724"/>
    <w:rsid w:val="00517782"/>
    <w:rsid w:val="00517854"/>
    <w:rsid w:val="00520281"/>
    <w:rsid w:val="00520531"/>
    <w:rsid w:val="005218F4"/>
    <w:rsid w:val="005221A8"/>
    <w:rsid w:val="005242BF"/>
    <w:rsid w:val="00525355"/>
    <w:rsid w:val="005255E4"/>
    <w:rsid w:val="00525835"/>
    <w:rsid w:val="00526E29"/>
    <w:rsid w:val="00527841"/>
    <w:rsid w:val="00530532"/>
    <w:rsid w:val="0053149B"/>
    <w:rsid w:val="0053387D"/>
    <w:rsid w:val="0053394C"/>
    <w:rsid w:val="00534202"/>
    <w:rsid w:val="005345E3"/>
    <w:rsid w:val="00534DDF"/>
    <w:rsid w:val="00537095"/>
    <w:rsid w:val="00540D04"/>
    <w:rsid w:val="005411F9"/>
    <w:rsid w:val="00542555"/>
    <w:rsid w:val="0054615A"/>
    <w:rsid w:val="00546F7B"/>
    <w:rsid w:val="005506BB"/>
    <w:rsid w:val="00552058"/>
    <w:rsid w:val="0055211A"/>
    <w:rsid w:val="005544D3"/>
    <w:rsid w:val="00554AC2"/>
    <w:rsid w:val="00557563"/>
    <w:rsid w:val="005603F2"/>
    <w:rsid w:val="0056070B"/>
    <w:rsid w:val="005609F9"/>
    <w:rsid w:val="005614BF"/>
    <w:rsid w:val="0056193C"/>
    <w:rsid w:val="00563700"/>
    <w:rsid w:val="00563ECE"/>
    <w:rsid w:val="00564059"/>
    <w:rsid w:val="0056497E"/>
    <w:rsid w:val="00565E13"/>
    <w:rsid w:val="005665F3"/>
    <w:rsid w:val="005674F7"/>
    <w:rsid w:val="005706A7"/>
    <w:rsid w:val="005707E5"/>
    <w:rsid w:val="00571143"/>
    <w:rsid w:val="00572171"/>
    <w:rsid w:val="005723DB"/>
    <w:rsid w:val="005734F2"/>
    <w:rsid w:val="005759BA"/>
    <w:rsid w:val="00576142"/>
    <w:rsid w:val="00576AF0"/>
    <w:rsid w:val="00577B01"/>
    <w:rsid w:val="00580062"/>
    <w:rsid w:val="00580B13"/>
    <w:rsid w:val="00580D39"/>
    <w:rsid w:val="0058105F"/>
    <w:rsid w:val="00581987"/>
    <w:rsid w:val="00581A78"/>
    <w:rsid w:val="00582C66"/>
    <w:rsid w:val="00583078"/>
    <w:rsid w:val="00585665"/>
    <w:rsid w:val="0058631F"/>
    <w:rsid w:val="005869B5"/>
    <w:rsid w:val="005900A7"/>
    <w:rsid w:val="005901F1"/>
    <w:rsid w:val="0059093C"/>
    <w:rsid w:val="00591D3C"/>
    <w:rsid w:val="00592344"/>
    <w:rsid w:val="005926F2"/>
    <w:rsid w:val="0059325C"/>
    <w:rsid w:val="0059439F"/>
    <w:rsid w:val="005A047A"/>
    <w:rsid w:val="005A12A7"/>
    <w:rsid w:val="005A1D46"/>
    <w:rsid w:val="005A1E74"/>
    <w:rsid w:val="005A2E29"/>
    <w:rsid w:val="005A31BA"/>
    <w:rsid w:val="005A3FE1"/>
    <w:rsid w:val="005A44EF"/>
    <w:rsid w:val="005A454C"/>
    <w:rsid w:val="005A5A9F"/>
    <w:rsid w:val="005A5C43"/>
    <w:rsid w:val="005A6063"/>
    <w:rsid w:val="005A6CCB"/>
    <w:rsid w:val="005A7403"/>
    <w:rsid w:val="005A7680"/>
    <w:rsid w:val="005A79FF"/>
    <w:rsid w:val="005A7BF1"/>
    <w:rsid w:val="005A7C7B"/>
    <w:rsid w:val="005B00E1"/>
    <w:rsid w:val="005B0337"/>
    <w:rsid w:val="005B06CA"/>
    <w:rsid w:val="005B0873"/>
    <w:rsid w:val="005B0DD4"/>
    <w:rsid w:val="005B15BC"/>
    <w:rsid w:val="005B1954"/>
    <w:rsid w:val="005B2F39"/>
    <w:rsid w:val="005B4C1A"/>
    <w:rsid w:val="005B50A8"/>
    <w:rsid w:val="005B56BF"/>
    <w:rsid w:val="005B5BC0"/>
    <w:rsid w:val="005B5DE9"/>
    <w:rsid w:val="005C07D2"/>
    <w:rsid w:val="005C0D4D"/>
    <w:rsid w:val="005C10D2"/>
    <w:rsid w:val="005C23C4"/>
    <w:rsid w:val="005C30F1"/>
    <w:rsid w:val="005C377A"/>
    <w:rsid w:val="005C3B10"/>
    <w:rsid w:val="005C3C3A"/>
    <w:rsid w:val="005C4C46"/>
    <w:rsid w:val="005C573E"/>
    <w:rsid w:val="005C6D97"/>
    <w:rsid w:val="005D0288"/>
    <w:rsid w:val="005D0425"/>
    <w:rsid w:val="005D050F"/>
    <w:rsid w:val="005D092D"/>
    <w:rsid w:val="005D11BD"/>
    <w:rsid w:val="005D23A0"/>
    <w:rsid w:val="005D2BB3"/>
    <w:rsid w:val="005D3560"/>
    <w:rsid w:val="005D369D"/>
    <w:rsid w:val="005D36A8"/>
    <w:rsid w:val="005D3ACB"/>
    <w:rsid w:val="005D3B31"/>
    <w:rsid w:val="005D3B65"/>
    <w:rsid w:val="005D4285"/>
    <w:rsid w:val="005D483B"/>
    <w:rsid w:val="005D504C"/>
    <w:rsid w:val="005D595B"/>
    <w:rsid w:val="005E0158"/>
    <w:rsid w:val="005E01D6"/>
    <w:rsid w:val="005E0FF4"/>
    <w:rsid w:val="005E1D9B"/>
    <w:rsid w:val="005E1E54"/>
    <w:rsid w:val="005E249A"/>
    <w:rsid w:val="005E2826"/>
    <w:rsid w:val="005E2B70"/>
    <w:rsid w:val="005E40C8"/>
    <w:rsid w:val="005E4E34"/>
    <w:rsid w:val="005E70D9"/>
    <w:rsid w:val="005E7515"/>
    <w:rsid w:val="005E7B9A"/>
    <w:rsid w:val="005E7CD1"/>
    <w:rsid w:val="005F019B"/>
    <w:rsid w:val="005F0229"/>
    <w:rsid w:val="005F0778"/>
    <w:rsid w:val="005F1BDE"/>
    <w:rsid w:val="005F3197"/>
    <w:rsid w:val="005F3760"/>
    <w:rsid w:val="005F4097"/>
    <w:rsid w:val="005F6AB1"/>
    <w:rsid w:val="005F7F0B"/>
    <w:rsid w:val="006015A1"/>
    <w:rsid w:val="006019BE"/>
    <w:rsid w:val="00601DD2"/>
    <w:rsid w:val="00605607"/>
    <w:rsid w:val="00605724"/>
    <w:rsid w:val="00610D9F"/>
    <w:rsid w:val="006114F6"/>
    <w:rsid w:val="006122B4"/>
    <w:rsid w:val="00612553"/>
    <w:rsid w:val="00613397"/>
    <w:rsid w:val="00614F53"/>
    <w:rsid w:val="006153BB"/>
    <w:rsid w:val="0061600C"/>
    <w:rsid w:val="006173B4"/>
    <w:rsid w:val="006178D9"/>
    <w:rsid w:val="00617BB0"/>
    <w:rsid w:val="00617BF5"/>
    <w:rsid w:val="00617DC3"/>
    <w:rsid w:val="006203E1"/>
    <w:rsid w:val="00621E32"/>
    <w:rsid w:val="00622C7D"/>
    <w:rsid w:val="00623E49"/>
    <w:rsid w:val="00624C49"/>
    <w:rsid w:val="00624F50"/>
    <w:rsid w:val="0062601D"/>
    <w:rsid w:val="00626191"/>
    <w:rsid w:val="00626419"/>
    <w:rsid w:val="00626B70"/>
    <w:rsid w:val="00626D97"/>
    <w:rsid w:val="0062704F"/>
    <w:rsid w:val="0063051A"/>
    <w:rsid w:val="00631488"/>
    <w:rsid w:val="00631667"/>
    <w:rsid w:val="006326E2"/>
    <w:rsid w:val="0063308B"/>
    <w:rsid w:val="00634A9B"/>
    <w:rsid w:val="0063653E"/>
    <w:rsid w:val="00637BF4"/>
    <w:rsid w:val="00640223"/>
    <w:rsid w:val="006405AE"/>
    <w:rsid w:val="00641085"/>
    <w:rsid w:val="00641823"/>
    <w:rsid w:val="00641B05"/>
    <w:rsid w:val="00641F18"/>
    <w:rsid w:val="00643682"/>
    <w:rsid w:val="0064369A"/>
    <w:rsid w:val="00645273"/>
    <w:rsid w:val="00646331"/>
    <w:rsid w:val="006468DE"/>
    <w:rsid w:val="00647261"/>
    <w:rsid w:val="00647E42"/>
    <w:rsid w:val="00650FB1"/>
    <w:rsid w:val="006518FA"/>
    <w:rsid w:val="00652C62"/>
    <w:rsid w:val="00652F81"/>
    <w:rsid w:val="00653548"/>
    <w:rsid w:val="006546F9"/>
    <w:rsid w:val="0065504B"/>
    <w:rsid w:val="006552C3"/>
    <w:rsid w:val="00655EE0"/>
    <w:rsid w:val="00656AEE"/>
    <w:rsid w:val="00656B20"/>
    <w:rsid w:val="0065718C"/>
    <w:rsid w:val="00657875"/>
    <w:rsid w:val="00657F40"/>
    <w:rsid w:val="00660256"/>
    <w:rsid w:val="00660D39"/>
    <w:rsid w:val="006616E4"/>
    <w:rsid w:val="00661FC0"/>
    <w:rsid w:val="00662BA7"/>
    <w:rsid w:val="006638D2"/>
    <w:rsid w:val="00663C87"/>
    <w:rsid w:val="00663E2E"/>
    <w:rsid w:val="006642B0"/>
    <w:rsid w:val="0066477B"/>
    <w:rsid w:val="006649F2"/>
    <w:rsid w:val="006659DC"/>
    <w:rsid w:val="0066705D"/>
    <w:rsid w:val="006711AF"/>
    <w:rsid w:val="0067223B"/>
    <w:rsid w:val="00673253"/>
    <w:rsid w:val="0067361B"/>
    <w:rsid w:val="00673C3E"/>
    <w:rsid w:val="00674244"/>
    <w:rsid w:val="0067431A"/>
    <w:rsid w:val="00674707"/>
    <w:rsid w:val="0067559B"/>
    <w:rsid w:val="00675792"/>
    <w:rsid w:val="00676034"/>
    <w:rsid w:val="006765D4"/>
    <w:rsid w:val="00676EB2"/>
    <w:rsid w:val="0068000D"/>
    <w:rsid w:val="006817C9"/>
    <w:rsid w:val="00684676"/>
    <w:rsid w:val="00687C5D"/>
    <w:rsid w:val="00690513"/>
    <w:rsid w:val="006906E9"/>
    <w:rsid w:val="006907DE"/>
    <w:rsid w:val="00690C1A"/>
    <w:rsid w:val="00690EE2"/>
    <w:rsid w:val="00691ED2"/>
    <w:rsid w:val="00692BDF"/>
    <w:rsid w:val="006939D9"/>
    <w:rsid w:val="00693C70"/>
    <w:rsid w:val="00694344"/>
    <w:rsid w:val="00695A71"/>
    <w:rsid w:val="00695D97"/>
    <w:rsid w:val="00696021"/>
    <w:rsid w:val="006965D8"/>
    <w:rsid w:val="006971DB"/>
    <w:rsid w:val="00697202"/>
    <w:rsid w:val="00697C0E"/>
    <w:rsid w:val="006A02F4"/>
    <w:rsid w:val="006A08DC"/>
    <w:rsid w:val="006A0D8A"/>
    <w:rsid w:val="006A1452"/>
    <w:rsid w:val="006A247D"/>
    <w:rsid w:val="006A2DA4"/>
    <w:rsid w:val="006A36DE"/>
    <w:rsid w:val="006A37E6"/>
    <w:rsid w:val="006A3ADD"/>
    <w:rsid w:val="006A3DA3"/>
    <w:rsid w:val="006A452B"/>
    <w:rsid w:val="006A7F25"/>
    <w:rsid w:val="006B06B9"/>
    <w:rsid w:val="006B0C73"/>
    <w:rsid w:val="006B1064"/>
    <w:rsid w:val="006B14A3"/>
    <w:rsid w:val="006B14C4"/>
    <w:rsid w:val="006B31E5"/>
    <w:rsid w:val="006B4C2E"/>
    <w:rsid w:val="006B4EE0"/>
    <w:rsid w:val="006B6479"/>
    <w:rsid w:val="006C058E"/>
    <w:rsid w:val="006C1976"/>
    <w:rsid w:val="006C1F57"/>
    <w:rsid w:val="006C1FAA"/>
    <w:rsid w:val="006C4CD0"/>
    <w:rsid w:val="006C635D"/>
    <w:rsid w:val="006C6DFC"/>
    <w:rsid w:val="006C7F16"/>
    <w:rsid w:val="006D00EC"/>
    <w:rsid w:val="006D04FE"/>
    <w:rsid w:val="006D0AAA"/>
    <w:rsid w:val="006D0F47"/>
    <w:rsid w:val="006D0FFB"/>
    <w:rsid w:val="006D51D2"/>
    <w:rsid w:val="006D778C"/>
    <w:rsid w:val="006D788E"/>
    <w:rsid w:val="006E0C1B"/>
    <w:rsid w:val="006E152B"/>
    <w:rsid w:val="006E2584"/>
    <w:rsid w:val="006E3DA8"/>
    <w:rsid w:val="006E47EE"/>
    <w:rsid w:val="006E5038"/>
    <w:rsid w:val="006E5786"/>
    <w:rsid w:val="006E7349"/>
    <w:rsid w:val="006F33BE"/>
    <w:rsid w:val="006F3B87"/>
    <w:rsid w:val="006F51DA"/>
    <w:rsid w:val="006F6047"/>
    <w:rsid w:val="006F6228"/>
    <w:rsid w:val="006F6361"/>
    <w:rsid w:val="006F754F"/>
    <w:rsid w:val="006F765C"/>
    <w:rsid w:val="007001E9"/>
    <w:rsid w:val="007005C4"/>
    <w:rsid w:val="00700ADA"/>
    <w:rsid w:val="00702BFA"/>
    <w:rsid w:val="00702CCB"/>
    <w:rsid w:val="0070477C"/>
    <w:rsid w:val="007049A0"/>
    <w:rsid w:val="00704A4A"/>
    <w:rsid w:val="00705336"/>
    <w:rsid w:val="00705988"/>
    <w:rsid w:val="00706057"/>
    <w:rsid w:val="00706692"/>
    <w:rsid w:val="007067D1"/>
    <w:rsid w:val="007070B3"/>
    <w:rsid w:val="007075CF"/>
    <w:rsid w:val="00707918"/>
    <w:rsid w:val="00710849"/>
    <w:rsid w:val="00710CC2"/>
    <w:rsid w:val="007115C6"/>
    <w:rsid w:val="00712D4E"/>
    <w:rsid w:val="00712DA8"/>
    <w:rsid w:val="007147C2"/>
    <w:rsid w:val="0071535B"/>
    <w:rsid w:val="0071574E"/>
    <w:rsid w:val="00717F56"/>
    <w:rsid w:val="0072073B"/>
    <w:rsid w:val="0072079E"/>
    <w:rsid w:val="00720D33"/>
    <w:rsid w:val="00720E1A"/>
    <w:rsid w:val="007217B9"/>
    <w:rsid w:val="00723617"/>
    <w:rsid w:val="00723FC6"/>
    <w:rsid w:val="00725037"/>
    <w:rsid w:val="00725057"/>
    <w:rsid w:val="00726AC5"/>
    <w:rsid w:val="00726DF6"/>
    <w:rsid w:val="0072783A"/>
    <w:rsid w:val="00727FC3"/>
    <w:rsid w:val="00731473"/>
    <w:rsid w:val="0073169B"/>
    <w:rsid w:val="00731D6D"/>
    <w:rsid w:val="00731EBA"/>
    <w:rsid w:val="00732041"/>
    <w:rsid w:val="007325B6"/>
    <w:rsid w:val="007336FF"/>
    <w:rsid w:val="00733E07"/>
    <w:rsid w:val="00734983"/>
    <w:rsid w:val="00734DC8"/>
    <w:rsid w:val="0073579C"/>
    <w:rsid w:val="00736376"/>
    <w:rsid w:val="007373D0"/>
    <w:rsid w:val="007374AB"/>
    <w:rsid w:val="007377D6"/>
    <w:rsid w:val="00741471"/>
    <w:rsid w:val="00744011"/>
    <w:rsid w:val="00744B6F"/>
    <w:rsid w:val="007451A4"/>
    <w:rsid w:val="007452AE"/>
    <w:rsid w:val="007453FE"/>
    <w:rsid w:val="00745CD2"/>
    <w:rsid w:val="0074621D"/>
    <w:rsid w:val="00750FF2"/>
    <w:rsid w:val="00751264"/>
    <w:rsid w:val="0075167A"/>
    <w:rsid w:val="00752E09"/>
    <w:rsid w:val="00753D4F"/>
    <w:rsid w:val="0075778D"/>
    <w:rsid w:val="00757A77"/>
    <w:rsid w:val="00760183"/>
    <w:rsid w:val="00760267"/>
    <w:rsid w:val="0076041B"/>
    <w:rsid w:val="0076104D"/>
    <w:rsid w:val="00762C58"/>
    <w:rsid w:val="00763F7F"/>
    <w:rsid w:val="00764878"/>
    <w:rsid w:val="00764FF0"/>
    <w:rsid w:val="007654DA"/>
    <w:rsid w:val="00765BCE"/>
    <w:rsid w:val="007666B5"/>
    <w:rsid w:val="00766ADC"/>
    <w:rsid w:val="00766B60"/>
    <w:rsid w:val="00767627"/>
    <w:rsid w:val="00767739"/>
    <w:rsid w:val="00770279"/>
    <w:rsid w:val="00771D33"/>
    <w:rsid w:val="007741DB"/>
    <w:rsid w:val="00774ED9"/>
    <w:rsid w:val="007751B9"/>
    <w:rsid w:val="007759A8"/>
    <w:rsid w:val="007765E1"/>
    <w:rsid w:val="0078011C"/>
    <w:rsid w:val="0078151E"/>
    <w:rsid w:val="00781797"/>
    <w:rsid w:val="00781825"/>
    <w:rsid w:val="00782A03"/>
    <w:rsid w:val="00783A08"/>
    <w:rsid w:val="00783E0D"/>
    <w:rsid w:val="00785249"/>
    <w:rsid w:val="00785AA1"/>
    <w:rsid w:val="00785B31"/>
    <w:rsid w:val="00785BB7"/>
    <w:rsid w:val="0078696C"/>
    <w:rsid w:val="00787575"/>
    <w:rsid w:val="007902B1"/>
    <w:rsid w:val="007906DA"/>
    <w:rsid w:val="00792413"/>
    <w:rsid w:val="00793E53"/>
    <w:rsid w:val="00794360"/>
    <w:rsid w:val="0079471A"/>
    <w:rsid w:val="00794B45"/>
    <w:rsid w:val="00795D3C"/>
    <w:rsid w:val="00796495"/>
    <w:rsid w:val="007969EA"/>
    <w:rsid w:val="007974EB"/>
    <w:rsid w:val="00797B33"/>
    <w:rsid w:val="007A0184"/>
    <w:rsid w:val="007A1121"/>
    <w:rsid w:val="007A1B8B"/>
    <w:rsid w:val="007A1DDB"/>
    <w:rsid w:val="007A4D50"/>
    <w:rsid w:val="007A5E15"/>
    <w:rsid w:val="007B0D43"/>
    <w:rsid w:val="007B13D4"/>
    <w:rsid w:val="007B240A"/>
    <w:rsid w:val="007B3B3E"/>
    <w:rsid w:val="007B3B49"/>
    <w:rsid w:val="007B3E39"/>
    <w:rsid w:val="007B46ED"/>
    <w:rsid w:val="007B4E1E"/>
    <w:rsid w:val="007B50F6"/>
    <w:rsid w:val="007B7849"/>
    <w:rsid w:val="007C03D2"/>
    <w:rsid w:val="007C1BDA"/>
    <w:rsid w:val="007C2786"/>
    <w:rsid w:val="007C2EA0"/>
    <w:rsid w:val="007C49F7"/>
    <w:rsid w:val="007C4E77"/>
    <w:rsid w:val="007C5973"/>
    <w:rsid w:val="007C661B"/>
    <w:rsid w:val="007C7000"/>
    <w:rsid w:val="007D032F"/>
    <w:rsid w:val="007D1BAF"/>
    <w:rsid w:val="007D1F6D"/>
    <w:rsid w:val="007D3C2A"/>
    <w:rsid w:val="007D43A9"/>
    <w:rsid w:val="007D47C9"/>
    <w:rsid w:val="007D55B8"/>
    <w:rsid w:val="007D61D0"/>
    <w:rsid w:val="007D69DE"/>
    <w:rsid w:val="007E058A"/>
    <w:rsid w:val="007E0E7C"/>
    <w:rsid w:val="007E4F12"/>
    <w:rsid w:val="007E77D0"/>
    <w:rsid w:val="007F068D"/>
    <w:rsid w:val="007F0AE6"/>
    <w:rsid w:val="007F10F8"/>
    <w:rsid w:val="007F15C5"/>
    <w:rsid w:val="007F1F4F"/>
    <w:rsid w:val="007F2F3F"/>
    <w:rsid w:val="007F3425"/>
    <w:rsid w:val="007F3654"/>
    <w:rsid w:val="007F4593"/>
    <w:rsid w:val="007F484F"/>
    <w:rsid w:val="007F5479"/>
    <w:rsid w:val="007F5E91"/>
    <w:rsid w:val="007F63D3"/>
    <w:rsid w:val="007F644B"/>
    <w:rsid w:val="007F7D69"/>
    <w:rsid w:val="00800647"/>
    <w:rsid w:val="00801ABC"/>
    <w:rsid w:val="00801C1C"/>
    <w:rsid w:val="00803559"/>
    <w:rsid w:val="0080543B"/>
    <w:rsid w:val="0080683E"/>
    <w:rsid w:val="00806C30"/>
    <w:rsid w:val="00807B53"/>
    <w:rsid w:val="00807EFB"/>
    <w:rsid w:val="008102DA"/>
    <w:rsid w:val="00810356"/>
    <w:rsid w:val="00810609"/>
    <w:rsid w:val="00811352"/>
    <w:rsid w:val="00811AF8"/>
    <w:rsid w:val="00812645"/>
    <w:rsid w:val="00813A4A"/>
    <w:rsid w:val="00813DAE"/>
    <w:rsid w:val="00814269"/>
    <w:rsid w:val="00814984"/>
    <w:rsid w:val="008162B8"/>
    <w:rsid w:val="008162FE"/>
    <w:rsid w:val="0081794D"/>
    <w:rsid w:val="00820022"/>
    <w:rsid w:val="0082004D"/>
    <w:rsid w:val="008200AA"/>
    <w:rsid w:val="008213C9"/>
    <w:rsid w:val="0082163E"/>
    <w:rsid w:val="0082181A"/>
    <w:rsid w:val="00822587"/>
    <w:rsid w:val="008225D8"/>
    <w:rsid w:val="00822857"/>
    <w:rsid w:val="00822E71"/>
    <w:rsid w:val="0082301C"/>
    <w:rsid w:val="00823FBE"/>
    <w:rsid w:val="008252D3"/>
    <w:rsid w:val="00825E30"/>
    <w:rsid w:val="0082618B"/>
    <w:rsid w:val="00826201"/>
    <w:rsid w:val="00826C18"/>
    <w:rsid w:val="008271BB"/>
    <w:rsid w:val="00827820"/>
    <w:rsid w:val="00827D2C"/>
    <w:rsid w:val="008308DA"/>
    <w:rsid w:val="00830D6D"/>
    <w:rsid w:val="00831498"/>
    <w:rsid w:val="00832377"/>
    <w:rsid w:val="008325D4"/>
    <w:rsid w:val="00832A48"/>
    <w:rsid w:val="00832D19"/>
    <w:rsid w:val="0083324F"/>
    <w:rsid w:val="008334F9"/>
    <w:rsid w:val="00833DC7"/>
    <w:rsid w:val="008346CD"/>
    <w:rsid w:val="0083472E"/>
    <w:rsid w:val="00834908"/>
    <w:rsid w:val="008369F0"/>
    <w:rsid w:val="0083711D"/>
    <w:rsid w:val="00837142"/>
    <w:rsid w:val="0083726F"/>
    <w:rsid w:val="00837B6C"/>
    <w:rsid w:val="00837F71"/>
    <w:rsid w:val="0084136F"/>
    <w:rsid w:val="00841985"/>
    <w:rsid w:val="00842440"/>
    <w:rsid w:val="00842B88"/>
    <w:rsid w:val="00843EA4"/>
    <w:rsid w:val="00844099"/>
    <w:rsid w:val="00845476"/>
    <w:rsid w:val="008459E0"/>
    <w:rsid w:val="00845AF3"/>
    <w:rsid w:val="0084633D"/>
    <w:rsid w:val="00846E0F"/>
    <w:rsid w:val="0084704D"/>
    <w:rsid w:val="0084723E"/>
    <w:rsid w:val="00847DE0"/>
    <w:rsid w:val="00851FE3"/>
    <w:rsid w:val="008537BB"/>
    <w:rsid w:val="0085508C"/>
    <w:rsid w:val="0085597E"/>
    <w:rsid w:val="00855F13"/>
    <w:rsid w:val="00856597"/>
    <w:rsid w:val="0085667C"/>
    <w:rsid w:val="008570D9"/>
    <w:rsid w:val="00861B20"/>
    <w:rsid w:val="00861C62"/>
    <w:rsid w:val="00861F6D"/>
    <w:rsid w:val="00863B13"/>
    <w:rsid w:val="00863E59"/>
    <w:rsid w:val="0086508B"/>
    <w:rsid w:val="0086508D"/>
    <w:rsid w:val="00865425"/>
    <w:rsid w:val="00865DC7"/>
    <w:rsid w:val="00865FC2"/>
    <w:rsid w:val="008664FE"/>
    <w:rsid w:val="00866500"/>
    <w:rsid w:val="008672B1"/>
    <w:rsid w:val="00867C7C"/>
    <w:rsid w:val="008706A9"/>
    <w:rsid w:val="0087191D"/>
    <w:rsid w:val="00871CE1"/>
    <w:rsid w:val="00872116"/>
    <w:rsid w:val="008733DB"/>
    <w:rsid w:val="0087357D"/>
    <w:rsid w:val="00874302"/>
    <w:rsid w:val="00875309"/>
    <w:rsid w:val="00875569"/>
    <w:rsid w:val="0087649E"/>
    <w:rsid w:val="0088167D"/>
    <w:rsid w:val="0088272C"/>
    <w:rsid w:val="00882CB3"/>
    <w:rsid w:val="00882DA9"/>
    <w:rsid w:val="00882E7A"/>
    <w:rsid w:val="008835DD"/>
    <w:rsid w:val="00883829"/>
    <w:rsid w:val="008841DA"/>
    <w:rsid w:val="0088500D"/>
    <w:rsid w:val="00885506"/>
    <w:rsid w:val="008859B7"/>
    <w:rsid w:val="00886302"/>
    <w:rsid w:val="00886ACA"/>
    <w:rsid w:val="008870BD"/>
    <w:rsid w:val="00887598"/>
    <w:rsid w:val="008877F3"/>
    <w:rsid w:val="00891006"/>
    <w:rsid w:val="0089100D"/>
    <w:rsid w:val="008919E0"/>
    <w:rsid w:val="00892C84"/>
    <w:rsid w:val="0089375C"/>
    <w:rsid w:val="0089482E"/>
    <w:rsid w:val="00894CC8"/>
    <w:rsid w:val="00894DA7"/>
    <w:rsid w:val="0089537F"/>
    <w:rsid w:val="00895FFE"/>
    <w:rsid w:val="0089600F"/>
    <w:rsid w:val="008966E2"/>
    <w:rsid w:val="00897AF9"/>
    <w:rsid w:val="008A0511"/>
    <w:rsid w:val="008A147F"/>
    <w:rsid w:val="008A17A3"/>
    <w:rsid w:val="008A4779"/>
    <w:rsid w:val="008A4E4E"/>
    <w:rsid w:val="008A62EC"/>
    <w:rsid w:val="008A6846"/>
    <w:rsid w:val="008A7631"/>
    <w:rsid w:val="008A7856"/>
    <w:rsid w:val="008A796D"/>
    <w:rsid w:val="008B0104"/>
    <w:rsid w:val="008B0A66"/>
    <w:rsid w:val="008B0ED1"/>
    <w:rsid w:val="008B1EB4"/>
    <w:rsid w:val="008B1FD2"/>
    <w:rsid w:val="008B38DB"/>
    <w:rsid w:val="008B42C9"/>
    <w:rsid w:val="008B529A"/>
    <w:rsid w:val="008B5FDF"/>
    <w:rsid w:val="008B6112"/>
    <w:rsid w:val="008B6402"/>
    <w:rsid w:val="008B6A23"/>
    <w:rsid w:val="008B708A"/>
    <w:rsid w:val="008B72BA"/>
    <w:rsid w:val="008B777B"/>
    <w:rsid w:val="008B78CE"/>
    <w:rsid w:val="008B7A8B"/>
    <w:rsid w:val="008C03EA"/>
    <w:rsid w:val="008C0A1C"/>
    <w:rsid w:val="008C0C81"/>
    <w:rsid w:val="008C1126"/>
    <w:rsid w:val="008C256E"/>
    <w:rsid w:val="008C2997"/>
    <w:rsid w:val="008C31DE"/>
    <w:rsid w:val="008C327D"/>
    <w:rsid w:val="008C3B59"/>
    <w:rsid w:val="008C4CCE"/>
    <w:rsid w:val="008C50E3"/>
    <w:rsid w:val="008C6236"/>
    <w:rsid w:val="008C73C6"/>
    <w:rsid w:val="008C7639"/>
    <w:rsid w:val="008D060C"/>
    <w:rsid w:val="008D085A"/>
    <w:rsid w:val="008D111D"/>
    <w:rsid w:val="008D2D55"/>
    <w:rsid w:val="008D6D01"/>
    <w:rsid w:val="008E060C"/>
    <w:rsid w:val="008E0870"/>
    <w:rsid w:val="008E0AAE"/>
    <w:rsid w:val="008E0C76"/>
    <w:rsid w:val="008E0FA4"/>
    <w:rsid w:val="008E1554"/>
    <w:rsid w:val="008E19A2"/>
    <w:rsid w:val="008E1A97"/>
    <w:rsid w:val="008E1AD9"/>
    <w:rsid w:val="008E1F94"/>
    <w:rsid w:val="008E332E"/>
    <w:rsid w:val="008E3966"/>
    <w:rsid w:val="008E448B"/>
    <w:rsid w:val="008E4E8A"/>
    <w:rsid w:val="008E6361"/>
    <w:rsid w:val="008E63DD"/>
    <w:rsid w:val="008E6E3C"/>
    <w:rsid w:val="008E7A56"/>
    <w:rsid w:val="008E7BD7"/>
    <w:rsid w:val="008E7D13"/>
    <w:rsid w:val="008F0A5C"/>
    <w:rsid w:val="008F13BB"/>
    <w:rsid w:val="008F19B5"/>
    <w:rsid w:val="008F2662"/>
    <w:rsid w:val="008F36B4"/>
    <w:rsid w:val="008F49D7"/>
    <w:rsid w:val="008F5045"/>
    <w:rsid w:val="008F5751"/>
    <w:rsid w:val="008F770E"/>
    <w:rsid w:val="009002A9"/>
    <w:rsid w:val="00900A41"/>
    <w:rsid w:val="00902438"/>
    <w:rsid w:val="00903EE2"/>
    <w:rsid w:val="0090408F"/>
    <w:rsid w:val="00904E39"/>
    <w:rsid w:val="009053CB"/>
    <w:rsid w:val="00905BCD"/>
    <w:rsid w:val="00905E02"/>
    <w:rsid w:val="009078AE"/>
    <w:rsid w:val="00907BC2"/>
    <w:rsid w:val="0091013E"/>
    <w:rsid w:val="00910221"/>
    <w:rsid w:val="00910415"/>
    <w:rsid w:val="009110CF"/>
    <w:rsid w:val="00911B32"/>
    <w:rsid w:val="009127B3"/>
    <w:rsid w:val="00912B5F"/>
    <w:rsid w:val="00912E0A"/>
    <w:rsid w:val="0091360D"/>
    <w:rsid w:val="00913A3D"/>
    <w:rsid w:val="00913B2C"/>
    <w:rsid w:val="0091501D"/>
    <w:rsid w:val="0091514A"/>
    <w:rsid w:val="00915AFD"/>
    <w:rsid w:val="009167F8"/>
    <w:rsid w:val="00916903"/>
    <w:rsid w:val="00916E41"/>
    <w:rsid w:val="00917962"/>
    <w:rsid w:val="009179B8"/>
    <w:rsid w:val="00917DD3"/>
    <w:rsid w:val="009201D8"/>
    <w:rsid w:val="009218C6"/>
    <w:rsid w:val="009223D6"/>
    <w:rsid w:val="009235F0"/>
    <w:rsid w:val="00923634"/>
    <w:rsid w:val="0092366F"/>
    <w:rsid w:val="00924BE8"/>
    <w:rsid w:val="009250CF"/>
    <w:rsid w:val="0092537B"/>
    <w:rsid w:val="009253CB"/>
    <w:rsid w:val="0092574F"/>
    <w:rsid w:val="00925CB0"/>
    <w:rsid w:val="00926A1B"/>
    <w:rsid w:val="00930D91"/>
    <w:rsid w:val="00930F15"/>
    <w:rsid w:val="009338C8"/>
    <w:rsid w:val="00934980"/>
    <w:rsid w:val="00935202"/>
    <w:rsid w:val="0093775C"/>
    <w:rsid w:val="0093780E"/>
    <w:rsid w:val="00937C79"/>
    <w:rsid w:val="00940522"/>
    <w:rsid w:val="009408CE"/>
    <w:rsid w:val="0094145E"/>
    <w:rsid w:val="00943926"/>
    <w:rsid w:val="00943A94"/>
    <w:rsid w:val="00946737"/>
    <w:rsid w:val="00946DD9"/>
    <w:rsid w:val="00947BAD"/>
    <w:rsid w:val="00950797"/>
    <w:rsid w:val="00951147"/>
    <w:rsid w:val="00951B45"/>
    <w:rsid w:val="009520CB"/>
    <w:rsid w:val="009523C3"/>
    <w:rsid w:val="009523D7"/>
    <w:rsid w:val="00952794"/>
    <w:rsid w:val="00953C3D"/>
    <w:rsid w:val="00953CD7"/>
    <w:rsid w:val="00953FE8"/>
    <w:rsid w:val="0095470A"/>
    <w:rsid w:val="0095516D"/>
    <w:rsid w:val="00955E5F"/>
    <w:rsid w:val="00957281"/>
    <w:rsid w:val="0096039B"/>
    <w:rsid w:val="00960520"/>
    <w:rsid w:val="00960C7F"/>
    <w:rsid w:val="00961630"/>
    <w:rsid w:val="0096256F"/>
    <w:rsid w:val="00962DF8"/>
    <w:rsid w:val="00962FD1"/>
    <w:rsid w:val="009639EF"/>
    <w:rsid w:val="00964BC2"/>
    <w:rsid w:val="00965900"/>
    <w:rsid w:val="00965A07"/>
    <w:rsid w:val="00966282"/>
    <w:rsid w:val="00966F1C"/>
    <w:rsid w:val="00967DB5"/>
    <w:rsid w:val="009709D2"/>
    <w:rsid w:val="00971C1D"/>
    <w:rsid w:val="00972856"/>
    <w:rsid w:val="009728A1"/>
    <w:rsid w:val="00973209"/>
    <w:rsid w:val="00973905"/>
    <w:rsid w:val="00975E9E"/>
    <w:rsid w:val="00976076"/>
    <w:rsid w:val="00976EBA"/>
    <w:rsid w:val="0097705C"/>
    <w:rsid w:val="0098129E"/>
    <w:rsid w:val="00981409"/>
    <w:rsid w:val="0098155E"/>
    <w:rsid w:val="00981DAD"/>
    <w:rsid w:val="00981DDE"/>
    <w:rsid w:val="00981ED2"/>
    <w:rsid w:val="00981F9C"/>
    <w:rsid w:val="00983742"/>
    <w:rsid w:val="009844FF"/>
    <w:rsid w:val="00984733"/>
    <w:rsid w:val="00985405"/>
    <w:rsid w:val="00985C0C"/>
    <w:rsid w:val="00986A01"/>
    <w:rsid w:val="009872DF"/>
    <w:rsid w:val="0098775F"/>
    <w:rsid w:val="009908C2"/>
    <w:rsid w:val="00990930"/>
    <w:rsid w:val="009918A7"/>
    <w:rsid w:val="00991954"/>
    <w:rsid w:val="00991CD0"/>
    <w:rsid w:val="00992EB8"/>
    <w:rsid w:val="00992F0B"/>
    <w:rsid w:val="009935EA"/>
    <w:rsid w:val="00993C8F"/>
    <w:rsid w:val="00994065"/>
    <w:rsid w:val="00994C52"/>
    <w:rsid w:val="009955FF"/>
    <w:rsid w:val="00995B0D"/>
    <w:rsid w:val="00995E78"/>
    <w:rsid w:val="00996A09"/>
    <w:rsid w:val="00996B25"/>
    <w:rsid w:val="00997283"/>
    <w:rsid w:val="009A43EF"/>
    <w:rsid w:val="009A48C1"/>
    <w:rsid w:val="009A65BE"/>
    <w:rsid w:val="009A6A5C"/>
    <w:rsid w:val="009A7445"/>
    <w:rsid w:val="009A7E63"/>
    <w:rsid w:val="009B15FD"/>
    <w:rsid w:val="009B1923"/>
    <w:rsid w:val="009B3C64"/>
    <w:rsid w:val="009B46D9"/>
    <w:rsid w:val="009B48A4"/>
    <w:rsid w:val="009B5A07"/>
    <w:rsid w:val="009B6C28"/>
    <w:rsid w:val="009B7247"/>
    <w:rsid w:val="009B7B4A"/>
    <w:rsid w:val="009B7D60"/>
    <w:rsid w:val="009B7E80"/>
    <w:rsid w:val="009B7F59"/>
    <w:rsid w:val="009C0218"/>
    <w:rsid w:val="009C11D2"/>
    <w:rsid w:val="009C245B"/>
    <w:rsid w:val="009C37B6"/>
    <w:rsid w:val="009C4717"/>
    <w:rsid w:val="009C541B"/>
    <w:rsid w:val="009C549E"/>
    <w:rsid w:val="009C554E"/>
    <w:rsid w:val="009C5657"/>
    <w:rsid w:val="009C6846"/>
    <w:rsid w:val="009C75AB"/>
    <w:rsid w:val="009C7FFC"/>
    <w:rsid w:val="009D0390"/>
    <w:rsid w:val="009D1129"/>
    <w:rsid w:val="009D1392"/>
    <w:rsid w:val="009D16E9"/>
    <w:rsid w:val="009D175E"/>
    <w:rsid w:val="009D1EE1"/>
    <w:rsid w:val="009D208E"/>
    <w:rsid w:val="009D21A2"/>
    <w:rsid w:val="009D2521"/>
    <w:rsid w:val="009D32BA"/>
    <w:rsid w:val="009D4D78"/>
    <w:rsid w:val="009D53C1"/>
    <w:rsid w:val="009D5984"/>
    <w:rsid w:val="009D66D6"/>
    <w:rsid w:val="009D68CA"/>
    <w:rsid w:val="009E2CBD"/>
    <w:rsid w:val="009E2ED0"/>
    <w:rsid w:val="009E329F"/>
    <w:rsid w:val="009E3344"/>
    <w:rsid w:val="009E3934"/>
    <w:rsid w:val="009E3B0B"/>
    <w:rsid w:val="009E42E1"/>
    <w:rsid w:val="009E459B"/>
    <w:rsid w:val="009E4D2F"/>
    <w:rsid w:val="009E5168"/>
    <w:rsid w:val="009E54CB"/>
    <w:rsid w:val="009E654E"/>
    <w:rsid w:val="009E6605"/>
    <w:rsid w:val="009E6ABB"/>
    <w:rsid w:val="009E71A3"/>
    <w:rsid w:val="009F026D"/>
    <w:rsid w:val="009F0CF6"/>
    <w:rsid w:val="009F1284"/>
    <w:rsid w:val="009F162C"/>
    <w:rsid w:val="009F28AF"/>
    <w:rsid w:val="009F2B1D"/>
    <w:rsid w:val="009F4031"/>
    <w:rsid w:val="009F47BB"/>
    <w:rsid w:val="009F48A7"/>
    <w:rsid w:val="009F4932"/>
    <w:rsid w:val="009F5E1B"/>
    <w:rsid w:val="009F692B"/>
    <w:rsid w:val="009F6B18"/>
    <w:rsid w:val="009F7FD9"/>
    <w:rsid w:val="009F7FF9"/>
    <w:rsid w:val="00A00167"/>
    <w:rsid w:val="00A00759"/>
    <w:rsid w:val="00A019F8"/>
    <w:rsid w:val="00A02748"/>
    <w:rsid w:val="00A03B5F"/>
    <w:rsid w:val="00A0426C"/>
    <w:rsid w:val="00A06C20"/>
    <w:rsid w:val="00A06EAC"/>
    <w:rsid w:val="00A0789D"/>
    <w:rsid w:val="00A07FE8"/>
    <w:rsid w:val="00A10888"/>
    <w:rsid w:val="00A10898"/>
    <w:rsid w:val="00A1109A"/>
    <w:rsid w:val="00A11D2E"/>
    <w:rsid w:val="00A1208C"/>
    <w:rsid w:val="00A124B3"/>
    <w:rsid w:val="00A12AA4"/>
    <w:rsid w:val="00A12ECF"/>
    <w:rsid w:val="00A14E78"/>
    <w:rsid w:val="00A152C2"/>
    <w:rsid w:val="00A1625A"/>
    <w:rsid w:val="00A17389"/>
    <w:rsid w:val="00A178DC"/>
    <w:rsid w:val="00A17A00"/>
    <w:rsid w:val="00A20A7A"/>
    <w:rsid w:val="00A20D9B"/>
    <w:rsid w:val="00A222AD"/>
    <w:rsid w:val="00A223D0"/>
    <w:rsid w:val="00A22AB1"/>
    <w:rsid w:val="00A234D0"/>
    <w:rsid w:val="00A24C01"/>
    <w:rsid w:val="00A24E2D"/>
    <w:rsid w:val="00A24E84"/>
    <w:rsid w:val="00A25997"/>
    <w:rsid w:val="00A25B7E"/>
    <w:rsid w:val="00A2622C"/>
    <w:rsid w:val="00A27953"/>
    <w:rsid w:val="00A2796A"/>
    <w:rsid w:val="00A27B50"/>
    <w:rsid w:val="00A27E34"/>
    <w:rsid w:val="00A305BA"/>
    <w:rsid w:val="00A307D1"/>
    <w:rsid w:val="00A310B2"/>
    <w:rsid w:val="00A31506"/>
    <w:rsid w:val="00A3258E"/>
    <w:rsid w:val="00A32740"/>
    <w:rsid w:val="00A3282C"/>
    <w:rsid w:val="00A337A8"/>
    <w:rsid w:val="00A33A1B"/>
    <w:rsid w:val="00A3473F"/>
    <w:rsid w:val="00A36A70"/>
    <w:rsid w:val="00A37B38"/>
    <w:rsid w:val="00A405CD"/>
    <w:rsid w:val="00A40FBD"/>
    <w:rsid w:val="00A414E5"/>
    <w:rsid w:val="00A41ADA"/>
    <w:rsid w:val="00A42633"/>
    <w:rsid w:val="00A4317C"/>
    <w:rsid w:val="00A43563"/>
    <w:rsid w:val="00A446F2"/>
    <w:rsid w:val="00A4580D"/>
    <w:rsid w:val="00A46FA5"/>
    <w:rsid w:val="00A474BA"/>
    <w:rsid w:val="00A47802"/>
    <w:rsid w:val="00A5086F"/>
    <w:rsid w:val="00A50E55"/>
    <w:rsid w:val="00A516C1"/>
    <w:rsid w:val="00A529BE"/>
    <w:rsid w:val="00A52F03"/>
    <w:rsid w:val="00A549C0"/>
    <w:rsid w:val="00A55019"/>
    <w:rsid w:val="00A55DC0"/>
    <w:rsid w:val="00A60293"/>
    <w:rsid w:val="00A60439"/>
    <w:rsid w:val="00A60A57"/>
    <w:rsid w:val="00A60AF3"/>
    <w:rsid w:val="00A61932"/>
    <w:rsid w:val="00A6270C"/>
    <w:rsid w:val="00A64649"/>
    <w:rsid w:val="00A64769"/>
    <w:rsid w:val="00A64AB4"/>
    <w:rsid w:val="00A64D5F"/>
    <w:rsid w:val="00A656D8"/>
    <w:rsid w:val="00A66E39"/>
    <w:rsid w:val="00A70C95"/>
    <w:rsid w:val="00A71277"/>
    <w:rsid w:val="00A71C14"/>
    <w:rsid w:val="00A738AA"/>
    <w:rsid w:val="00A74234"/>
    <w:rsid w:val="00A747E8"/>
    <w:rsid w:val="00A74BBF"/>
    <w:rsid w:val="00A74D3B"/>
    <w:rsid w:val="00A75972"/>
    <w:rsid w:val="00A76BEC"/>
    <w:rsid w:val="00A772AD"/>
    <w:rsid w:val="00A80EB1"/>
    <w:rsid w:val="00A81A62"/>
    <w:rsid w:val="00A81FE6"/>
    <w:rsid w:val="00A82223"/>
    <w:rsid w:val="00A82A47"/>
    <w:rsid w:val="00A836FC"/>
    <w:rsid w:val="00A844B5"/>
    <w:rsid w:val="00A852AF"/>
    <w:rsid w:val="00A86896"/>
    <w:rsid w:val="00A86DB2"/>
    <w:rsid w:val="00A90547"/>
    <w:rsid w:val="00A91513"/>
    <w:rsid w:val="00A92F18"/>
    <w:rsid w:val="00A9327E"/>
    <w:rsid w:val="00A938EC"/>
    <w:rsid w:val="00A93D1B"/>
    <w:rsid w:val="00A93EBD"/>
    <w:rsid w:val="00A93F12"/>
    <w:rsid w:val="00A948D5"/>
    <w:rsid w:val="00A952CA"/>
    <w:rsid w:val="00A95E47"/>
    <w:rsid w:val="00A967F6"/>
    <w:rsid w:val="00A96834"/>
    <w:rsid w:val="00A974BA"/>
    <w:rsid w:val="00AA0D08"/>
    <w:rsid w:val="00AA0E79"/>
    <w:rsid w:val="00AA19CB"/>
    <w:rsid w:val="00AA30D9"/>
    <w:rsid w:val="00AA352A"/>
    <w:rsid w:val="00AA509A"/>
    <w:rsid w:val="00AA50D4"/>
    <w:rsid w:val="00AA53A5"/>
    <w:rsid w:val="00AA543B"/>
    <w:rsid w:val="00AA67DC"/>
    <w:rsid w:val="00AA77AA"/>
    <w:rsid w:val="00AB00B7"/>
    <w:rsid w:val="00AB096C"/>
    <w:rsid w:val="00AB164B"/>
    <w:rsid w:val="00AB1F3A"/>
    <w:rsid w:val="00AB2023"/>
    <w:rsid w:val="00AB267B"/>
    <w:rsid w:val="00AB375B"/>
    <w:rsid w:val="00AB37F3"/>
    <w:rsid w:val="00AB4396"/>
    <w:rsid w:val="00AB57FA"/>
    <w:rsid w:val="00AB5DCE"/>
    <w:rsid w:val="00AB7D48"/>
    <w:rsid w:val="00AC14D8"/>
    <w:rsid w:val="00AC2901"/>
    <w:rsid w:val="00AC299E"/>
    <w:rsid w:val="00AC29C6"/>
    <w:rsid w:val="00AC342E"/>
    <w:rsid w:val="00AC3A48"/>
    <w:rsid w:val="00AC532E"/>
    <w:rsid w:val="00AC76A9"/>
    <w:rsid w:val="00AC784C"/>
    <w:rsid w:val="00AC7E75"/>
    <w:rsid w:val="00AD07B7"/>
    <w:rsid w:val="00AD086E"/>
    <w:rsid w:val="00AD0D26"/>
    <w:rsid w:val="00AD1C9D"/>
    <w:rsid w:val="00AD2111"/>
    <w:rsid w:val="00AD2302"/>
    <w:rsid w:val="00AD2B97"/>
    <w:rsid w:val="00AD3714"/>
    <w:rsid w:val="00AD3B11"/>
    <w:rsid w:val="00AD3C2E"/>
    <w:rsid w:val="00AD4537"/>
    <w:rsid w:val="00AD53B0"/>
    <w:rsid w:val="00AD5548"/>
    <w:rsid w:val="00AD556E"/>
    <w:rsid w:val="00AD65EA"/>
    <w:rsid w:val="00AD6C3C"/>
    <w:rsid w:val="00AD6EA7"/>
    <w:rsid w:val="00AD7D6D"/>
    <w:rsid w:val="00AD7E9D"/>
    <w:rsid w:val="00AE15B3"/>
    <w:rsid w:val="00AE27F5"/>
    <w:rsid w:val="00AE29E2"/>
    <w:rsid w:val="00AE3186"/>
    <w:rsid w:val="00AE424A"/>
    <w:rsid w:val="00AE4FFB"/>
    <w:rsid w:val="00AE6DEF"/>
    <w:rsid w:val="00AF031F"/>
    <w:rsid w:val="00AF0D79"/>
    <w:rsid w:val="00AF1E4F"/>
    <w:rsid w:val="00AF43F7"/>
    <w:rsid w:val="00AF5312"/>
    <w:rsid w:val="00AF55DC"/>
    <w:rsid w:val="00AF6344"/>
    <w:rsid w:val="00AF683A"/>
    <w:rsid w:val="00AF695A"/>
    <w:rsid w:val="00AF6A28"/>
    <w:rsid w:val="00AF6C78"/>
    <w:rsid w:val="00AF6FF8"/>
    <w:rsid w:val="00AF7E12"/>
    <w:rsid w:val="00B0086E"/>
    <w:rsid w:val="00B0172A"/>
    <w:rsid w:val="00B027C8"/>
    <w:rsid w:val="00B035E1"/>
    <w:rsid w:val="00B04932"/>
    <w:rsid w:val="00B0625D"/>
    <w:rsid w:val="00B070CC"/>
    <w:rsid w:val="00B07141"/>
    <w:rsid w:val="00B07290"/>
    <w:rsid w:val="00B0796D"/>
    <w:rsid w:val="00B07E0F"/>
    <w:rsid w:val="00B1037B"/>
    <w:rsid w:val="00B10744"/>
    <w:rsid w:val="00B116C8"/>
    <w:rsid w:val="00B12303"/>
    <w:rsid w:val="00B13EC5"/>
    <w:rsid w:val="00B14101"/>
    <w:rsid w:val="00B1545F"/>
    <w:rsid w:val="00B16E26"/>
    <w:rsid w:val="00B20B0D"/>
    <w:rsid w:val="00B21DC3"/>
    <w:rsid w:val="00B22A4D"/>
    <w:rsid w:val="00B23ACB"/>
    <w:rsid w:val="00B241F7"/>
    <w:rsid w:val="00B26717"/>
    <w:rsid w:val="00B279BE"/>
    <w:rsid w:val="00B27D07"/>
    <w:rsid w:val="00B304B9"/>
    <w:rsid w:val="00B305B9"/>
    <w:rsid w:val="00B309F0"/>
    <w:rsid w:val="00B31D17"/>
    <w:rsid w:val="00B31D90"/>
    <w:rsid w:val="00B3200F"/>
    <w:rsid w:val="00B32974"/>
    <w:rsid w:val="00B32BDA"/>
    <w:rsid w:val="00B3384D"/>
    <w:rsid w:val="00B34017"/>
    <w:rsid w:val="00B3496A"/>
    <w:rsid w:val="00B35FE7"/>
    <w:rsid w:val="00B403B1"/>
    <w:rsid w:val="00B403CC"/>
    <w:rsid w:val="00B408D0"/>
    <w:rsid w:val="00B4099D"/>
    <w:rsid w:val="00B4298D"/>
    <w:rsid w:val="00B433F3"/>
    <w:rsid w:val="00B43CC1"/>
    <w:rsid w:val="00B442D5"/>
    <w:rsid w:val="00B52C04"/>
    <w:rsid w:val="00B54054"/>
    <w:rsid w:val="00B54513"/>
    <w:rsid w:val="00B55308"/>
    <w:rsid w:val="00B55EDE"/>
    <w:rsid w:val="00B56AC1"/>
    <w:rsid w:val="00B57224"/>
    <w:rsid w:val="00B578A8"/>
    <w:rsid w:val="00B602DC"/>
    <w:rsid w:val="00B610D5"/>
    <w:rsid w:val="00B62367"/>
    <w:rsid w:val="00B64728"/>
    <w:rsid w:val="00B65ED1"/>
    <w:rsid w:val="00B666C5"/>
    <w:rsid w:val="00B66F23"/>
    <w:rsid w:val="00B678AF"/>
    <w:rsid w:val="00B679E3"/>
    <w:rsid w:val="00B70516"/>
    <w:rsid w:val="00B70E08"/>
    <w:rsid w:val="00B723C3"/>
    <w:rsid w:val="00B72632"/>
    <w:rsid w:val="00B7346B"/>
    <w:rsid w:val="00B73A85"/>
    <w:rsid w:val="00B73D16"/>
    <w:rsid w:val="00B7486E"/>
    <w:rsid w:val="00B74A31"/>
    <w:rsid w:val="00B76D07"/>
    <w:rsid w:val="00B77520"/>
    <w:rsid w:val="00B77686"/>
    <w:rsid w:val="00B82D29"/>
    <w:rsid w:val="00B837F0"/>
    <w:rsid w:val="00B85212"/>
    <w:rsid w:val="00B85DFA"/>
    <w:rsid w:val="00B87885"/>
    <w:rsid w:val="00B878BA"/>
    <w:rsid w:val="00B87B44"/>
    <w:rsid w:val="00B9045C"/>
    <w:rsid w:val="00B90C72"/>
    <w:rsid w:val="00B912A5"/>
    <w:rsid w:val="00B933E7"/>
    <w:rsid w:val="00B94359"/>
    <w:rsid w:val="00B9566A"/>
    <w:rsid w:val="00B95C6A"/>
    <w:rsid w:val="00B95D60"/>
    <w:rsid w:val="00B9707F"/>
    <w:rsid w:val="00B97519"/>
    <w:rsid w:val="00BA0B39"/>
    <w:rsid w:val="00BA0F65"/>
    <w:rsid w:val="00BA151B"/>
    <w:rsid w:val="00BA1579"/>
    <w:rsid w:val="00BA2352"/>
    <w:rsid w:val="00BA3A01"/>
    <w:rsid w:val="00BA469F"/>
    <w:rsid w:val="00BA4743"/>
    <w:rsid w:val="00BA490D"/>
    <w:rsid w:val="00BA5D81"/>
    <w:rsid w:val="00BA5FCC"/>
    <w:rsid w:val="00BA6A6D"/>
    <w:rsid w:val="00BA7476"/>
    <w:rsid w:val="00BB04FC"/>
    <w:rsid w:val="00BB09D6"/>
    <w:rsid w:val="00BB0A27"/>
    <w:rsid w:val="00BB0B07"/>
    <w:rsid w:val="00BB11A9"/>
    <w:rsid w:val="00BB168B"/>
    <w:rsid w:val="00BB2282"/>
    <w:rsid w:val="00BB2AB8"/>
    <w:rsid w:val="00BB2B25"/>
    <w:rsid w:val="00BB49D7"/>
    <w:rsid w:val="00BB5C84"/>
    <w:rsid w:val="00BB6F19"/>
    <w:rsid w:val="00BB7F94"/>
    <w:rsid w:val="00BC0EEF"/>
    <w:rsid w:val="00BC313C"/>
    <w:rsid w:val="00BC3335"/>
    <w:rsid w:val="00BC44DC"/>
    <w:rsid w:val="00BC4B34"/>
    <w:rsid w:val="00BC4BD5"/>
    <w:rsid w:val="00BC55AB"/>
    <w:rsid w:val="00BC5AB0"/>
    <w:rsid w:val="00BC5CA9"/>
    <w:rsid w:val="00BC652C"/>
    <w:rsid w:val="00BC6CCE"/>
    <w:rsid w:val="00BC751F"/>
    <w:rsid w:val="00BC7FBD"/>
    <w:rsid w:val="00BD08CD"/>
    <w:rsid w:val="00BD0ACD"/>
    <w:rsid w:val="00BD128B"/>
    <w:rsid w:val="00BD340E"/>
    <w:rsid w:val="00BD4AAD"/>
    <w:rsid w:val="00BD5C00"/>
    <w:rsid w:val="00BD616C"/>
    <w:rsid w:val="00BD61C0"/>
    <w:rsid w:val="00BD6845"/>
    <w:rsid w:val="00BD6FA1"/>
    <w:rsid w:val="00BD7E09"/>
    <w:rsid w:val="00BE1315"/>
    <w:rsid w:val="00BE13BF"/>
    <w:rsid w:val="00BE235C"/>
    <w:rsid w:val="00BE3381"/>
    <w:rsid w:val="00BE3394"/>
    <w:rsid w:val="00BE3574"/>
    <w:rsid w:val="00BE3B84"/>
    <w:rsid w:val="00BE3B9E"/>
    <w:rsid w:val="00BE4756"/>
    <w:rsid w:val="00BE4D37"/>
    <w:rsid w:val="00BE59FA"/>
    <w:rsid w:val="00BE630E"/>
    <w:rsid w:val="00BE641D"/>
    <w:rsid w:val="00BE6CA6"/>
    <w:rsid w:val="00BF00A4"/>
    <w:rsid w:val="00BF09EC"/>
    <w:rsid w:val="00BF0B2D"/>
    <w:rsid w:val="00BF0E67"/>
    <w:rsid w:val="00BF1318"/>
    <w:rsid w:val="00BF1634"/>
    <w:rsid w:val="00BF235D"/>
    <w:rsid w:val="00BF24AD"/>
    <w:rsid w:val="00BF2C06"/>
    <w:rsid w:val="00BF369A"/>
    <w:rsid w:val="00BF4199"/>
    <w:rsid w:val="00BF52D5"/>
    <w:rsid w:val="00BF5A58"/>
    <w:rsid w:val="00BF7B33"/>
    <w:rsid w:val="00C00731"/>
    <w:rsid w:val="00C00C24"/>
    <w:rsid w:val="00C01969"/>
    <w:rsid w:val="00C02139"/>
    <w:rsid w:val="00C02975"/>
    <w:rsid w:val="00C02B94"/>
    <w:rsid w:val="00C0330B"/>
    <w:rsid w:val="00C0372E"/>
    <w:rsid w:val="00C037AE"/>
    <w:rsid w:val="00C03CDA"/>
    <w:rsid w:val="00C0421B"/>
    <w:rsid w:val="00C0545B"/>
    <w:rsid w:val="00C05876"/>
    <w:rsid w:val="00C065A0"/>
    <w:rsid w:val="00C0770D"/>
    <w:rsid w:val="00C077DB"/>
    <w:rsid w:val="00C101FD"/>
    <w:rsid w:val="00C105FA"/>
    <w:rsid w:val="00C10BAD"/>
    <w:rsid w:val="00C1142B"/>
    <w:rsid w:val="00C1232F"/>
    <w:rsid w:val="00C12BA6"/>
    <w:rsid w:val="00C13EB8"/>
    <w:rsid w:val="00C13ED2"/>
    <w:rsid w:val="00C13F70"/>
    <w:rsid w:val="00C15F54"/>
    <w:rsid w:val="00C16D05"/>
    <w:rsid w:val="00C171EE"/>
    <w:rsid w:val="00C208A1"/>
    <w:rsid w:val="00C20C07"/>
    <w:rsid w:val="00C21766"/>
    <w:rsid w:val="00C21BF5"/>
    <w:rsid w:val="00C21CBC"/>
    <w:rsid w:val="00C22F39"/>
    <w:rsid w:val="00C236A4"/>
    <w:rsid w:val="00C240D5"/>
    <w:rsid w:val="00C24886"/>
    <w:rsid w:val="00C30371"/>
    <w:rsid w:val="00C305D6"/>
    <w:rsid w:val="00C3194F"/>
    <w:rsid w:val="00C31B8B"/>
    <w:rsid w:val="00C321D5"/>
    <w:rsid w:val="00C3272A"/>
    <w:rsid w:val="00C33790"/>
    <w:rsid w:val="00C3573B"/>
    <w:rsid w:val="00C35B99"/>
    <w:rsid w:val="00C36165"/>
    <w:rsid w:val="00C3627C"/>
    <w:rsid w:val="00C377A0"/>
    <w:rsid w:val="00C40E11"/>
    <w:rsid w:val="00C42783"/>
    <w:rsid w:val="00C438F0"/>
    <w:rsid w:val="00C43A4F"/>
    <w:rsid w:val="00C44D87"/>
    <w:rsid w:val="00C4523D"/>
    <w:rsid w:val="00C47283"/>
    <w:rsid w:val="00C50C88"/>
    <w:rsid w:val="00C533C0"/>
    <w:rsid w:val="00C536A0"/>
    <w:rsid w:val="00C54252"/>
    <w:rsid w:val="00C5465D"/>
    <w:rsid w:val="00C54EAB"/>
    <w:rsid w:val="00C552F8"/>
    <w:rsid w:val="00C55477"/>
    <w:rsid w:val="00C55D31"/>
    <w:rsid w:val="00C5671D"/>
    <w:rsid w:val="00C57BC5"/>
    <w:rsid w:val="00C57F07"/>
    <w:rsid w:val="00C57FA1"/>
    <w:rsid w:val="00C60901"/>
    <w:rsid w:val="00C60F0D"/>
    <w:rsid w:val="00C6112D"/>
    <w:rsid w:val="00C62006"/>
    <w:rsid w:val="00C6251A"/>
    <w:rsid w:val="00C627C0"/>
    <w:rsid w:val="00C62FBD"/>
    <w:rsid w:val="00C63AE5"/>
    <w:rsid w:val="00C64E5A"/>
    <w:rsid w:val="00C65044"/>
    <w:rsid w:val="00C65114"/>
    <w:rsid w:val="00C66089"/>
    <w:rsid w:val="00C6670B"/>
    <w:rsid w:val="00C6702F"/>
    <w:rsid w:val="00C67AEC"/>
    <w:rsid w:val="00C67B52"/>
    <w:rsid w:val="00C70CEC"/>
    <w:rsid w:val="00C70DDB"/>
    <w:rsid w:val="00C70DE9"/>
    <w:rsid w:val="00C7124C"/>
    <w:rsid w:val="00C71723"/>
    <w:rsid w:val="00C719A5"/>
    <w:rsid w:val="00C724C1"/>
    <w:rsid w:val="00C72519"/>
    <w:rsid w:val="00C729CC"/>
    <w:rsid w:val="00C73E03"/>
    <w:rsid w:val="00C74F94"/>
    <w:rsid w:val="00C75EFE"/>
    <w:rsid w:val="00C7674D"/>
    <w:rsid w:val="00C76E22"/>
    <w:rsid w:val="00C77A2B"/>
    <w:rsid w:val="00C77D51"/>
    <w:rsid w:val="00C8132C"/>
    <w:rsid w:val="00C8141C"/>
    <w:rsid w:val="00C816FB"/>
    <w:rsid w:val="00C8289C"/>
    <w:rsid w:val="00C83D42"/>
    <w:rsid w:val="00C8519F"/>
    <w:rsid w:val="00C85336"/>
    <w:rsid w:val="00C85595"/>
    <w:rsid w:val="00C86F05"/>
    <w:rsid w:val="00C87832"/>
    <w:rsid w:val="00C878BF"/>
    <w:rsid w:val="00C9078B"/>
    <w:rsid w:val="00C90CCF"/>
    <w:rsid w:val="00C91819"/>
    <w:rsid w:val="00C925F8"/>
    <w:rsid w:val="00C9280E"/>
    <w:rsid w:val="00C92983"/>
    <w:rsid w:val="00C92BF6"/>
    <w:rsid w:val="00C92F8C"/>
    <w:rsid w:val="00C939C1"/>
    <w:rsid w:val="00C948D5"/>
    <w:rsid w:val="00C94D02"/>
    <w:rsid w:val="00C96C66"/>
    <w:rsid w:val="00CA036D"/>
    <w:rsid w:val="00CA33F9"/>
    <w:rsid w:val="00CA3BBD"/>
    <w:rsid w:val="00CA4234"/>
    <w:rsid w:val="00CA458A"/>
    <w:rsid w:val="00CA50B8"/>
    <w:rsid w:val="00CA732E"/>
    <w:rsid w:val="00CA7B05"/>
    <w:rsid w:val="00CA7ED5"/>
    <w:rsid w:val="00CB07A7"/>
    <w:rsid w:val="00CB15F3"/>
    <w:rsid w:val="00CB19EB"/>
    <w:rsid w:val="00CB23B3"/>
    <w:rsid w:val="00CB26A3"/>
    <w:rsid w:val="00CB2A44"/>
    <w:rsid w:val="00CB3D1C"/>
    <w:rsid w:val="00CB3D61"/>
    <w:rsid w:val="00CB4D48"/>
    <w:rsid w:val="00CB59CD"/>
    <w:rsid w:val="00CB6F17"/>
    <w:rsid w:val="00CB767B"/>
    <w:rsid w:val="00CB7CFF"/>
    <w:rsid w:val="00CC04E6"/>
    <w:rsid w:val="00CC05DD"/>
    <w:rsid w:val="00CC2156"/>
    <w:rsid w:val="00CC2994"/>
    <w:rsid w:val="00CC3442"/>
    <w:rsid w:val="00CC39AA"/>
    <w:rsid w:val="00CC5D63"/>
    <w:rsid w:val="00CC6065"/>
    <w:rsid w:val="00CC7884"/>
    <w:rsid w:val="00CC7BFB"/>
    <w:rsid w:val="00CD16C4"/>
    <w:rsid w:val="00CD2AA9"/>
    <w:rsid w:val="00CD37B0"/>
    <w:rsid w:val="00CD7978"/>
    <w:rsid w:val="00CD7A03"/>
    <w:rsid w:val="00CE042A"/>
    <w:rsid w:val="00CE06D9"/>
    <w:rsid w:val="00CE07C6"/>
    <w:rsid w:val="00CE08F5"/>
    <w:rsid w:val="00CE1156"/>
    <w:rsid w:val="00CE1C97"/>
    <w:rsid w:val="00CE1CAF"/>
    <w:rsid w:val="00CE22D3"/>
    <w:rsid w:val="00CE3094"/>
    <w:rsid w:val="00CE310D"/>
    <w:rsid w:val="00CE3A28"/>
    <w:rsid w:val="00CE3BB5"/>
    <w:rsid w:val="00CE3CD9"/>
    <w:rsid w:val="00CE4590"/>
    <w:rsid w:val="00CE54D5"/>
    <w:rsid w:val="00CE6CFC"/>
    <w:rsid w:val="00CE6F6D"/>
    <w:rsid w:val="00CE75CC"/>
    <w:rsid w:val="00CF11AB"/>
    <w:rsid w:val="00CF18AE"/>
    <w:rsid w:val="00CF22E5"/>
    <w:rsid w:val="00CF2887"/>
    <w:rsid w:val="00CF3839"/>
    <w:rsid w:val="00CF4FFD"/>
    <w:rsid w:val="00CF6BD5"/>
    <w:rsid w:val="00CF7777"/>
    <w:rsid w:val="00CF7849"/>
    <w:rsid w:val="00D00470"/>
    <w:rsid w:val="00D014D4"/>
    <w:rsid w:val="00D0217B"/>
    <w:rsid w:val="00D03755"/>
    <w:rsid w:val="00D04648"/>
    <w:rsid w:val="00D06DE3"/>
    <w:rsid w:val="00D0740F"/>
    <w:rsid w:val="00D0780E"/>
    <w:rsid w:val="00D07C5D"/>
    <w:rsid w:val="00D10C82"/>
    <w:rsid w:val="00D113E0"/>
    <w:rsid w:val="00D11A68"/>
    <w:rsid w:val="00D12827"/>
    <w:rsid w:val="00D129C8"/>
    <w:rsid w:val="00D134B0"/>
    <w:rsid w:val="00D135BA"/>
    <w:rsid w:val="00D1360D"/>
    <w:rsid w:val="00D139A5"/>
    <w:rsid w:val="00D14496"/>
    <w:rsid w:val="00D16AA9"/>
    <w:rsid w:val="00D16CA6"/>
    <w:rsid w:val="00D20DF7"/>
    <w:rsid w:val="00D222B2"/>
    <w:rsid w:val="00D22A59"/>
    <w:rsid w:val="00D22E8A"/>
    <w:rsid w:val="00D25DC1"/>
    <w:rsid w:val="00D26845"/>
    <w:rsid w:val="00D272E9"/>
    <w:rsid w:val="00D275C3"/>
    <w:rsid w:val="00D27992"/>
    <w:rsid w:val="00D27C7D"/>
    <w:rsid w:val="00D309A3"/>
    <w:rsid w:val="00D319C3"/>
    <w:rsid w:val="00D31B79"/>
    <w:rsid w:val="00D31B95"/>
    <w:rsid w:val="00D32DA9"/>
    <w:rsid w:val="00D3320D"/>
    <w:rsid w:val="00D33CBE"/>
    <w:rsid w:val="00D34BD2"/>
    <w:rsid w:val="00D35EE3"/>
    <w:rsid w:val="00D36268"/>
    <w:rsid w:val="00D3661F"/>
    <w:rsid w:val="00D367AC"/>
    <w:rsid w:val="00D36BAC"/>
    <w:rsid w:val="00D36C93"/>
    <w:rsid w:val="00D36DF6"/>
    <w:rsid w:val="00D40263"/>
    <w:rsid w:val="00D415FB"/>
    <w:rsid w:val="00D4189E"/>
    <w:rsid w:val="00D43E1C"/>
    <w:rsid w:val="00D4625F"/>
    <w:rsid w:val="00D4686C"/>
    <w:rsid w:val="00D471F4"/>
    <w:rsid w:val="00D50FBA"/>
    <w:rsid w:val="00D5105B"/>
    <w:rsid w:val="00D510EA"/>
    <w:rsid w:val="00D512F2"/>
    <w:rsid w:val="00D527D9"/>
    <w:rsid w:val="00D536A2"/>
    <w:rsid w:val="00D54172"/>
    <w:rsid w:val="00D5427C"/>
    <w:rsid w:val="00D552C4"/>
    <w:rsid w:val="00D566AB"/>
    <w:rsid w:val="00D569C4"/>
    <w:rsid w:val="00D56C70"/>
    <w:rsid w:val="00D56D3D"/>
    <w:rsid w:val="00D57624"/>
    <w:rsid w:val="00D60937"/>
    <w:rsid w:val="00D61ACB"/>
    <w:rsid w:val="00D63274"/>
    <w:rsid w:val="00D6366A"/>
    <w:rsid w:val="00D63A08"/>
    <w:rsid w:val="00D63F4B"/>
    <w:rsid w:val="00D66074"/>
    <w:rsid w:val="00D6617F"/>
    <w:rsid w:val="00D66BEE"/>
    <w:rsid w:val="00D676E8"/>
    <w:rsid w:val="00D67735"/>
    <w:rsid w:val="00D678C2"/>
    <w:rsid w:val="00D67A02"/>
    <w:rsid w:val="00D67FD4"/>
    <w:rsid w:val="00D71FE9"/>
    <w:rsid w:val="00D7221A"/>
    <w:rsid w:val="00D72EDC"/>
    <w:rsid w:val="00D75F8D"/>
    <w:rsid w:val="00D77EA5"/>
    <w:rsid w:val="00D81C11"/>
    <w:rsid w:val="00D81EEE"/>
    <w:rsid w:val="00D8237F"/>
    <w:rsid w:val="00D8257F"/>
    <w:rsid w:val="00D8408D"/>
    <w:rsid w:val="00D84410"/>
    <w:rsid w:val="00D8446F"/>
    <w:rsid w:val="00D84773"/>
    <w:rsid w:val="00D84A40"/>
    <w:rsid w:val="00D84FB3"/>
    <w:rsid w:val="00D8521E"/>
    <w:rsid w:val="00D85E87"/>
    <w:rsid w:val="00D86958"/>
    <w:rsid w:val="00D8768C"/>
    <w:rsid w:val="00D87A5B"/>
    <w:rsid w:val="00D9080F"/>
    <w:rsid w:val="00D9081D"/>
    <w:rsid w:val="00D90B81"/>
    <w:rsid w:val="00D9179F"/>
    <w:rsid w:val="00D91A72"/>
    <w:rsid w:val="00D91D16"/>
    <w:rsid w:val="00D9358F"/>
    <w:rsid w:val="00D9379A"/>
    <w:rsid w:val="00D938CD"/>
    <w:rsid w:val="00D94724"/>
    <w:rsid w:val="00D952F1"/>
    <w:rsid w:val="00D9589C"/>
    <w:rsid w:val="00D96532"/>
    <w:rsid w:val="00D97041"/>
    <w:rsid w:val="00DA0B66"/>
    <w:rsid w:val="00DA11E0"/>
    <w:rsid w:val="00DA1CAF"/>
    <w:rsid w:val="00DA1E23"/>
    <w:rsid w:val="00DA36DD"/>
    <w:rsid w:val="00DA4429"/>
    <w:rsid w:val="00DA4723"/>
    <w:rsid w:val="00DA47A9"/>
    <w:rsid w:val="00DA54CF"/>
    <w:rsid w:val="00DA5BF1"/>
    <w:rsid w:val="00DA6A23"/>
    <w:rsid w:val="00DB04D5"/>
    <w:rsid w:val="00DB0EE7"/>
    <w:rsid w:val="00DB132E"/>
    <w:rsid w:val="00DB2A55"/>
    <w:rsid w:val="00DB2AB6"/>
    <w:rsid w:val="00DB2AD4"/>
    <w:rsid w:val="00DB4590"/>
    <w:rsid w:val="00DB4C74"/>
    <w:rsid w:val="00DB4FB8"/>
    <w:rsid w:val="00DB5415"/>
    <w:rsid w:val="00DB55DE"/>
    <w:rsid w:val="00DB5AA0"/>
    <w:rsid w:val="00DB6762"/>
    <w:rsid w:val="00DB6AE0"/>
    <w:rsid w:val="00DB6B4A"/>
    <w:rsid w:val="00DB7472"/>
    <w:rsid w:val="00DB7C7B"/>
    <w:rsid w:val="00DC2B44"/>
    <w:rsid w:val="00DC2DB3"/>
    <w:rsid w:val="00DC2E40"/>
    <w:rsid w:val="00DC406B"/>
    <w:rsid w:val="00DC4C8B"/>
    <w:rsid w:val="00DC4DF1"/>
    <w:rsid w:val="00DC5333"/>
    <w:rsid w:val="00DC54DD"/>
    <w:rsid w:val="00DC5675"/>
    <w:rsid w:val="00DC5A8E"/>
    <w:rsid w:val="00DC6E8D"/>
    <w:rsid w:val="00DD01F0"/>
    <w:rsid w:val="00DD02B7"/>
    <w:rsid w:val="00DD0ABE"/>
    <w:rsid w:val="00DD2F8B"/>
    <w:rsid w:val="00DD348F"/>
    <w:rsid w:val="00DD354A"/>
    <w:rsid w:val="00DD3943"/>
    <w:rsid w:val="00DD4657"/>
    <w:rsid w:val="00DD4B13"/>
    <w:rsid w:val="00DD4BD6"/>
    <w:rsid w:val="00DD4DCA"/>
    <w:rsid w:val="00DD6EA3"/>
    <w:rsid w:val="00DD77D1"/>
    <w:rsid w:val="00DD7C8B"/>
    <w:rsid w:val="00DE0833"/>
    <w:rsid w:val="00DE1328"/>
    <w:rsid w:val="00DE228E"/>
    <w:rsid w:val="00DE427E"/>
    <w:rsid w:val="00DE4824"/>
    <w:rsid w:val="00DE4A3F"/>
    <w:rsid w:val="00DE4BA7"/>
    <w:rsid w:val="00DE4CF3"/>
    <w:rsid w:val="00DE5407"/>
    <w:rsid w:val="00DE5518"/>
    <w:rsid w:val="00DE5E5A"/>
    <w:rsid w:val="00DE6A70"/>
    <w:rsid w:val="00DF0038"/>
    <w:rsid w:val="00DF062E"/>
    <w:rsid w:val="00DF1BF7"/>
    <w:rsid w:val="00DF1DDA"/>
    <w:rsid w:val="00DF23D9"/>
    <w:rsid w:val="00DF2F8C"/>
    <w:rsid w:val="00DF6016"/>
    <w:rsid w:val="00DF70CB"/>
    <w:rsid w:val="00DF7158"/>
    <w:rsid w:val="00DF7285"/>
    <w:rsid w:val="00DF7C99"/>
    <w:rsid w:val="00E0092A"/>
    <w:rsid w:val="00E011AD"/>
    <w:rsid w:val="00E0169F"/>
    <w:rsid w:val="00E01AE5"/>
    <w:rsid w:val="00E0397E"/>
    <w:rsid w:val="00E03F8F"/>
    <w:rsid w:val="00E05DA7"/>
    <w:rsid w:val="00E0649D"/>
    <w:rsid w:val="00E10520"/>
    <w:rsid w:val="00E1107B"/>
    <w:rsid w:val="00E13020"/>
    <w:rsid w:val="00E13C9F"/>
    <w:rsid w:val="00E15207"/>
    <w:rsid w:val="00E165E5"/>
    <w:rsid w:val="00E16CCC"/>
    <w:rsid w:val="00E2086E"/>
    <w:rsid w:val="00E20A2F"/>
    <w:rsid w:val="00E20DB4"/>
    <w:rsid w:val="00E21A39"/>
    <w:rsid w:val="00E229F1"/>
    <w:rsid w:val="00E2316A"/>
    <w:rsid w:val="00E23529"/>
    <w:rsid w:val="00E23C32"/>
    <w:rsid w:val="00E2415A"/>
    <w:rsid w:val="00E244D2"/>
    <w:rsid w:val="00E2558A"/>
    <w:rsid w:val="00E25C94"/>
    <w:rsid w:val="00E261CF"/>
    <w:rsid w:val="00E26A22"/>
    <w:rsid w:val="00E2722C"/>
    <w:rsid w:val="00E27B0B"/>
    <w:rsid w:val="00E27F13"/>
    <w:rsid w:val="00E30D35"/>
    <w:rsid w:val="00E30D44"/>
    <w:rsid w:val="00E30EE9"/>
    <w:rsid w:val="00E3179B"/>
    <w:rsid w:val="00E31A08"/>
    <w:rsid w:val="00E31A67"/>
    <w:rsid w:val="00E32191"/>
    <w:rsid w:val="00E32F13"/>
    <w:rsid w:val="00E34383"/>
    <w:rsid w:val="00E345A2"/>
    <w:rsid w:val="00E362AD"/>
    <w:rsid w:val="00E40A2C"/>
    <w:rsid w:val="00E410A6"/>
    <w:rsid w:val="00E4319C"/>
    <w:rsid w:val="00E455ED"/>
    <w:rsid w:val="00E4583C"/>
    <w:rsid w:val="00E45E57"/>
    <w:rsid w:val="00E4677F"/>
    <w:rsid w:val="00E47A8F"/>
    <w:rsid w:val="00E50D2F"/>
    <w:rsid w:val="00E515F7"/>
    <w:rsid w:val="00E52094"/>
    <w:rsid w:val="00E520BB"/>
    <w:rsid w:val="00E5289A"/>
    <w:rsid w:val="00E531EB"/>
    <w:rsid w:val="00E538F2"/>
    <w:rsid w:val="00E54083"/>
    <w:rsid w:val="00E545A4"/>
    <w:rsid w:val="00E54FA4"/>
    <w:rsid w:val="00E55415"/>
    <w:rsid w:val="00E55652"/>
    <w:rsid w:val="00E5585C"/>
    <w:rsid w:val="00E55ECD"/>
    <w:rsid w:val="00E55FE7"/>
    <w:rsid w:val="00E564DD"/>
    <w:rsid w:val="00E57318"/>
    <w:rsid w:val="00E623DA"/>
    <w:rsid w:val="00E6314E"/>
    <w:rsid w:val="00E6353E"/>
    <w:rsid w:val="00E636B3"/>
    <w:rsid w:val="00E6393A"/>
    <w:rsid w:val="00E63CBB"/>
    <w:rsid w:val="00E642B3"/>
    <w:rsid w:val="00E64782"/>
    <w:rsid w:val="00E64D63"/>
    <w:rsid w:val="00E64F96"/>
    <w:rsid w:val="00E65084"/>
    <w:rsid w:val="00E65CC8"/>
    <w:rsid w:val="00E66B2C"/>
    <w:rsid w:val="00E70005"/>
    <w:rsid w:val="00E7238E"/>
    <w:rsid w:val="00E7328E"/>
    <w:rsid w:val="00E7457B"/>
    <w:rsid w:val="00E74633"/>
    <w:rsid w:val="00E74821"/>
    <w:rsid w:val="00E748CB"/>
    <w:rsid w:val="00E754E4"/>
    <w:rsid w:val="00E7559E"/>
    <w:rsid w:val="00E7598A"/>
    <w:rsid w:val="00E77056"/>
    <w:rsid w:val="00E77CD7"/>
    <w:rsid w:val="00E802AC"/>
    <w:rsid w:val="00E80743"/>
    <w:rsid w:val="00E834ED"/>
    <w:rsid w:val="00E844D9"/>
    <w:rsid w:val="00E84A84"/>
    <w:rsid w:val="00E85816"/>
    <w:rsid w:val="00E85877"/>
    <w:rsid w:val="00E87B60"/>
    <w:rsid w:val="00E9111A"/>
    <w:rsid w:val="00E92056"/>
    <w:rsid w:val="00E935A4"/>
    <w:rsid w:val="00E935A9"/>
    <w:rsid w:val="00E94500"/>
    <w:rsid w:val="00E953CB"/>
    <w:rsid w:val="00E96D52"/>
    <w:rsid w:val="00E973FD"/>
    <w:rsid w:val="00EA0B28"/>
    <w:rsid w:val="00EA23DE"/>
    <w:rsid w:val="00EA3259"/>
    <w:rsid w:val="00EA3325"/>
    <w:rsid w:val="00EA3749"/>
    <w:rsid w:val="00EA5943"/>
    <w:rsid w:val="00EA5B87"/>
    <w:rsid w:val="00EA7A18"/>
    <w:rsid w:val="00EB02B5"/>
    <w:rsid w:val="00EB06FA"/>
    <w:rsid w:val="00EB134A"/>
    <w:rsid w:val="00EB2B9E"/>
    <w:rsid w:val="00EB2C28"/>
    <w:rsid w:val="00EB35A6"/>
    <w:rsid w:val="00EB45E1"/>
    <w:rsid w:val="00EB4D35"/>
    <w:rsid w:val="00EB5B0A"/>
    <w:rsid w:val="00EB6ADB"/>
    <w:rsid w:val="00EB6EAD"/>
    <w:rsid w:val="00EB78FA"/>
    <w:rsid w:val="00EC07F0"/>
    <w:rsid w:val="00EC0820"/>
    <w:rsid w:val="00EC1B4B"/>
    <w:rsid w:val="00EC20BC"/>
    <w:rsid w:val="00EC23DC"/>
    <w:rsid w:val="00EC31B6"/>
    <w:rsid w:val="00EC4774"/>
    <w:rsid w:val="00EC4D28"/>
    <w:rsid w:val="00EC6476"/>
    <w:rsid w:val="00EC6714"/>
    <w:rsid w:val="00EC6E7A"/>
    <w:rsid w:val="00ED0BB3"/>
    <w:rsid w:val="00ED0BF1"/>
    <w:rsid w:val="00ED0F64"/>
    <w:rsid w:val="00ED2537"/>
    <w:rsid w:val="00ED29C7"/>
    <w:rsid w:val="00ED2DC5"/>
    <w:rsid w:val="00ED33A5"/>
    <w:rsid w:val="00ED4213"/>
    <w:rsid w:val="00ED46DE"/>
    <w:rsid w:val="00ED4802"/>
    <w:rsid w:val="00ED7EBB"/>
    <w:rsid w:val="00EE0B9F"/>
    <w:rsid w:val="00EE1D07"/>
    <w:rsid w:val="00EE2C94"/>
    <w:rsid w:val="00EE2FC6"/>
    <w:rsid w:val="00EE404D"/>
    <w:rsid w:val="00EE46C2"/>
    <w:rsid w:val="00EE49CA"/>
    <w:rsid w:val="00EE522B"/>
    <w:rsid w:val="00EE6D1C"/>
    <w:rsid w:val="00EE7888"/>
    <w:rsid w:val="00EE7EE5"/>
    <w:rsid w:val="00EF1B91"/>
    <w:rsid w:val="00EF1C21"/>
    <w:rsid w:val="00EF1F90"/>
    <w:rsid w:val="00EF3B20"/>
    <w:rsid w:val="00EF4461"/>
    <w:rsid w:val="00EF4631"/>
    <w:rsid w:val="00EF4C06"/>
    <w:rsid w:val="00EF59DE"/>
    <w:rsid w:val="00EF5E93"/>
    <w:rsid w:val="00EF6B57"/>
    <w:rsid w:val="00EF7242"/>
    <w:rsid w:val="00F024D1"/>
    <w:rsid w:val="00F03E61"/>
    <w:rsid w:val="00F051D8"/>
    <w:rsid w:val="00F06224"/>
    <w:rsid w:val="00F063ED"/>
    <w:rsid w:val="00F06D43"/>
    <w:rsid w:val="00F0732B"/>
    <w:rsid w:val="00F07537"/>
    <w:rsid w:val="00F103F3"/>
    <w:rsid w:val="00F1072E"/>
    <w:rsid w:val="00F115B2"/>
    <w:rsid w:val="00F11A45"/>
    <w:rsid w:val="00F12405"/>
    <w:rsid w:val="00F13B0E"/>
    <w:rsid w:val="00F14615"/>
    <w:rsid w:val="00F1556E"/>
    <w:rsid w:val="00F15AB5"/>
    <w:rsid w:val="00F15CA5"/>
    <w:rsid w:val="00F168A1"/>
    <w:rsid w:val="00F16ED0"/>
    <w:rsid w:val="00F205C5"/>
    <w:rsid w:val="00F207C4"/>
    <w:rsid w:val="00F20A68"/>
    <w:rsid w:val="00F20FF8"/>
    <w:rsid w:val="00F217C2"/>
    <w:rsid w:val="00F21CC8"/>
    <w:rsid w:val="00F21EBA"/>
    <w:rsid w:val="00F22040"/>
    <w:rsid w:val="00F2238B"/>
    <w:rsid w:val="00F23BDF"/>
    <w:rsid w:val="00F25167"/>
    <w:rsid w:val="00F25361"/>
    <w:rsid w:val="00F26905"/>
    <w:rsid w:val="00F27BE9"/>
    <w:rsid w:val="00F314CE"/>
    <w:rsid w:val="00F315A1"/>
    <w:rsid w:val="00F31C2C"/>
    <w:rsid w:val="00F31F31"/>
    <w:rsid w:val="00F3233F"/>
    <w:rsid w:val="00F325F2"/>
    <w:rsid w:val="00F33283"/>
    <w:rsid w:val="00F33741"/>
    <w:rsid w:val="00F337D1"/>
    <w:rsid w:val="00F33AC7"/>
    <w:rsid w:val="00F33AF2"/>
    <w:rsid w:val="00F35CE9"/>
    <w:rsid w:val="00F366CB"/>
    <w:rsid w:val="00F36AC5"/>
    <w:rsid w:val="00F36D6D"/>
    <w:rsid w:val="00F36DC0"/>
    <w:rsid w:val="00F37A34"/>
    <w:rsid w:val="00F40B00"/>
    <w:rsid w:val="00F4129D"/>
    <w:rsid w:val="00F413A0"/>
    <w:rsid w:val="00F46A66"/>
    <w:rsid w:val="00F46D8F"/>
    <w:rsid w:val="00F47E10"/>
    <w:rsid w:val="00F50A84"/>
    <w:rsid w:val="00F50E7E"/>
    <w:rsid w:val="00F516C5"/>
    <w:rsid w:val="00F51748"/>
    <w:rsid w:val="00F5399D"/>
    <w:rsid w:val="00F5435E"/>
    <w:rsid w:val="00F54A80"/>
    <w:rsid w:val="00F55998"/>
    <w:rsid w:val="00F563B0"/>
    <w:rsid w:val="00F563EF"/>
    <w:rsid w:val="00F56DF5"/>
    <w:rsid w:val="00F573D3"/>
    <w:rsid w:val="00F5783B"/>
    <w:rsid w:val="00F57ABF"/>
    <w:rsid w:val="00F57D68"/>
    <w:rsid w:val="00F60DB6"/>
    <w:rsid w:val="00F61459"/>
    <w:rsid w:val="00F61F55"/>
    <w:rsid w:val="00F63584"/>
    <w:rsid w:val="00F63619"/>
    <w:rsid w:val="00F63E2B"/>
    <w:rsid w:val="00F64143"/>
    <w:rsid w:val="00F6519F"/>
    <w:rsid w:val="00F66128"/>
    <w:rsid w:val="00F66612"/>
    <w:rsid w:val="00F679D0"/>
    <w:rsid w:val="00F710BD"/>
    <w:rsid w:val="00F72061"/>
    <w:rsid w:val="00F726A6"/>
    <w:rsid w:val="00F7299A"/>
    <w:rsid w:val="00F72AF4"/>
    <w:rsid w:val="00F73404"/>
    <w:rsid w:val="00F8138C"/>
    <w:rsid w:val="00F82EF2"/>
    <w:rsid w:val="00F84943"/>
    <w:rsid w:val="00F868F4"/>
    <w:rsid w:val="00F87003"/>
    <w:rsid w:val="00F8706E"/>
    <w:rsid w:val="00F8729C"/>
    <w:rsid w:val="00F8742E"/>
    <w:rsid w:val="00F87E0B"/>
    <w:rsid w:val="00F87E4F"/>
    <w:rsid w:val="00F916DE"/>
    <w:rsid w:val="00F92317"/>
    <w:rsid w:val="00F926A5"/>
    <w:rsid w:val="00F934A9"/>
    <w:rsid w:val="00F959C3"/>
    <w:rsid w:val="00F95F2D"/>
    <w:rsid w:val="00F966A8"/>
    <w:rsid w:val="00FA0C77"/>
    <w:rsid w:val="00FA1052"/>
    <w:rsid w:val="00FA17BF"/>
    <w:rsid w:val="00FA2DBC"/>
    <w:rsid w:val="00FA2EBD"/>
    <w:rsid w:val="00FA3466"/>
    <w:rsid w:val="00FA601B"/>
    <w:rsid w:val="00FA60E4"/>
    <w:rsid w:val="00FB066A"/>
    <w:rsid w:val="00FB0950"/>
    <w:rsid w:val="00FB0E79"/>
    <w:rsid w:val="00FB3BE6"/>
    <w:rsid w:val="00FB3E79"/>
    <w:rsid w:val="00FB3F10"/>
    <w:rsid w:val="00FB56C7"/>
    <w:rsid w:val="00FB57D1"/>
    <w:rsid w:val="00FB583D"/>
    <w:rsid w:val="00FB6107"/>
    <w:rsid w:val="00FB6A96"/>
    <w:rsid w:val="00FB7650"/>
    <w:rsid w:val="00FC0198"/>
    <w:rsid w:val="00FC0393"/>
    <w:rsid w:val="00FC0C46"/>
    <w:rsid w:val="00FC1094"/>
    <w:rsid w:val="00FC2CAF"/>
    <w:rsid w:val="00FC302F"/>
    <w:rsid w:val="00FC42E8"/>
    <w:rsid w:val="00FC434B"/>
    <w:rsid w:val="00FC4AF4"/>
    <w:rsid w:val="00FC6087"/>
    <w:rsid w:val="00FC79E6"/>
    <w:rsid w:val="00FD074B"/>
    <w:rsid w:val="00FD2088"/>
    <w:rsid w:val="00FD42C9"/>
    <w:rsid w:val="00FD5319"/>
    <w:rsid w:val="00FD5B57"/>
    <w:rsid w:val="00FD5F8C"/>
    <w:rsid w:val="00FD63C8"/>
    <w:rsid w:val="00FD6A04"/>
    <w:rsid w:val="00FD6CA4"/>
    <w:rsid w:val="00FD7B14"/>
    <w:rsid w:val="00FE00C9"/>
    <w:rsid w:val="00FE0B78"/>
    <w:rsid w:val="00FE11C6"/>
    <w:rsid w:val="00FE135D"/>
    <w:rsid w:val="00FE1854"/>
    <w:rsid w:val="00FE2B74"/>
    <w:rsid w:val="00FE3721"/>
    <w:rsid w:val="00FE3BCC"/>
    <w:rsid w:val="00FE439B"/>
    <w:rsid w:val="00FE519E"/>
    <w:rsid w:val="00FE5DB4"/>
    <w:rsid w:val="00FE61B0"/>
    <w:rsid w:val="00FE638E"/>
    <w:rsid w:val="00FE6A32"/>
    <w:rsid w:val="00FE7D5C"/>
    <w:rsid w:val="00FF3307"/>
    <w:rsid w:val="00FF3BB6"/>
    <w:rsid w:val="00FF4DA0"/>
    <w:rsid w:val="00FF6508"/>
    <w:rsid w:val="00FF6519"/>
    <w:rsid w:val="00FF74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265">
      <o:colormru v:ext="edit" colors="#eaddfb,#e1cff9,#e5dafa,#e8dafa"/>
    </o:shapedefaults>
    <o:shapelayout v:ext="edit">
      <o:idmap v:ext="edit" data="1"/>
    </o:shapelayout>
  </w:shapeDefaults>
  <w:decimalSymbol w:val="."/>
  <w:listSeparator w:val=","/>
  <w14:docId w14:val="2ECF2B97"/>
  <w15:docId w15:val="{3E9673DD-16B6-45B8-ABAF-5C9D9BF72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3DB"/>
    <w:pPr>
      <w:spacing w:after="200" w:line="276" w:lineRule="auto"/>
    </w:pPr>
    <w:rPr>
      <w:sz w:val="22"/>
      <w:lang w:val="en-GB" w:eastAsia="en-GB"/>
    </w:rPr>
  </w:style>
  <w:style w:type="paragraph" w:styleId="Heading1">
    <w:name w:val="heading 1"/>
    <w:aliases w:val="h1,EOI - Heading 1 (Low),Heading 1 (low),Para1,h11,h12,ChapterHeadingNumber,Top 1,ParaLevel1,Level 1 Para,Level 1 Para1,Level 1 Para2,Level 1 Para3,Level 1 Para4,Level 1 Para11,Level 1 Para21,Level 1 Para31,Level 1 Para5"/>
    <w:basedOn w:val="Normal"/>
    <w:next w:val="Normal"/>
    <w:link w:val="Heading1Char"/>
    <w:qFormat/>
    <w:rsid w:val="00565E13"/>
    <w:pPr>
      <w:keepNext/>
      <w:keepLines/>
      <w:numPr>
        <w:numId w:val="2"/>
      </w:numPr>
      <w:spacing w:before="480" w:after="240"/>
      <w:ind w:left="426"/>
      <w:outlineLvl w:val="0"/>
    </w:pPr>
    <w:rPr>
      <w:b/>
      <w:bCs/>
      <w:color w:val="BE78E6"/>
      <w:sz w:val="32"/>
      <w:szCs w:val="28"/>
      <w:lang w:val="x-none" w:eastAsia="x-none"/>
    </w:rPr>
  </w:style>
  <w:style w:type="paragraph" w:styleId="Heading2">
    <w:name w:val="heading 2"/>
    <w:aliases w:val="Heading 2 Char Char,Heading 2 Char1,Heading 2 Char Char Char Char,Heading 2 Char Char Char Char Char Char Char,Heading 2 Char Char Char Char Char,Heading 2 Char Char Char Char Char Char,Att 7 Heading 2,H2,h2"/>
    <w:basedOn w:val="Normal"/>
    <w:next w:val="Normal"/>
    <w:link w:val="Heading2Char"/>
    <w:qFormat/>
    <w:rsid w:val="00631667"/>
    <w:pPr>
      <w:keepNext/>
      <w:keepLines/>
      <w:numPr>
        <w:ilvl w:val="1"/>
        <w:numId w:val="2"/>
      </w:numPr>
      <w:spacing w:before="200" w:after="0"/>
      <w:ind w:left="426"/>
      <w:outlineLvl w:val="1"/>
    </w:pPr>
    <w:rPr>
      <w:b/>
      <w:bCs/>
      <w:color w:val="000000"/>
      <w:sz w:val="28"/>
      <w:szCs w:val="26"/>
      <w:lang w:eastAsia="x-none"/>
    </w:rPr>
  </w:style>
  <w:style w:type="paragraph" w:styleId="Heading3">
    <w:name w:val="heading 3"/>
    <w:aliases w:val="Normal + num,h3,EOI - Heading 3,h3 sub heading,Para3,Paragraph (heading 3),BTL Numbered"/>
    <w:basedOn w:val="Normal"/>
    <w:next w:val="Normal"/>
    <w:link w:val="Heading3Char"/>
    <w:qFormat/>
    <w:rsid w:val="00631667"/>
    <w:pPr>
      <w:keepNext/>
      <w:keepLines/>
      <w:numPr>
        <w:ilvl w:val="2"/>
        <w:numId w:val="2"/>
      </w:numPr>
      <w:spacing w:before="200" w:after="0"/>
      <w:ind w:left="426"/>
      <w:outlineLvl w:val="2"/>
    </w:pPr>
    <w:rPr>
      <w:b/>
      <w:bCs/>
      <w:color w:val="BE78E6"/>
      <w:sz w:val="24"/>
      <w:lang w:eastAsia="x-none"/>
    </w:rPr>
  </w:style>
  <w:style w:type="paragraph" w:styleId="Heading4">
    <w:name w:val="heading 4"/>
    <w:basedOn w:val="Normal"/>
    <w:next w:val="Normal"/>
    <w:link w:val="Heading4Char"/>
    <w:uiPriority w:val="9"/>
    <w:qFormat/>
    <w:rsid w:val="00DB55DE"/>
    <w:pPr>
      <w:keepNext/>
      <w:keepLines/>
      <w:numPr>
        <w:ilvl w:val="3"/>
        <w:numId w:val="2"/>
      </w:numPr>
      <w:spacing w:before="200" w:after="0"/>
      <w:outlineLvl w:val="3"/>
    </w:pPr>
    <w:rPr>
      <w:b/>
      <w:bCs/>
      <w:iCs/>
      <w:color w:val="000000"/>
      <w:lang w:val="x-none" w:eastAsia="x-none"/>
    </w:rPr>
  </w:style>
  <w:style w:type="paragraph" w:styleId="Heading5">
    <w:name w:val="heading 5"/>
    <w:basedOn w:val="Normal"/>
    <w:next w:val="Normal"/>
    <w:link w:val="Heading5Char"/>
    <w:uiPriority w:val="9"/>
    <w:qFormat/>
    <w:rsid w:val="00DB55DE"/>
    <w:pPr>
      <w:keepNext/>
      <w:keepLines/>
      <w:numPr>
        <w:ilvl w:val="4"/>
        <w:numId w:val="2"/>
      </w:numPr>
      <w:spacing w:before="200" w:after="0"/>
      <w:outlineLvl w:val="4"/>
    </w:pPr>
    <w:rPr>
      <w:color w:val="BE78E6"/>
      <w:u w:val="single"/>
      <w:lang w:val="x-none" w:eastAsia="x-none"/>
    </w:rPr>
  </w:style>
  <w:style w:type="paragraph" w:styleId="Heading6">
    <w:name w:val="heading 6"/>
    <w:basedOn w:val="Normal"/>
    <w:next w:val="Normal"/>
    <w:link w:val="Heading6Char"/>
    <w:uiPriority w:val="9"/>
    <w:qFormat/>
    <w:rsid w:val="00C00C24"/>
    <w:pPr>
      <w:keepNext/>
      <w:keepLines/>
      <w:numPr>
        <w:ilvl w:val="5"/>
        <w:numId w:val="2"/>
      </w:numPr>
      <w:spacing w:before="200" w:after="0"/>
      <w:outlineLvl w:val="5"/>
    </w:pPr>
    <w:rPr>
      <w:rFonts w:ascii="Cambria" w:hAnsi="Cambria"/>
      <w:i/>
      <w:iCs/>
      <w:color w:val="243F60"/>
      <w:lang w:val="x-none" w:eastAsia="x-none"/>
    </w:rPr>
  </w:style>
  <w:style w:type="paragraph" w:styleId="Heading7">
    <w:name w:val="heading 7"/>
    <w:basedOn w:val="Normal"/>
    <w:next w:val="Normal"/>
    <w:link w:val="Heading7Char"/>
    <w:uiPriority w:val="9"/>
    <w:qFormat/>
    <w:rsid w:val="00C00C24"/>
    <w:pPr>
      <w:keepNext/>
      <w:keepLines/>
      <w:numPr>
        <w:ilvl w:val="6"/>
        <w:numId w:val="2"/>
      </w:numPr>
      <w:spacing w:before="200" w:after="0"/>
      <w:outlineLvl w:val="6"/>
    </w:pPr>
    <w:rPr>
      <w:rFonts w:ascii="Cambria" w:hAnsi="Cambria"/>
      <w:i/>
      <w:iCs/>
      <w:color w:val="404040"/>
      <w:lang w:val="x-none" w:eastAsia="x-none"/>
    </w:rPr>
  </w:style>
  <w:style w:type="paragraph" w:styleId="Heading8">
    <w:name w:val="heading 8"/>
    <w:basedOn w:val="Normal"/>
    <w:next w:val="Normal"/>
    <w:link w:val="Heading8Char"/>
    <w:uiPriority w:val="9"/>
    <w:qFormat/>
    <w:rsid w:val="00C00C24"/>
    <w:pPr>
      <w:keepNext/>
      <w:keepLines/>
      <w:numPr>
        <w:ilvl w:val="7"/>
        <w:numId w:val="2"/>
      </w:numPr>
      <w:spacing w:before="200" w:after="0"/>
      <w:outlineLvl w:val="7"/>
    </w:pPr>
    <w:rPr>
      <w:rFonts w:ascii="Cambria" w:hAnsi="Cambria"/>
      <w:color w:val="404040"/>
      <w:lang w:val="x-none" w:eastAsia="x-none"/>
    </w:rPr>
  </w:style>
  <w:style w:type="paragraph" w:styleId="Heading9">
    <w:name w:val="heading 9"/>
    <w:basedOn w:val="Normal"/>
    <w:next w:val="Normal"/>
    <w:link w:val="Heading9Char"/>
    <w:uiPriority w:val="9"/>
    <w:qFormat/>
    <w:rsid w:val="00C00C24"/>
    <w:pPr>
      <w:keepNext/>
      <w:keepLines/>
      <w:numPr>
        <w:ilvl w:val="8"/>
        <w:numId w:val="2"/>
      </w:numPr>
      <w:spacing w:before="200" w:after="0"/>
      <w:outlineLvl w:val="8"/>
    </w:pPr>
    <w:rPr>
      <w:rFonts w:ascii="Cambria" w:hAnsi="Cambria"/>
      <w:i/>
      <w:iCs/>
      <w:color w:val="40404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5A0C"/>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3D5A0C"/>
    <w:rPr>
      <w:rFonts w:ascii="Tahoma" w:hAnsi="Tahoma" w:cs="Tahoma"/>
      <w:sz w:val="16"/>
      <w:szCs w:val="16"/>
    </w:rPr>
  </w:style>
  <w:style w:type="paragraph" w:customStyle="1" w:styleId="MediumShading1-Accent11">
    <w:name w:val="Medium Shading 1 - Accent 11"/>
    <w:uiPriority w:val="1"/>
    <w:rsid w:val="00CD7A03"/>
    <w:rPr>
      <w:lang w:val="en-GB" w:eastAsia="en-GB"/>
    </w:rPr>
  </w:style>
  <w:style w:type="character" w:customStyle="1" w:styleId="Heading1Char">
    <w:name w:val="Heading 1 Char"/>
    <w:aliases w:val="h1 Char,EOI - Heading 1 (Low) Char,Heading 1 (low) Char,Para1 Char,h11 Char,h12 Char,ChapterHeadingNumber Char,Top 1 Char,ParaLevel1 Char,Level 1 Para Char,Level 1 Para1 Char,Level 1 Para2 Char,Level 1 Para3 Char,Level 1 Para4 Char"/>
    <w:link w:val="Heading1"/>
    <w:rsid w:val="00565E13"/>
    <w:rPr>
      <w:b/>
      <w:bCs/>
      <w:color w:val="BE78E6"/>
      <w:sz w:val="32"/>
      <w:szCs w:val="28"/>
      <w:lang w:val="x-none" w:eastAsia="x-none"/>
    </w:rPr>
  </w:style>
  <w:style w:type="character" w:customStyle="1" w:styleId="Heading2Char">
    <w:name w:val="Heading 2 Char"/>
    <w:aliases w:val="Heading 2 Char Char Char,Heading 2 Char1 Char,Heading 2 Char Char Char Char Char1,Heading 2 Char Char Char Char Char Char Char Char,Heading 2 Char Char Char Char Char Char1,Heading 2 Char Char Char Char Char Char Char1,H2 Char,h2 Char"/>
    <w:link w:val="Heading2"/>
    <w:rsid w:val="00631667"/>
    <w:rPr>
      <w:b/>
      <w:bCs/>
      <w:color w:val="000000"/>
      <w:sz w:val="28"/>
      <w:szCs w:val="26"/>
      <w:lang w:val="en-GB" w:eastAsia="x-none"/>
    </w:rPr>
  </w:style>
  <w:style w:type="paragraph" w:styleId="Title">
    <w:name w:val="Title"/>
    <w:basedOn w:val="Normal"/>
    <w:next w:val="Normal"/>
    <w:link w:val="TitleChar"/>
    <w:uiPriority w:val="10"/>
    <w:qFormat/>
    <w:rsid w:val="00697C0E"/>
    <w:pPr>
      <w:spacing w:before="180" w:after="180" w:line="312" w:lineRule="auto"/>
      <w:jc w:val="center"/>
    </w:pPr>
    <w:rPr>
      <w:color w:val="000000"/>
      <w:sz w:val="48"/>
      <w:lang w:val="x-none" w:eastAsia="x-none"/>
    </w:rPr>
  </w:style>
  <w:style w:type="character" w:customStyle="1" w:styleId="TitleChar">
    <w:name w:val="Title Char"/>
    <w:link w:val="Title"/>
    <w:uiPriority w:val="10"/>
    <w:rsid w:val="00697C0E"/>
    <w:rPr>
      <w:color w:val="000000"/>
      <w:sz w:val="48"/>
    </w:rPr>
  </w:style>
  <w:style w:type="character" w:customStyle="1" w:styleId="Heading3Char">
    <w:name w:val="Heading 3 Char"/>
    <w:aliases w:val="Normal + num Char,h3 Char,EOI - Heading 3 Char,h3 sub heading Char,Para3 Char,Paragraph (heading 3) Char,BTL Numbered Char"/>
    <w:link w:val="Heading3"/>
    <w:rsid w:val="00631667"/>
    <w:rPr>
      <w:b/>
      <w:bCs/>
      <w:color w:val="BE78E6"/>
      <w:sz w:val="24"/>
      <w:lang w:val="en-GB" w:eastAsia="x-none"/>
    </w:rPr>
  </w:style>
  <w:style w:type="character" w:customStyle="1" w:styleId="Heading4Char">
    <w:name w:val="Heading 4 Char"/>
    <w:link w:val="Heading4"/>
    <w:uiPriority w:val="9"/>
    <w:rsid w:val="00DB55DE"/>
    <w:rPr>
      <w:b/>
      <w:bCs/>
      <w:iCs/>
      <w:color w:val="000000"/>
      <w:sz w:val="22"/>
      <w:lang w:val="x-none" w:eastAsia="x-none"/>
    </w:rPr>
  </w:style>
  <w:style w:type="character" w:customStyle="1" w:styleId="SubtleEmphasis1">
    <w:name w:val="Subtle Emphasis1"/>
    <w:uiPriority w:val="19"/>
    <w:rsid w:val="00CD7A03"/>
    <w:rPr>
      <w:i/>
      <w:iCs/>
      <w:color w:val="808080"/>
    </w:rPr>
  </w:style>
  <w:style w:type="paragraph" w:styleId="Caption">
    <w:name w:val="caption"/>
    <w:basedOn w:val="Normal"/>
    <w:next w:val="Normal"/>
    <w:uiPriority w:val="35"/>
    <w:qFormat/>
    <w:rsid w:val="003C3E25"/>
    <w:pPr>
      <w:spacing w:line="240" w:lineRule="auto"/>
    </w:pPr>
    <w:rPr>
      <w:b/>
      <w:bCs/>
      <w:color w:val="BE78E6"/>
      <w:szCs w:val="18"/>
    </w:rPr>
  </w:style>
  <w:style w:type="paragraph" w:customStyle="1" w:styleId="Bibliography1">
    <w:name w:val="Bibliography1"/>
    <w:basedOn w:val="Normal"/>
    <w:next w:val="Normal"/>
    <w:uiPriority w:val="37"/>
    <w:unhideWhenUsed/>
    <w:rsid w:val="00CD7A03"/>
  </w:style>
  <w:style w:type="paragraph" w:styleId="FootnoteText">
    <w:name w:val="footnote text"/>
    <w:aliases w:val="Footnote, Char,Char"/>
    <w:basedOn w:val="Normal"/>
    <w:link w:val="FootnoteTextChar"/>
    <w:uiPriority w:val="99"/>
    <w:unhideWhenUsed/>
    <w:qFormat/>
    <w:rsid w:val="00C065A0"/>
    <w:pPr>
      <w:spacing w:after="0" w:line="240" w:lineRule="auto"/>
    </w:pPr>
    <w:rPr>
      <w:color w:val="BE78E6"/>
      <w:sz w:val="18"/>
      <w:lang w:val="x-none" w:eastAsia="x-none"/>
    </w:rPr>
  </w:style>
  <w:style w:type="character" w:customStyle="1" w:styleId="FootnoteTextChar">
    <w:name w:val="Footnote Text Char"/>
    <w:aliases w:val="Footnote Char, Char Char,Char Char"/>
    <w:link w:val="FootnoteText"/>
    <w:uiPriority w:val="99"/>
    <w:rsid w:val="00C065A0"/>
    <w:rPr>
      <w:color w:val="BE78E6"/>
      <w:sz w:val="18"/>
      <w:szCs w:val="20"/>
    </w:rPr>
  </w:style>
  <w:style w:type="character" w:styleId="FootnoteReference">
    <w:name w:val="footnote reference"/>
    <w:aliases w:val="EN Footnote Reference,SUPERS,number,(NECG) Footnote Reference"/>
    <w:uiPriority w:val="99"/>
    <w:unhideWhenUsed/>
    <w:rsid w:val="00CD7A03"/>
    <w:rPr>
      <w:vertAlign w:val="superscript"/>
    </w:rPr>
  </w:style>
  <w:style w:type="paragraph" w:styleId="Footer">
    <w:name w:val="footer"/>
    <w:basedOn w:val="Normal"/>
    <w:link w:val="FooterChar"/>
    <w:uiPriority w:val="99"/>
    <w:unhideWhenUsed/>
    <w:qFormat/>
    <w:rsid w:val="0047062D"/>
    <w:pPr>
      <w:tabs>
        <w:tab w:val="center" w:pos="4513"/>
        <w:tab w:val="right" w:pos="9026"/>
      </w:tabs>
      <w:spacing w:after="0" w:line="240" w:lineRule="auto"/>
    </w:pPr>
    <w:rPr>
      <w:color w:val="7F7F7F"/>
      <w:sz w:val="18"/>
      <w:lang w:val="x-none" w:eastAsia="x-none"/>
    </w:rPr>
  </w:style>
  <w:style w:type="character" w:customStyle="1" w:styleId="FooterChar">
    <w:name w:val="Footer Char"/>
    <w:link w:val="Footer"/>
    <w:uiPriority w:val="99"/>
    <w:rsid w:val="0047062D"/>
    <w:rPr>
      <w:color w:val="7F7F7F"/>
      <w:sz w:val="18"/>
    </w:rPr>
  </w:style>
  <w:style w:type="paragraph" w:styleId="Header">
    <w:name w:val="header"/>
    <w:basedOn w:val="Normal"/>
    <w:link w:val="HeaderChar"/>
    <w:uiPriority w:val="99"/>
    <w:unhideWhenUsed/>
    <w:qFormat/>
    <w:rsid w:val="0047062D"/>
    <w:pPr>
      <w:tabs>
        <w:tab w:val="center" w:pos="4513"/>
        <w:tab w:val="right" w:pos="9026"/>
      </w:tabs>
      <w:spacing w:after="0" w:line="240" w:lineRule="auto"/>
    </w:pPr>
    <w:rPr>
      <w:color w:val="7F7F7F"/>
      <w:sz w:val="18"/>
      <w:lang w:val="x-none" w:eastAsia="x-none"/>
    </w:rPr>
  </w:style>
  <w:style w:type="character" w:customStyle="1" w:styleId="HeaderChar">
    <w:name w:val="Header Char"/>
    <w:link w:val="Header"/>
    <w:uiPriority w:val="99"/>
    <w:rsid w:val="0047062D"/>
    <w:rPr>
      <w:color w:val="7F7F7F"/>
      <w:sz w:val="18"/>
    </w:rPr>
  </w:style>
  <w:style w:type="character" w:styleId="PageNumber">
    <w:name w:val="page number"/>
    <w:uiPriority w:val="99"/>
    <w:unhideWhenUsed/>
    <w:rsid w:val="0047062D"/>
    <w:rPr>
      <w:rFonts w:ascii="Calibri" w:hAnsi="Calibri"/>
      <w:b/>
      <w:color w:val="BE78E6"/>
      <w:sz w:val="20"/>
    </w:rPr>
  </w:style>
  <w:style w:type="paragraph" w:styleId="Index1">
    <w:name w:val="index 1"/>
    <w:basedOn w:val="Normal"/>
    <w:next w:val="Normal"/>
    <w:autoRedefine/>
    <w:uiPriority w:val="99"/>
    <w:unhideWhenUsed/>
    <w:rsid w:val="00CD7A03"/>
    <w:pPr>
      <w:spacing w:after="0" w:line="240" w:lineRule="auto"/>
      <w:ind w:left="200" w:hanging="200"/>
    </w:pPr>
  </w:style>
  <w:style w:type="character" w:styleId="Hyperlink">
    <w:name w:val="Hyperlink"/>
    <w:uiPriority w:val="99"/>
    <w:unhideWhenUsed/>
    <w:rsid w:val="00CD7A03"/>
    <w:rPr>
      <w:color w:val="0000FF"/>
      <w:u w:val="single"/>
    </w:rPr>
  </w:style>
  <w:style w:type="character" w:customStyle="1" w:styleId="Heading5Char">
    <w:name w:val="Heading 5 Char"/>
    <w:link w:val="Heading5"/>
    <w:uiPriority w:val="9"/>
    <w:rsid w:val="00DB55DE"/>
    <w:rPr>
      <w:color w:val="BE78E6"/>
      <w:sz w:val="22"/>
      <w:u w:val="single"/>
      <w:lang w:val="x-none" w:eastAsia="x-none"/>
    </w:rPr>
  </w:style>
  <w:style w:type="paragraph" w:customStyle="1" w:styleId="MediumGrid1-Accent21">
    <w:name w:val="Medium Grid 1 - Accent 21"/>
    <w:aliases w:val="Numbered Para 1,Dot pt,No Spacing1,List Paragraph Char Char Char,Indicator Text,List Paragraph1,Bullet Points,Bullet 1,MAIN CONTENT,List Paragraph12,F5 List Paragraph,Colorful List - Accent 13"/>
    <w:basedOn w:val="Normal"/>
    <w:link w:val="MediumGrid1-Accent2Char"/>
    <w:uiPriority w:val="34"/>
    <w:qFormat/>
    <w:rsid w:val="00277907"/>
    <w:pPr>
      <w:numPr>
        <w:numId w:val="3"/>
      </w:numPr>
      <w:contextualSpacing/>
    </w:pPr>
    <w:rPr>
      <w:rFonts w:eastAsia="Calibri"/>
      <w:lang w:val="x-none" w:eastAsia="en-US"/>
    </w:rPr>
  </w:style>
  <w:style w:type="table" w:styleId="TableGrid">
    <w:name w:val="Table Grid"/>
    <w:basedOn w:val="TableNormal"/>
    <w:uiPriority w:val="59"/>
    <w:rsid w:val="00A22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6">
    <w:name w:val="Medium Grid 3 Accent 6"/>
    <w:basedOn w:val="TableNormal"/>
    <w:uiPriority w:val="61"/>
    <w:rsid w:val="00A22AB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InfoTitles">
    <w:name w:val="Info Titles"/>
    <w:basedOn w:val="Heading1"/>
    <w:qFormat/>
    <w:rsid w:val="00C00C24"/>
    <w:pPr>
      <w:numPr>
        <w:numId w:val="0"/>
      </w:numPr>
      <w:spacing w:before="240" w:line="240" w:lineRule="auto"/>
    </w:pPr>
  </w:style>
  <w:style w:type="paragraph" w:customStyle="1" w:styleId="InfoDetails">
    <w:name w:val="Info Details"/>
    <w:basedOn w:val="Normal"/>
    <w:qFormat/>
    <w:rsid w:val="009A6A5C"/>
    <w:pPr>
      <w:spacing w:before="240" w:after="240"/>
    </w:pPr>
    <w:rPr>
      <w:b/>
      <w:sz w:val="24"/>
    </w:rPr>
  </w:style>
  <w:style w:type="character" w:customStyle="1" w:styleId="Heading6Char">
    <w:name w:val="Heading 6 Char"/>
    <w:link w:val="Heading6"/>
    <w:uiPriority w:val="9"/>
    <w:rsid w:val="00C00C24"/>
    <w:rPr>
      <w:rFonts w:ascii="Cambria" w:hAnsi="Cambria"/>
      <w:i/>
      <w:iCs/>
      <w:color w:val="243F60"/>
      <w:sz w:val="22"/>
      <w:lang w:val="x-none" w:eastAsia="x-none"/>
    </w:rPr>
  </w:style>
  <w:style w:type="character" w:customStyle="1" w:styleId="Heading7Char">
    <w:name w:val="Heading 7 Char"/>
    <w:link w:val="Heading7"/>
    <w:uiPriority w:val="9"/>
    <w:rsid w:val="00C00C24"/>
    <w:rPr>
      <w:rFonts w:ascii="Cambria" w:hAnsi="Cambria"/>
      <w:i/>
      <w:iCs/>
      <w:color w:val="404040"/>
      <w:sz w:val="22"/>
      <w:lang w:val="x-none" w:eastAsia="x-none"/>
    </w:rPr>
  </w:style>
  <w:style w:type="character" w:customStyle="1" w:styleId="Heading8Char">
    <w:name w:val="Heading 8 Char"/>
    <w:link w:val="Heading8"/>
    <w:uiPriority w:val="9"/>
    <w:rsid w:val="00C00C24"/>
    <w:rPr>
      <w:rFonts w:ascii="Cambria" w:hAnsi="Cambria"/>
      <w:color w:val="404040"/>
      <w:sz w:val="22"/>
      <w:lang w:val="x-none" w:eastAsia="x-none"/>
    </w:rPr>
  </w:style>
  <w:style w:type="character" w:customStyle="1" w:styleId="Heading9Char">
    <w:name w:val="Heading 9 Char"/>
    <w:link w:val="Heading9"/>
    <w:uiPriority w:val="9"/>
    <w:rsid w:val="00C00C24"/>
    <w:rPr>
      <w:rFonts w:ascii="Cambria" w:hAnsi="Cambria"/>
      <w:i/>
      <w:iCs/>
      <w:color w:val="404040"/>
      <w:sz w:val="22"/>
      <w:lang w:val="x-none" w:eastAsia="x-none"/>
    </w:rPr>
  </w:style>
  <w:style w:type="paragraph" w:styleId="DocumentMap">
    <w:name w:val="Document Map"/>
    <w:basedOn w:val="Normal"/>
    <w:link w:val="DocumentMapChar"/>
    <w:uiPriority w:val="99"/>
    <w:semiHidden/>
    <w:unhideWhenUsed/>
    <w:rsid w:val="00C00C24"/>
    <w:pPr>
      <w:spacing w:after="0" w:line="240" w:lineRule="auto"/>
    </w:pPr>
    <w:rPr>
      <w:rFonts w:ascii="Tahoma" w:hAnsi="Tahoma"/>
      <w:sz w:val="16"/>
      <w:szCs w:val="16"/>
      <w:lang w:val="x-none" w:eastAsia="x-none"/>
    </w:rPr>
  </w:style>
  <w:style w:type="character" w:customStyle="1" w:styleId="DocumentMapChar">
    <w:name w:val="Document Map Char"/>
    <w:link w:val="DocumentMap"/>
    <w:uiPriority w:val="99"/>
    <w:semiHidden/>
    <w:rsid w:val="00C00C24"/>
    <w:rPr>
      <w:rFonts w:ascii="Tahoma" w:hAnsi="Tahoma" w:cs="Tahoma"/>
      <w:sz w:val="16"/>
      <w:szCs w:val="16"/>
    </w:rPr>
  </w:style>
  <w:style w:type="paragraph" w:styleId="TOC1">
    <w:name w:val="toc 1"/>
    <w:basedOn w:val="Normal"/>
    <w:next w:val="Normal"/>
    <w:autoRedefine/>
    <w:uiPriority w:val="39"/>
    <w:unhideWhenUsed/>
    <w:rsid w:val="00C00C24"/>
    <w:pPr>
      <w:spacing w:after="100"/>
    </w:pPr>
  </w:style>
  <w:style w:type="table" w:customStyle="1" w:styleId="DatabuildTableTemplate">
    <w:name w:val="Databuild Table Template"/>
    <w:basedOn w:val="TableNormal"/>
    <w:uiPriority w:val="99"/>
    <w:rsid w:val="00081381"/>
    <w:tblPr>
      <w:tblBorders>
        <w:top w:val="single" w:sz="4" w:space="0" w:color="BE78E6"/>
        <w:left w:val="single" w:sz="4" w:space="0" w:color="BE78E6"/>
        <w:bottom w:val="single" w:sz="4" w:space="0" w:color="BE78E6"/>
        <w:right w:val="single" w:sz="4" w:space="0" w:color="BE78E6"/>
        <w:insideH w:val="single" w:sz="4" w:space="0" w:color="BE78E6"/>
        <w:insideV w:val="single" w:sz="4" w:space="0" w:color="BE78E6"/>
      </w:tblBorders>
    </w:tblPr>
    <w:tcPr>
      <w:shd w:val="clear" w:color="auto" w:fill="auto"/>
    </w:tcPr>
  </w:style>
  <w:style w:type="paragraph" w:styleId="ListNumber2">
    <w:name w:val="List Number 2"/>
    <w:basedOn w:val="Normal"/>
    <w:next w:val="Normal"/>
    <w:uiPriority w:val="99"/>
    <w:unhideWhenUsed/>
    <w:rsid w:val="00277907"/>
    <w:pPr>
      <w:numPr>
        <w:numId w:val="1"/>
      </w:numPr>
      <w:spacing w:after="240"/>
      <w:ind w:left="568" w:hanging="284"/>
      <w:contextualSpacing/>
    </w:pPr>
  </w:style>
  <w:style w:type="numbering" w:customStyle="1" w:styleId="DatabuildListStyle">
    <w:name w:val="DatabuildListStyle"/>
    <w:uiPriority w:val="99"/>
    <w:rsid w:val="00AD65EA"/>
    <w:pPr>
      <w:numPr>
        <w:numId w:val="4"/>
      </w:numPr>
    </w:pPr>
  </w:style>
  <w:style w:type="paragraph" w:customStyle="1" w:styleId="Summarytext">
    <w:name w:val="Summary text"/>
    <w:basedOn w:val="Normal"/>
    <w:qFormat/>
    <w:rsid w:val="003E6D72"/>
    <w:rPr>
      <w:i/>
      <w:color w:val="595959"/>
    </w:rPr>
  </w:style>
  <w:style w:type="paragraph" w:customStyle="1" w:styleId="Strapline">
    <w:name w:val="Strapline"/>
    <w:basedOn w:val="Normal"/>
    <w:qFormat/>
    <w:rsid w:val="00576142"/>
    <w:pPr>
      <w:jc w:val="both"/>
    </w:pPr>
    <w:rPr>
      <w:i/>
      <w:color w:val="EDE1EF"/>
      <w:spacing w:val="10"/>
      <w:sz w:val="44"/>
    </w:rPr>
  </w:style>
  <w:style w:type="paragraph" w:customStyle="1" w:styleId="TOCHeading1">
    <w:name w:val="TOC Heading1"/>
    <w:basedOn w:val="Heading1"/>
    <w:next w:val="Normal"/>
    <w:uiPriority w:val="39"/>
    <w:semiHidden/>
    <w:unhideWhenUsed/>
    <w:qFormat/>
    <w:rsid w:val="002E60D3"/>
    <w:pPr>
      <w:numPr>
        <w:numId w:val="0"/>
      </w:numPr>
      <w:spacing w:after="0"/>
      <w:outlineLvl w:val="9"/>
    </w:pPr>
    <w:rPr>
      <w:rFonts w:ascii="Cambria" w:hAnsi="Cambria"/>
      <w:color w:val="365F91"/>
      <w:sz w:val="28"/>
      <w:lang w:val="en-US" w:eastAsia="ja-JP"/>
    </w:rPr>
  </w:style>
  <w:style w:type="paragraph" w:styleId="TOC2">
    <w:name w:val="toc 2"/>
    <w:basedOn w:val="Normal"/>
    <w:next w:val="Normal"/>
    <w:autoRedefine/>
    <w:uiPriority w:val="39"/>
    <w:unhideWhenUsed/>
    <w:qFormat/>
    <w:rsid w:val="005A12A7"/>
    <w:pPr>
      <w:spacing w:after="100"/>
      <w:ind w:left="220"/>
    </w:pPr>
  </w:style>
  <w:style w:type="character" w:customStyle="1" w:styleId="MediumGrid1-Accent2Char">
    <w:name w:val="Medium Grid 1 - Accent 2 Char"/>
    <w:aliases w:val="Numbered Para 1 Char,Dot pt Char,No Spacing1 Char,List Paragraph Char Char Char Char,Indicator Text Char,List Paragraph1 Char,Bullet Points Char,Bullet 1 Char,MAIN CONTENT Char,List Paragraph12 Char,F5 List Paragraph Char"/>
    <w:link w:val="MediumGrid1-Accent21"/>
    <w:uiPriority w:val="34"/>
    <w:locked/>
    <w:rsid w:val="007D47C9"/>
    <w:rPr>
      <w:rFonts w:eastAsia="Calibri"/>
      <w:sz w:val="22"/>
      <w:lang w:val="x-none" w:eastAsia="en-US"/>
    </w:rPr>
  </w:style>
  <w:style w:type="character" w:styleId="CommentReference">
    <w:name w:val="annotation reference"/>
    <w:uiPriority w:val="99"/>
    <w:semiHidden/>
    <w:unhideWhenUsed/>
    <w:rsid w:val="00485FC9"/>
    <w:rPr>
      <w:sz w:val="16"/>
      <w:szCs w:val="16"/>
    </w:rPr>
  </w:style>
  <w:style w:type="paragraph" w:styleId="CommentText">
    <w:name w:val="annotation text"/>
    <w:basedOn w:val="Normal"/>
    <w:link w:val="CommentTextChar"/>
    <w:uiPriority w:val="99"/>
    <w:unhideWhenUsed/>
    <w:rsid w:val="00485FC9"/>
    <w:pPr>
      <w:spacing w:line="240" w:lineRule="auto"/>
    </w:pPr>
    <w:rPr>
      <w:sz w:val="20"/>
    </w:rPr>
  </w:style>
  <w:style w:type="character" w:customStyle="1" w:styleId="CommentTextChar">
    <w:name w:val="Comment Text Char"/>
    <w:basedOn w:val="DefaultParagraphFont"/>
    <w:link w:val="CommentText"/>
    <w:uiPriority w:val="99"/>
    <w:rsid w:val="00485FC9"/>
  </w:style>
  <w:style w:type="paragraph" w:styleId="CommentSubject">
    <w:name w:val="annotation subject"/>
    <w:basedOn w:val="CommentText"/>
    <w:next w:val="CommentText"/>
    <w:link w:val="CommentSubjectChar"/>
    <w:uiPriority w:val="99"/>
    <w:semiHidden/>
    <w:unhideWhenUsed/>
    <w:rsid w:val="00485FC9"/>
    <w:rPr>
      <w:b/>
      <w:bCs/>
      <w:lang w:val="x-none" w:eastAsia="x-none"/>
    </w:rPr>
  </w:style>
  <w:style w:type="character" w:customStyle="1" w:styleId="CommentSubjectChar">
    <w:name w:val="Comment Subject Char"/>
    <w:link w:val="CommentSubject"/>
    <w:uiPriority w:val="99"/>
    <w:semiHidden/>
    <w:rsid w:val="00485FC9"/>
    <w:rPr>
      <w:b/>
      <w:bCs/>
    </w:rPr>
  </w:style>
  <w:style w:type="paragraph" w:customStyle="1" w:styleId="MediumList2-Accent21">
    <w:name w:val="Medium List 2 - Accent 21"/>
    <w:hidden/>
    <w:uiPriority w:val="99"/>
    <w:semiHidden/>
    <w:rsid w:val="00660256"/>
    <w:rPr>
      <w:sz w:val="22"/>
      <w:lang w:val="en-GB" w:eastAsia="en-GB"/>
    </w:rPr>
  </w:style>
  <w:style w:type="paragraph" w:styleId="TOC3">
    <w:name w:val="toc 3"/>
    <w:basedOn w:val="Normal"/>
    <w:next w:val="Normal"/>
    <w:autoRedefine/>
    <w:uiPriority w:val="39"/>
    <w:unhideWhenUsed/>
    <w:qFormat/>
    <w:rsid w:val="00B70516"/>
    <w:pPr>
      <w:spacing w:after="100"/>
      <w:ind w:left="440"/>
    </w:pPr>
  </w:style>
  <w:style w:type="table" w:customStyle="1" w:styleId="TableGrid1">
    <w:name w:val="Table Grid1"/>
    <w:basedOn w:val="TableNormal"/>
    <w:next w:val="TableGrid"/>
    <w:uiPriority w:val="99"/>
    <w:rsid w:val="007147C2"/>
    <w:pPr>
      <w:spacing w:line="30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465668"/>
    <w:pPr>
      <w:ind w:left="720"/>
      <w:contextualSpacing/>
    </w:pPr>
    <w:rPr>
      <w:rFonts w:eastAsia="Calibri"/>
      <w:szCs w:val="22"/>
      <w:lang w:val="en-AU" w:eastAsia="en-US"/>
    </w:rPr>
  </w:style>
  <w:style w:type="paragraph" w:customStyle="1" w:styleId="Default">
    <w:name w:val="Default"/>
    <w:rsid w:val="0075167A"/>
    <w:pPr>
      <w:widowControl w:val="0"/>
      <w:autoSpaceDE w:val="0"/>
      <w:autoSpaceDN w:val="0"/>
      <w:adjustRightInd w:val="0"/>
    </w:pPr>
    <w:rPr>
      <w:rFonts w:ascii="Helvetica" w:hAnsi="Helvetica" w:cs="Helvetica"/>
      <w:color w:val="000000"/>
      <w:sz w:val="24"/>
      <w:szCs w:val="24"/>
      <w:lang w:val="en-US" w:eastAsia="en-US"/>
    </w:rPr>
  </w:style>
  <w:style w:type="character" w:customStyle="1" w:styleId="A0">
    <w:name w:val="A0"/>
    <w:uiPriority w:val="99"/>
    <w:rsid w:val="005B5BC0"/>
    <w:rPr>
      <w:rFonts w:cs="Akzidenz Grotesk BE Bold"/>
      <w:b/>
      <w:bCs/>
      <w:color w:val="000000"/>
      <w:sz w:val="42"/>
      <w:szCs w:val="42"/>
    </w:rPr>
  </w:style>
  <w:style w:type="character" w:styleId="FollowedHyperlink">
    <w:name w:val="FollowedHyperlink"/>
    <w:uiPriority w:val="99"/>
    <w:semiHidden/>
    <w:unhideWhenUsed/>
    <w:rsid w:val="002A57F5"/>
    <w:rPr>
      <w:color w:val="800080"/>
      <w:u w:val="single"/>
    </w:rPr>
  </w:style>
  <w:style w:type="paragraph" w:customStyle="1" w:styleId="ColorfulShading-Accent11">
    <w:name w:val="Colorful Shading - Accent 11"/>
    <w:hidden/>
    <w:uiPriority w:val="99"/>
    <w:semiHidden/>
    <w:rsid w:val="008E0C76"/>
    <w:rPr>
      <w:sz w:val="22"/>
      <w:lang w:val="en-GB" w:eastAsia="en-GB"/>
    </w:rPr>
  </w:style>
  <w:style w:type="paragraph" w:customStyle="1" w:styleId="Pa34">
    <w:name w:val="Pa34"/>
    <w:basedOn w:val="Default"/>
    <w:next w:val="Default"/>
    <w:uiPriority w:val="99"/>
    <w:rsid w:val="00A747E8"/>
    <w:pPr>
      <w:spacing w:line="241" w:lineRule="atLeast"/>
    </w:pPr>
    <w:rPr>
      <w:rFonts w:ascii="Calibri" w:hAnsi="Calibri" w:cs="Times New Roman"/>
      <w:color w:val="auto"/>
    </w:rPr>
  </w:style>
  <w:style w:type="character" w:customStyle="1" w:styleId="A3">
    <w:name w:val="A3"/>
    <w:uiPriority w:val="99"/>
    <w:rsid w:val="00A747E8"/>
    <w:rPr>
      <w:rFonts w:cs="Calibri"/>
      <w:color w:val="000000"/>
      <w:sz w:val="22"/>
      <w:szCs w:val="22"/>
    </w:rPr>
  </w:style>
  <w:style w:type="paragraph" w:customStyle="1" w:styleId="Pa27">
    <w:name w:val="Pa27"/>
    <w:basedOn w:val="Default"/>
    <w:next w:val="Default"/>
    <w:uiPriority w:val="99"/>
    <w:rsid w:val="00A747E8"/>
    <w:pPr>
      <w:spacing w:line="221" w:lineRule="atLeast"/>
    </w:pPr>
    <w:rPr>
      <w:rFonts w:ascii="Calibri" w:hAnsi="Calibri" w:cs="Times New Roman"/>
      <w:color w:val="auto"/>
    </w:rPr>
  </w:style>
  <w:style w:type="character" w:customStyle="1" w:styleId="A9">
    <w:name w:val="A9"/>
    <w:uiPriority w:val="99"/>
    <w:rsid w:val="00A747E8"/>
    <w:rPr>
      <w:rFonts w:cs="Calibri"/>
      <w:color w:val="000000"/>
    </w:rPr>
  </w:style>
  <w:style w:type="paragraph" w:customStyle="1" w:styleId="ColorfulList-Accent12">
    <w:name w:val="Colorful List - Accent 12"/>
    <w:basedOn w:val="Normal"/>
    <w:uiPriority w:val="34"/>
    <w:qFormat/>
    <w:rsid w:val="00123AF4"/>
    <w:pPr>
      <w:ind w:left="720"/>
      <w:contextualSpacing/>
    </w:pPr>
    <w:rPr>
      <w:rFonts w:eastAsia="Calibri"/>
      <w:szCs w:val="22"/>
      <w:lang w:eastAsia="en-US"/>
    </w:rPr>
  </w:style>
  <w:style w:type="paragraph" w:customStyle="1" w:styleId="Body">
    <w:name w:val="Body"/>
    <w:rsid w:val="006A02F4"/>
    <w:pPr>
      <w:pBdr>
        <w:top w:val="nil"/>
        <w:left w:val="nil"/>
        <w:bottom w:val="nil"/>
        <w:right w:val="nil"/>
        <w:between w:val="nil"/>
        <w:bar w:val="nil"/>
      </w:pBdr>
      <w:spacing w:after="200" w:line="276" w:lineRule="auto"/>
    </w:pPr>
    <w:rPr>
      <w:rFonts w:eastAsia="Calibri" w:cs="Calibri"/>
      <w:color w:val="000000"/>
      <w:sz w:val="22"/>
      <w:szCs w:val="22"/>
      <w:u w:color="000000"/>
      <w:bdr w:val="nil"/>
    </w:rPr>
  </w:style>
  <w:style w:type="numbering" w:customStyle="1" w:styleId="List0">
    <w:name w:val="List 0"/>
    <w:basedOn w:val="NoList"/>
    <w:rsid w:val="006A02F4"/>
    <w:pPr>
      <w:numPr>
        <w:numId w:val="9"/>
      </w:numPr>
    </w:pPr>
  </w:style>
  <w:style w:type="numbering" w:customStyle="1" w:styleId="List31">
    <w:name w:val="List 31"/>
    <w:basedOn w:val="NoList"/>
    <w:rsid w:val="006A02F4"/>
    <w:pPr>
      <w:numPr>
        <w:numId w:val="10"/>
      </w:numPr>
    </w:pPr>
  </w:style>
  <w:style w:type="numbering" w:customStyle="1" w:styleId="List41">
    <w:name w:val="List 41"/>
    <w:basedOn w:val="NoList"/>
    <w:rsid w:val="006A02F4"/>
    <w:pPr>
      <w:numPr>
        <w:numId w:val="11"/>
      </w:numPr>
    </w:pPr>
  </w:style>
  <w:style w:type="paragraph" w:customStyle="1" w:styleId="ColorfulShading-Accent12">
    <w:name w:val="Colorful Shading - Accent 12"/>
    <w:hidden/>
    <w:uiPriority w:val="99"/>
    <w:semiHidden/>
    <w:rsid w:val="00A948D5"/>
    <w:rPr>
      <w:sz w:val="22"/>
      <w:lang w:val="en-GB" w:eastAsia="en-GB"/>
    </w:rPr>
  </w:style>
  <w:style w:type="paragraph" w:customStyle="1" w:styleId="TOCHeading2">
    <w:name w:val="TOC Heading2"/>
    <w:basedOn w:val="Heading1"/>
    <w:next w:val="Normal"/>
    <w:uiPriority w:val="39"/>
    <w:semiHidden/>
    <w:unhideWhenUsed/>
    <w:qFormat/>
    <w:rsid w:val="000321EB"/>
    <w:pPr>
      <w:keepLines w:val="0"/>
      <w:numPr>
        <w:numId w:val="0"/>
      </w:numPr>
      <w:spacing w:before="240" w:after="60"/>
      <w:outlineLvl w:val="9"/>
    </w:pPr>
    <w:rPr>
      <w:rFonts w:ascii="Cambria" w:hAnsi="Cambria"/>
      <w:color w:val="auto"/>
      <w:kern w:val="32"/>
      <w:szCs w:val="32"/>
    </w:rPr>
  </w:style>
  <w:style w:type="paragraph" w:customStyle="1" w:styleId="E3BodyIntroductionText">
    <w:name w:val="E3 Body Introduction Text"/>
    <w:basedOn w:val="Normal"/>
    <w:qFormat/>
    <w:rsid w:val="00565E13"/>
    <w:pPr>
      <w:tabs>
        <w:tab w:val="left" w:pos="480"/>
      </w:tabs>
      <w:spacing w:after="113" w:line="278" w:lineRule="auto"/>
    </w:pPr>
    <w:rPr>
      <w:rFonts w:ascii="Georgia" w:eastAsia="Cambria" w:hAnsi="Georgia"/>
      <w:i/>
      <w:sz w:val="19"/>
      <w:szCs w:val="24"/>
      <w:lang w:val="en-AU" w:eastAsia="en-US"/>
    </w:rPr>
  </w:style>
  <w:style w:type="character" w:styleId="Emphasis">
    <w:name w:val="Emphasis"/>
    <w:uiPriority w:val="20"/>
    <w:qFormat/>
    <w:rsid w:val="003B2A53"/>
    <w:rPr>
      <w:b/>
      <w:bCs/>
      <w:i w:val="0"/>
      <w:iCs w:val="0"/>
    </w:rPr>
  </w:style>
  <w:style w:type="character" w:customStyle="1" w:styleId="st1">
    <w:name w:val="st1"/>
    <w:rsid w:val="003B2A53"/>
  </w:style>
  <w:style w:type="paragraph" w:styleId="Revision">
    <w:name w:val="Revision"/>
    <w:hidden/>
    <w:uiPriority w:val="99"/>
    <w:semiHidden/>
    <w:rsid w:val="00E0092A"/>
    <w:rPr>
      <w:sz w:val="22"/>
      <w:lang w:val="en-GB" w:eastAsia="en-GB"/>
    </w:rPr>
  </w:style>
  <w:style w:type="paragraph" w:styleId="ListParagraph">
    <w:name w:val="List Paragraph"/>
    <w:basedOn w:val="Normal"/>
    <w:uiPriority w:val="34"/>
    <w:qFormat/>
    <w:rsid w:val="005D483B"/>
    <w:pPr>
      <w:ind w:left="720"/>
      <w:contextualSpacing/>
    </w:pPr>
    <w:rPr>
      <w:rFonts w:eastAsia="Calibri"/>
      <w:szCs w:val="22"/>
      <w:lang w:val="en-AU" w:eastAsia="en-US"/>
    </w:rPr>
  </w:style>
  <w:style w:type="paragraph" w:styleId="NormalWeb">
    <w:name w:val="Normal (Web)"/>
    <w:basedOn w:val="Normal"/>
    <w:uiPriority w:val="99"/>
    <w:unhideWhenUsed/>
    <w:rsid w:val="00193F4E"/>
    <w:pPr>
      <w:spacing w:before="100" w:beforeAutospacing="1" w:after="100" w:afterAutospacing="1" w:line="240" w:lineRule="auto"/>
    </w:pPr>
    <w:rPr>
      <w:rFonts w:ascii="Times New Roman" w:eastAsia="Calibri" w:hAnsi="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7085">
      <w:bodyDiv w:val="1"/>
      <w:marLeft w:val="0"/>
      <w:marRight w:val="0"/>
      <w:marTop w:val="0"/>
      <w:marBottom w:val="0"/>
      <w:divBdr>
        <w:top w:val="none" w:sz="0" w:space="0" w:color="auto"/>
        <w:left w:val="none" w:sz="0" w:space="0" w:color="auto"/>
        <w:bottom w:val="none" w:sz="0" w:space="0" w:color="auto"/>
        <w:right w:val="none" w:sz="0" w:space="0" w:color="auto"/>
      </w:divBdr>
    </w:div>
    <w:div w:id="73942746">
      <w:bodyDiv w:val="1"/>
      <w:marLeft w:val="0"/>
      <w:marRight w:val="0"/>
      <w:marTop w:val="0"/>
      <w:marBottom w:val="0"/>
      <w:divBdr>
        <w:top w:val="none" w:sz="0" w:space="0" w:color="auto"/>
        <w:left w:val="none" w:sz="0" w:space="0" w:color="auto"/>
        <w:bottom w:val="none" w:sz="0" w:space="0" w:color="auto"/>
        <w:right w:val="none" w:sz="0" w:space="0" w:color="auto"/>
      </w:divBdr>
    </w:div>
    <w:div w:id="111286059">
      <w:bodyDiv w:val="1"/>
      <w:marLeft w:val="0"/>
      <w:marRight w:val="0"/>
      <w:marTop w:val="0"/>
      <w:marBottom w:val="0"/>
      <w:divBdr>
        <w:top w:val="none" w:sz="0" w:space="0" w:color="auto"/>
        <w:left w:val="none" w:sz="0" w:space="0" w:color="auto"/>
        <w:bottom w:val="none" w:sz="0" w:space="0" w:color="auto"/>
        <w:right w:val="none" w:sz="0" w:space="0" w:color="auto"/>
      </w:divBdr>
    </w:div>
    <w:div w:id="169217105">
      <w:bodyDiv w:val="1"/>
      <w:marLeft w:val="0"/>
      <w:marRight w:val="0"/>
      <w:marTop w:val="0"/>
      <w:marBottom w:val="0"/>
      <w:divBdr>
        <w:top w:val="none" w:sz="0" w:space="0" w:color="auto"/>
        <w:left w:val="none" w:sz="0" w:space="0" w:color="auto"/>
        <w:bottom w:val="none" w:sz="0" w:space="0" w:color="auto"/>
        <w:right w:val="none" w:sz="0" w:space="0" w:color="auto"/>
      </w:divBdr>
    </w:div>
    <w:div w:id="208684057">
      <w:bodyDiv w:val="1"/>
      <w:marLeft w:val="0"/>
      <w:marRight w:val="0"/>
      <w:marTop w:val="0"/>
      <w:marBottom w:val="0"/>
      <w:divBdr>
        <w:top w:val="none" w:sz="0" w:space="0" w:color="auto"/>
        <w:left w:val="none" w:sz="0" w:space="0" w:color="auto"/>
        <w:bottom w:val="none" w:sz="0" w:space="0" w:color="auto"/>
        <w:right w:val="none" w:sz="0" w:space="0" w:color="auto"/>
      </w:divBdr>
    </w:div>
    <w:div w:id="255098168">
      <w:bodyDiv w:val="1"/>
      <w:marLeft w:val="0"/>
      <w:marRight w:val="0"/>
      <w:marTop w:val="0"/>
      <w:marBottom w:val="0"/>
      <w:divBdr>
        <w:top w:val="none" w:sz="0" w:space="0" w:color="auto"/>
        <w:left w:val="none" w:sz="0" w:space="0" w:color="auto"/>
        <w:bottom w:val="none" w:sz="0" w:space="0" w:color="auto"/>
        <w:right w:val="none" w:sz="0" w:space="0" w:color="auto"/>
      </w:divBdr>
    </w:div>
    <w:div w:id="277638972">
      <w:bodyDiv w:val="1"/>
      <w:marLeft w:val="0"/>
      <w:marRight w:val="0"/>
      <w:marTop w:val="0"/>
      <w:marBottom w:val="0"/>
      <w:divBdr>
        <w:top w:val="none" w:sz="0" w:space="0" w:color="auto"/>
        <w:left w:val="none" w:sz="0" w:space="0" w:color="auto"/>
        <w:bottom w:val="none" w:sz="0" w:space="0" w:color="auto"/>
        <w:right w:val="none" w:sz="0" w:space="0" w:color="auto"/>
      </w:divBdr>
    </w:div>
    <w:div w:id="280570389">
      <w:bodyDiv w:val="1"/>
      <w:marLeft w:val="0"/>
      <w:marRight w:val="0"/>
      <w:marTop w:val="0"/>
      <w:marBottom w:val="0"/>
      <w:divBdr>
        <w:top w:val="none" w:sz="0" w:space="0" w:color="auto"/>
        <w:left w:val="none" w:sz="0" w:space="0" w:color="auto"/>
        <w:bottom w:val="none" w:sz="0" w:space="0" w:color="auto"/>
        <w:right w:val="none" w:sz="0" w:space="0" w:color="auto"/>
      </w:divBdr>
    </w:div>
    <w:div w:id="341783514">
      <w:bodyDiv w:val="1"/>
      <w:marLeft w:val="0"/>
      <w:marRight w:val="0"/>
      <w:marTop w:val="0"/>
      <w:marBottom w:val="0"/>
      <w:divBdr>
        <w:top w:val="none" w:sz="0" w:space="0" w:color="auto"/>
        <w:left w:val="none" w:sz="0" w:space="0" w:color="auto"/>
        <w:bottom w:val="none" w:sz="0" w:space="0" w:color="auto"/>
        <w:right w:val="none" w:sz="0" w:space="0" w:color="auto"/>
      </w:divBdr>
    </w:div>
    <w:div w:id="404956097">
      <w:bodyDiv w:val="1"/>
      <w:marLeft w:val="0"/>
      <w:marRight w:val="0"/>
      <w:marTop w:val="0"/>
      <w:marBottom w:val="0"/>
      <w:divBdr>
        <w:top w:val="none" w:sz="0" w:space="0" w:color="auto"/>
        <w:left w:val="none" w:sz="0" w:space="0" w:color="auto"/>
        <w:bottom w:val="none" w:sz="0" w:space="0" w:color="auto"/>
        <w:right w:val="none" w:sz="0" w:space="0" w:color="auto"/>
      </w:divBdr>
    </w:div>
    <w:div w:id="469634611">
      <w:bodyDiv w:val="1"/>
      <w:marLeft w:val="0"/>
      <w:marRight w:val="0"/>
      <w:marTop w:val="0"/>
      <w:marBottom w:val="0"/>
      <w:divBdr>
        <w:top w:val="none" w:sz="0" w:space="0" w:color="auto"/>
        <w:left w:val="none" w:sz="0" w:space="0" w:color="auto"/>
        <w:bottom w:val="none" w:sz="0" w:space="0" w:color="auto"/>
        <w:right w:val="none" w:sz="0" w:space="0" w:color="auto"/>
      </w:divBdr>
    </w:div>
    <w:div w:id="474025696">
      <w:bodyDiv w:val="1"/>
      <w:marLeft w:val="0"/>
      <w:marRight w:val="0"/>
      <w:marTop w:val="0"/>
      <w:marBottom w:val="0"/>
      <w:divBdr>
        <w:top w:val="none" w:sz="0" w:space="0" w:color="auto"/>
        <w:left w:val="none" w:sz="0" w:space="0" w:color="auto"/>
        <w:bottom w:val="none" w:sz="0" w:space="0" w:color="auto"/>
        <w:right w:val="none" w:sz="0" w:space="0" w:color="auto"/>
      </w:divBdr>
    </w:div>
    <w:div w:id="481695320">
      <w:bodyDiv w:val="1"/>
      <w:marLeft w:val="0"/>
      <w:marRight w:val="0"/>
      <w:marTop w:val="0"/>
      <w:marBottom w:val="0"/>
      <w:divBdr>
        <w:top w:val="none" w:sz="0" w:space="0" w:color="auto"/>
        <w:left w:val="none" w:sz="0" w:space="0" w:color="auto"/>
        <w:bottom w:val="none" w:sz="0" w:space="0" w:color="auto"/>
        <w:right w:val="none" w:sz="0" w:space="0" w:color="auto"/>
      </w:divBdr>
    </w:div>
    <w:div w:id="496194365">
      <w:bodyDiv w:val="1"/>
      <w:marLeft w:val="0"/>
      <w:marRight w:val="0"/>
      <w:marTop w:val="0"/>
      <w:marBottom w:val="0"/>
      <w:divBdr>
        <w:top w:val="none" w:sz="0" w:space="0" w:color="auto"/>
        <w:left w:val="none" w:sz="0" w:space="0" w:color="auto"/>
        <w:bottom w:val="none" w:sz="0" w:space="0" w:color="auto"/>
        <w:right w:val="none" w:sz="0" w:space="0" w:color="auto"/>
      </w:divBdr>
    </w:div>
    <w:div w:id="511377988">
      <w:bodyDiv w:val="1"/>
      <w:marLeft w:val="0"/>
      <w:marRight w:val="0"/>
      <w:marTop w:val="0"/>
      <w:marBottom w:val="0"/>
      <w:divBdr>
        <w:top w:val="none" w:sz="0" w:space="0" w:color="auto"/>
        <w:left w:val="none" w:sz="0" w:space="0" w:color="auto"/>
        <w:bottom w:val="none" w:sz="0" w:space="0" w:color="auto"/>
        <w:right w:val="none" w:sz="0" w:space="0" w:color="auto"/>
      </w:divBdr>
    </w:div>
    <w:div w:id="514149841">
      <w:bodyDiv w:val="1"/>
      <w:marLeft w:val="0"/>
      <w:marRight w:val="0"/>
      <w:marTop w:val="0"/>
      <w:marBottom w:val="0"/>
      <w:divBdr>
        <w:top w:val="none" w:sz="0" w:space="0" w:color="auto"/>
        <w:left w:val="none" w:sz="0" w:space="0" w:color="auto"/>
        <w:bottom w:val="none" w:sz="0" w:space="0" w:color="auto"/>
        <w:right w:val="none" w:sz="0" w:space="0" w:color="auto"/>
      </w:divBdr>
    </w:div>
    <w:div w:id="519438428">
      <w:bodyDiv w:val="1"/>
      <w:marLeft w:val="0"/>
      <w:marRight w:val="0"/>
      <w:marTop w:val="0"/>
      <w:marBottom w:val="0"/>
      <w:divBdr>
        <w:top w:val="none" w:sz="0" w:space="0" w:color="auto"/>
        <w:left w:val="none" w:sz="0" w:space="0" w:color="auto"/>
        <w:bottom w:val="none" w:sz="0" w:space="0" w:color="auto"/>
        <w:right w:val="none" w:sz="0" w:space="0" w:color="auto"/>
      </w:divBdr>
    </w:div>
    <w:div w:id="556550065">
      <w:bodyDiv w:val="1"/>
      <w:marLeft w:val="0"/>
      <w:marRight w:val="0"/>
      <w:marTop w:val="0"/>
      <w:marBottom w:val="0"/>
      <w:divBdr>
        <w:top w:val="none" w:sz="0" w:space="0" w:color="auto"/>
        <w:left w:val="none" w:sz="0" w:space="0" w:color="auto"/>
        <w:bottom w:val="none" w:sz="0" w:space="0" w:color="auto"/>
        <w:right w:val="none" w:sz="0" w:space="0" w:color="auto"/>
      </w:divBdr>
    </w:div>
    <w:div w:id="586381621">
      <w:bodyDiv w:val="1"/>
      <w:marLeft w:val="0"/>
      <w:marRight w:val="0"/>
      <w:marTop w:val="0"/>
      <w:marBottom w:val="0"/>
      <w:divBdr>
        <w:top w:val="none" w:sz="0" w:space="0" w:color="auto"/>
        <w:left w:val="none" w:sz="0" w:space="0" w:color="auto"/>
        <w:bottom w:val="none" w:sz="0" w:space="0" w:color="auto"/>
        <w:right w:val="none" w:sz="0" w:space="0" w:color="auto"/>
      </w:divBdr>
    </w:div>
    <w:div w:id="611715305">
      <w:bodyDiv w:val="1"/>
      <w:marLeft w:val="0"/>
      <w:marRight w:val="0"/>
      <w:marTop w:val="0"/>
      <w:marBottom w:val="0"/>
      <w:divBdr>
        <w:top w:val="none" w:sz="0" w:space="0" w:color="auto"/>
        <w:left w:val="none" w:sz="0" w:space="0" w:color="auto"/>
        <w:bottom w:val="none" w:sz="0" w:space="0" w:color="auto"/>
        <w:right w:val="none" w:sz="0" w:space="0" w:color="auto"/>
      </w:divBdr>
    </w:div>
    <w:div w:id="653950364">
      <w:bodyDiv w:val="1"/>
      <w:marLeft w:val="0"/>
      <w:marRight w:val="0"/>
      <w:marTop w:val="0"/>
      <w:marBottom w:val="0"/>
      <w:divBdr>
        <w:top w:val="none" w:sz="0" w:space="0" w:color="auto"/>
        <w:left w:val="none" w:sz="0" w:space="0" w:color="auto"/>
        <w:bottom w:val="none" w:sz="0" w:space="0" w:color="auto"/>
        <w:right w:val="none" w:sz="0" w:space="0" w:color="auto"/>
      </w:divBdr>
    </w:div>
    <w:div w:id="727266786">
      <w:bodyDiv w:val="1"/>
      <w:marLeft w:val="0"/>
      <w:marRight w:val="0"/>
      <w:marTop w:val="0"/>
      <w:marBottom w:val="0"/>
      <w:divBdr>
        <w:top w:val="none" w:sz="0" w:space="0" w:color="auto"/>
        <w:left w:val="none" w:sz="0" w:space="0" w:color="auto"/>
        <w:bottom w:val="none" w:sz="0" w:space="0" w:color="auto"/>
        <w:right w:val="none" w:sz="0" w:space="0" w:color="auto"/>
      </w:divBdr>
    </w:div>
    <w:div w:id="729617386">
      <w:bodyDiv w:val="1"/>
      <w:marLeft w:val="0"/>
      <w:marRight w:val="0"/>
      <w:marTop w:val="0"/>
      <w:marBottom w:val="0"/>
      <w:divBdr>
        <w:top w:val="none" w:sz="0" w:space="0" w:color="auto"/>
        <w:left w:val="none" w:sz="0" w:space="0" w:color="auto"/>
        <w:bottom w:val="none" w:sz="0" w:space="0" w:color="auto"/>
        <w:right w:val="none" w:sz="0" w:space="0" w:color="auto"/>
      </w:divBdr>
    </w:div>
    <w:div w:id="761293588">
      <w:bodyDiv w:val="1"/>
      <w:marLeft w:val="0"/>
      <w:marRight w:val="0"/>
      <w:marTop w:val="0"/>
      <w:marBottom w:val="0"/>
      <w:divBdr>
        <w:top w:val="none" w:sz="0" w:space="0" w:color="auto"/>
        <w:left w:val="none" w:sz="0" w:space="0" w:color="auto"/>
        <w:bottom w:val="none" w:sz="0" w:space="0" w:color="auto"/>
        <w:right w:val="none" w:sz="0" w:space="0" w:color="auto"/>
      </w:divBdr>
    </w:div>
    <w:div w:id="800272463">
      <w:bodyDiv w:val="1"/>
      <w:marLeft w:val="0"/>
      <w:marRight w:val="0"/>
      <w:marTop w:val="0"/>
      <w:marBottom w:val="0"/>
      <w:divBdr>
        <w:top w:val="none" w:sz="0" w:space="0" w:color="auto"/>
        <w:left w:val="none" w:sz="0" w:space="0" w:color="auto"/>
        <w:bottom w:val="none" w:sz="0" w:space="0" w:color="auto"/>
        <w:right w:val="none" w:sz="0" w:space="0" w:color="auto"/>
      </w:divBdr>
    </w:div>
    <w:div w:id="858932660">
      <w:bodyDiv w:val="1"/>
      <w:marLeft w:val="0"/>
      <w:marRight w:val="0"/>
      <w:marTop w:val="0"/>
      <w:marBottom w:val="0"/>
      <w:divBdr>
        <w:top w:val="none" w:sz="0" w:space="0" w:color="auto"/>
        <w:left w:val="none" w:sz="0" w:space="0" w:color="auto"/>
        <w:bottom w:val="none" w:sz="0" w:space="0" w:color="auto"/>
        <w:right w:val="none" w:sz="0" w:space="0" w:color="auto"/>
      </w:divBdr>
    </w:div>
    <w:div w:id="878127887">
      <w:bodyDiv w:val="1"/>
      <w:marLeft w:val="0"/>
      <w:marRight w:val="0"/>
      <w:marTop w:val="0"/>
      <w:marBottom w:val="0"/>
      <w:divBdr>
        <w:top w:val="none" w:sz="0" w:space="0" w:color="auto"/>
        <w:left w:val="none" w:sz="0" w:space="0" w:color="auto"/>
        <w:bottom w:val="none" w:sz="0" w:space="0" w:color="auto"/>
        <w:right w:val="none" w:sz="0" w:space="0" w:color="auto"/>
      </w:divBdr>
    </w:div>
    <w:div w:id="896891419">
      <w:bodyDiv w:val="1"/>
      <w:marLeft w:val="0"/>
      <w:marRight w:val="0"/>
      <w:marTop w:val="0"/>
      <w:marBottom w:val="0"/>
      <w:divBdr>
        <w:top w:val="none" w:sz="0" w:space="0" w:color="auto"/>
        <w:left w:val="none" w:sz="0" w:space="0" w:color="auto"/>
        <w:bottom w:val="none" w:sz="0" w:space="0" w:color="auto"/>
        <w:right w:val="none" w:sz="0" w:space="0" w:color="auto"/>
      </w:divBdr>
    </w:div>
    <w:div w:id="909117549">
      <w:bodyDiv w:val="1"/>
      <w:marLeft w:val="0"/>
      <w:marRight w:val="0"/>
      <w:marTop w:val="0"/>
      <w:marBottom w:val="0"/>
      <w:divBdr>
        <w:top w:val="none" w:sz="0" w:space="0" w:color="auto"/>
        <w:left w:val="none" w:sz="0" w:space="0" w:color="auto"/>
        <w:bottom w:val="none" w:sz="0" w:space="0" w:color="auto"/>
        <w:right w:val="none" w:sz="0" w:space="0" w:color="auto"/>
      </w:divBdr>
    </w:div>
    <w:div w:id="929462092">
      <w:bodyDiv w:val="1"/>
      <w:marLeft w:val="0"/>
      <w:marRight w:val="0"/>
      <w:marTop w:val="0"/>
      <w:marBottom w:val="0"/>
      <w:divBdr>
        <w:top w:val="none" w:sz="0" w:space="0" w:color="auto"/>
        <w:left w:val="none" w:sz="0" w:space="0" w:color="auto"/>
        <w:bottom w:val="none" w:sz="0" w:space="0" w:color="auto"/>
        <w:right w:val="none" w:sz="0" w:space="0" w:color="auto"/>
      </w:divBdr>
    </w:div>
    <w:div w:id="961227164">
      <w:bodyDiv w:val="1"/>
      <w:marLeft w:val="0"/>
      <w:marRight w:val="0"/>
      <w:marTop w:val="0"/>
      <w:marBottom w:val="0"/>
      <w:divBdr>
        <w:top w:val="none" w:sz="0" w:space="0" w:color="auto"/>
        <w:left w:val="none" w:sz="0" w:space="0" w:color="auto"/>
        <w:bottom w:val="none" w:sz="0" w:space="0" w:color="auto"/>
        <w:right w:val="none" w:sz="0" w:space="0" w:color="auto"/>
      </w:divBdr>
      <w:divsChild>
        <w:div w:id="44572032">
          <w:marLeft w:val="547"/>
          <w:marRight w:val="0"/>
          <w:marTop w:val="60"/>
          <w:marBottom w:val="60"/>
          <w:divBdr>
            <w:top w:val="none" w:sz="0" w:space="0" w:color="auto"/>
            <w:left w:val="none" w:sz="0" w:space="0" w:color="auto"/>
            <w:bottom w:val="none" w:sz="0" w:space="0" w:color="auto"/>
            <w:right w:val="none" w:sz="0" w:space="0" w:color="auto"/>
          </w:divBdr>
        </w:div>
      </w:divsChild>
    </w:div>
    <w:div w:id="968825358">
      <w:bodyDiv w:val="1"/>
      <w:marLeft w:val="0"/>
      <w:marRight w:val="0"/>
      <w:marTop w:val="0"/>
      <w:marBottom w:val="0"/>
      <w:divBdr>
        <w:top w:val="none" w:sz="0" w:space="0" w:color="auto"/>
        <w:left w:val="none" w:sz="0" w:space="0" w:color="auto"/>
        <w:bottom w:val="none" w:sz="0" w:space="0" w:color="auto"/>
        <w:right w:val="none" w:sz="0" w:space="0" w:color="auto"/>
      </w:divBdr>
    </w:div>
    <w:div w:id="970091428">
      <w:bodyDiv w:val="1"/>
      <w:marLeft w:val="0"/>
      <w:marRight w:val="0"/>
      <w:marTop w:val="0"/>
      <w:marBottom w:val="0"/>
      <w:divBdr>
        <w:top w:val="none" w:sz="0" w:space="0" w:color="auto"/>
        <w:left w:val="none" w:sz="0" w:space="0" w:color="auto"/>
        <w:bottom w:val="none" w:sz="0" w:space="0" w:color="auto"/>
        <w:right w:val="none" w:sz="0" w:space="0" w:color="auto"/>
      </w:divBdr>
    </w:div>
    <w:div w:id="1022707287">
      <w:bodyDiv w:val="1"/>
      <w:marLeft w:val="0"/>
      <w:marRight w:val="0"/>
      <w:marTop w:val="0"/>
      <w:marBottom w:val="0"/>
      <w:divBdr>
        <w:top w:val="none" w:sz="0" w:space="0" w:color="auto"/>
        <w:left w:val="none" w:sz="0" w:space="0" w:color="auto"/>
        <w:bottom w:val="none" w:sz="0" w:space="0" w:color="auto"/>
        <w:right w:val="none" w:sz="0" w:space="0" w:color="auto"/>
      </w:divBdr>
    </w:div>
    <w:div w:id="1026057792">
      <w:bodyDiv w:val="1"/>
      <w:marLeft w:val="0"/>
      <w:marRight w:val="0"/>
      <w:marTop w:val="0"/>
      <w:marBottom w:val="0"/>
      <w:divBdr>
        <w:top w:val="none" w:sz="0" w:space="0" w:color="auto"/>
        <w:left w:val="none" w:sz="0" w:space="0" w:color="auto"/>
        <w:bottom w:val="none" w:sz="0" w:space="0" w:color="auto"/>
        <w:right w:val="none" w:sz="0" w:space="0" w:color="auto"/>
      </w:divBdr>
    </w:div>
    <w:div w:id="1036196747">
      <w:bodyDiv w:val="1"/>
      <w:marLeft w:val="0"/>
      <w:marRight w:val="0"/>
      <w:marTop w:val="0"/>
      <w:marBottom w:val="0"/>
      <w:divBdr>
        <w:top w:val="none" w:sz="0" w:space="0" w:color="auto"/>
        <w:left w:val="none" w:sz="0" w:space="0" w:color="auto"/>
        <w:bottom w:val="none" w:sz="0" w:space="0" w:color="auto"/>
        <w:right w:val="none" w:sz="0" w:space="0" w:color="auto"/>
      </w:divBdr>
    </w:div>
    <w:div w:id="1038748058">
      <w:bodyDiv w:val="1"/>
      <w:marLeft w:val="0"/>
      <w:marRight w:val="0"/>
      <w:marTop w:val="0"/>
      <w:marBottom w:val="0"/>
      <w:divBdr>
        <w:top w:val="none" w:sz="0" w:space="0" w:color="auto"/>
        <w:left w:val="none" w:sz="0" w:space="0" w:color="auto"/>
        <w:bottom w:val="none" w:sz="0" w:space="0" w:color="auto"/>
        <w:right w:val="none" w:sz="0" w:space="0" w:color="auto"/>
      </w:divBdr>
    </w:div>
    <w:div w:id="1085492516">
      <w:bodyDiv w:val="1"/>
      <w:marLeft w:val="0"/>
      <w:marRight w:val="0"/>
      <w:marTop w:val="0"/>
      <w:marBottom w:val="0"/>
      <w:divBdr>
        <w:top w:val="none" w:sz="0" w:space="0" w:color="auto"/>
        <w:left w:val="none" w:sz="0" w:space="0" w:color="auto"/>
        <w:bottom w:val="none" w:sz="0" w:space="0" w:color="auto"/>
        <w:right w:val="none" w:sz="0" w:space="0" w:color="auto"/>
      </w:divBdr>
    </w:div>
    <w:div w:id="1117021217">
      <w:bodyDiv w:val="1"/>
      <w:marLeft w:val="0"/>
      <w:marRight w:val="0"/>
      <w:marTop w:val="0"/>
      <w:marBottom w:val="0"/>
      <w:divBdr>
        <w:top w:val="none" w:sz="0" w:space="0" w:color="auto"/>
        <w:left w:val="none" w:sz="0" w:space="0" w:color="auto"/>
        <w:bottom w:val="none" w:sz="0" w:space="0" w:color="auto"/>
        <w:right w:val="none" w:sz="0" w:space="0" w:color="auto"/>
      </w:divBdr>
    </w:div>
    <w:div w:id="1169297071">
      <w:bodyDiv w:val="1"/>
      <w:marLeft w:val="0"/>
      <w:marRight w:val="0"/>
      <w:marTop w:val="0"/>
      <w:marBottom w:val="0"/>
      <w:divBdr>
        <w:top w:val="none" w:sz="0" w:space="0" w:color="auto"/>
        <w:left w:val="none" w:sz="0" w:space="0" w:color="auto"/>
        <w:bottom w:val="none" w:sz="0" w:space="0" w:color="auto"/>
        <w:right w:val="none" w:sz="0" w:space="0" w:color="auto"/>
      </w:divBdr>
    </w:div>
    <w:div w:id="1180315705">
      <w:bodyDiv w:val="1"/>
      <w:marLeft w:val="0"/>
      <w:marRight w:val="0"/>
      <w:marTop w:val="0"/>
      <w:marBottom w:val="0"/>
      <w:divBdr>
        <w:top w:val="none" w:sz="0" w:space="0" w:color="auto"/>
        <w:left w:val="none" w:sz="0" w:space="0" w:color="auto"/>
        <w:bottom w:val="none" w:sz="0" w:space="0" w:color="auto"/>
        <w:right w:val="none" w:sz="0" w:space="0" w:color="auto"/>
      </w:divBdr>
    </w:div>
    <w:div w:id="1297565914">
      <w:bodyDiv w:val="1"/>
      <w:marLeft w:val="0"/>
      <w:marRight w:val="0"/>
      <w:marTop w:val="0"/>
      <w:marBottom w:val="0"/>
      <w:divBdr>
        <w:top w:val="none" w:sz="0" w:space="0" w:color="auto"/>
        <w:left w:val="none" w:sz="0" w:space="0" w:color="auto"/>
        <w:bottom w:val="none" w:sz="0" w:space="0" w:color="auto"/>
        <w:right w:val="none" w:sz="0" w:space="0" w:color="auto"/>
      </w:divBdr>
    </w:div>
    <w:div w:id="1313631782">
      <w:bodyDiv w:val="1"/>
      <w:marLeft w:val="0"/>
      <w:marRight w:val="0"/>
      <w:marTop w:val="0"/>
      <w:marBottom w:val="0"/>
      <w:divBdr>
        <w:top w:val="none" w:sz="0" w:space="0" w:color="auto"/>
        <w:left w:val="none" w:sz="0" w:space="0" w:color="auto"/>
        <w:bottom w:val="none" w:sz="0" w:space="0" w:color="auto"/>
        <w:right w:val="none" w:sz="0" w:space="0" w:color="auto"/>
      </w:divBdr>
    </w:div>
    <w:div w:id="1316643572">
      <w:bodyDiv w:val="1"/>
      <w:marLeft w:val="0"/>
      <w:marRight w:val="0"/>
      <w:marTop w:val="0"/>
      <w:marBottom w:val="0"/>
      <w:divBdr>
        <w:top w:val="none" w:sz="0" w:space="0" w:color="auto"/>
        <w:left w:val="none" w:sz="0" w:space="0" w:color="auto"/>
        <w:bottom w:val="none" w:sz="0" w:space="0" w:color="auto"/>
        <w:right w:val="none" w:sz="0" w:space="0" w:color="auto"/>
      </w:divBdr>
    </w:div>
    <w:div w:id="1329291290">
      <w:bodyDiv w:val="1"/>
      <w:marLeft w:val="0"/>
      <w:marRight w:val="0"/>
      <w:marTop w:val="0"/>
      <w:marBottom w:val="0"/>
      <w:divBdr>
        <w:top w:val="none" w:sz="0" w:space="0" w:color="auto"/>
        <w:left w:val="none" w:sz="0" w:space="0" w:color="auto"/>
        <w:bottom w:val="none" w:sz="0" w:space="0" w:color="auto"/>
        <w:right w:val="none" w:sz="0" w:space="0" w:color="auto"/>
      </w:divBdr>
    </w:div>
    <w:div w:id="1347441788">
      <w:bodyDiv w:val="1"/>
      <w:marLeft w:val="0"/>
      <w:marRight w:val="0"/>
      <w:marTop w:val="0"/>
      <w:marBottom w:val="0"/>
      <w:divBdr>
        <w:top w:val="none" w:sz="0" w:space="0" w:color="auto"/>
        <w:left w:val="none" w:sz="0" w:space="0" w:color="auto"/>
        <w:bottom w:val="none" w:sz="0" w:space="0" w:color="auto"/>
        <w:right w:val="none" w:sz="0" w:space="0" w:color="auto"/>
      </w:divBdr>
    </w:div>
    <w:div w:id="1397775196">
      <w:bodyDiv w:val="1"/>
      <w:marLeft w:val="0"/>
      <w:marRight w:val="0"/>
      <w:marTop w:val="0"/>
      <w:marBottom w:val="0"/>
      <w:divBdr>
        <w:top w:val="none" w:sz="0" w:space="0" w:color="auto"/>
        <w:left w:val="none" w:sz="0" w:space="0" w:color="auto"/>
        <w:bottom w:val="none" w:sz="0" w:space="0" w:color="auto"/>
        <w:right w:val="none" w:sz="0" w:space="0" w:color="auto"/>
      </w:divBdr>
    </w:div>
    <w:div w:id="1433285004">
      <w:bodyDiv w:val="1"/>
      <w:marLeft w:val="0"/>
      <w:marRight w:val="0"/>
      <w:marTop w:val="0"/>
      <w:marBottom w:val="0"/>
      <w:divBdr>
        <w:top w:val="none" w:sz="0" w:space="0" w:color="auto"/>
        <w:left w:val="none" w:sz="0" w:space="0" w:color="auto"/>
        <w:bottom w:val="none" w:sz="0" w:space="0" w:color="auto"/>
        <w:right w:val="none" w:sz="0" w:space="0" w:color="auto"/>
      </w:divBdr>
      <w:divsChild>
        <w:div w:id="2035768712">
          <w:marLeft w:val="0"/>
          <w:marRight w:val="0"/>
          <w:marTop w:val="0"/>
          <w:marBottom w:val="0"/>
          <w:divBdr>
            <w:top w:val="none" w:sz="0" w:space="0" w:color="auto"/>
            <w:left w:val="none" w:sz="0" w:space="0" w:color="auto"/>
            <w:bottom w:val="none" w:sz="0" w:space="0" w:color="auto"/>
            <w:right w:val="none" w:sz="0" w:space="0" w:color="auto"/>
          </w:divBdr>
          <w:divsChild>
            <w:div w:id="1113866137">
              <w:marLeft w:val="0"/>
              <w:marRight w:val="0"/>
              <w:marTop w:val="0"/>
              <w:marBottom w:val="0"/>
              <w:divBdr>
                <w:top w:val="none" w:sz="0" w:space="0" w:color="auto"/>
                <w:left w:val="none" w:sz="0" w:space="0" w:color="auto"/>
                <w:bottom w:val="none" w:sz="0" w:space="0" w:color="auto"/>
                <w:right w:val="none" w:sz="0" w:space="0" w:color="auto"/>
              </w:divBdr>
              <w:divsChild>
                <w:div w:id="881281551">
                  <w:marLeft w:val="0"/>
                  <w:marRight w:val="0"/>
                  <w:marTop w:val="0"/>
                  <w:marBottom w:val="0"/>
                  <w:divBdr>
                    <w:top w:val="none" w:sz="0" w:space="0" w:color="auto"/>
                    <w:left w:val="none" w:sz="0" w:space="0" w:color="auto"/>
                    <w:bottom w:val="none" w:sz="0" w:space="0" w:color="auto"/>
                    <w:right w:val="none" w:sz="0" w:space="0" w:color="auto"/>
                  </w:divBdr>
                  <w:divsChild>
                    <w:div w:id="1008169546">
                      <w:marLeft w:val="0"/>
                      <w:marRight w:val="0"/>
                      <w:marTop w:val="0"/>
                      <w:marBottom w:val="0"/>
                      <w:divBdr>
                        <w:top w:val="none" w:sz="0" w:space="0" w:color="auto"/>
                        <w:left w:val="none" w:sz="0" w:space="0" w:color="auto"/>
                        <w:bottom w:val="none" w:sz="0" w:space="0" w:color="auto"/>
                        <w:right w:val="none" w:sz="0" w:space="0" w:color="auto"/>
                      </w:divBdr>
                      <w:divsChild>
                        <w:div w:id="1348171155">
                          <w:marLeft w:val="0"/>
                          <w:marRight w:val="0"/>
                          <w:marTop w:val="0"/>
                          <w:marBottom w:val="0"/>
                          <w:divBdr>
                            <w:top w:val="single" w:sz="6" w:space="0" w:color="828282"/>
                            <w:left w:val="single" w:sz="6" w:space="0" w:color="828282"/>
                            <w:bottom w:val="single" w:sz="6" w:space="0" w:color="828282"/>
                            <w:right w:val="single" w:sz="6" w:space="0" w:color="828282"/>
                          </w:divBdr>
                          <w:divsChild>
                            <w:div w:id="622007856">
                              <w:marLeft w:val="0"/>
                              <w:marRight w:val="0"/>
                              <w:marTop w:val="0"/>
                              <w:marBottom w:val="0"/>
                              <w:divBdr>
                                <w:top w:val="none" w:sz="0" w:space="0" w:color="auto"/>
                                <w:left w:val="none" w:sz="0" w:space="0" w:color="auto"/>
                                <w:bottom w:val="none" w:sz="0" w:space="0" w:color="auto"/>
                                <w:right w:val="none" w:sz="0" w:space="0" w:color="auto"/>
                              </w:divBdr>
                              <w:divsChild>
                                <w:div w:id="1113479812">
                                  <w:marLeft w:val="0"/>
                                  <w:marRight w:val="0"/>
                                  <w:marTop w:val="0"/>
                                  <w:marBottom w:val="0"/>
                                  <w:divBdr>
                                    <w:top w:val="none" w:sz="0" w:space="0" w:color="auto"/>
                                    <w:left w:val="none" w:sz="0" w:space="0" w:color="auto"/>
                                    <w:bottom w:val="none" w:sz="0" w:space="0" w:color="auto"/>
                                    <w:right w:val="none" w:sz="0" w:space="0" w:color="auto"/>
                                  </w:divBdr>
                                  <w:divsChild>
                                    <w:div w:id="408037077">
                                      <w:marLeft w:val="0"/>
                                      <w:marRight w:val="0"/>
                                      <w:marTop w:val="0"/>
                                      <w:marBottom w:val="0"/>
                                      <w:divBdr>
                                        <w:top w:val="none" w:sz="0" w:space="0" w:color="auto"/>
                                        <w:left w:val="none" w:sz="0" w:space="0" w:color="auto"/>
                                        <w:bottom w:val="none" w:sz="0" w:space="0" w:color="auto"/>
                                        <w:right w:val="none" w:sz="0" w:space="0" w:color="auto"/>
                                      </w:divBdr>
                                      <w:divsChild>
                                        <w:div w:id="1446805263">
                                          <w:marLeft w:val="0"/>
                                          <w:marRight w:val="0"/>
                                          <w:marTop w:val="0"/>
                                          <w:marBottom w:val="0"/>
                                          <w:divBdr>
                                            <w:top w:val="none" w:sz="0" w:space="0" w:color="auto"/>
                                            <w:left w:val="none" w:sz="0" w:space="0" w:color="auto"/>
                                            <w:bottom w:val="none" w:sz="0" w:space="0" w:color="auto"/>
                                            <w:right w:val="none" w:sz="0" w:space="0" w:color="auto"/>
                                          </w:divBdr>
                                          <w:divsChild>
                                            <w:div w:id="635988661">
                                              <w:marLeft w:val="0"/>
                                              <w:marRight w:val="0"/>
                                              <w:marTop w:val="0"/>
                                              <w:marBottom w:val="0"/>
                                              <w:divBdr>
                                                <w:top w:val="none" w:sz="0" w:space="0" w:color="auto"/>
                                                <w:left w:val="none" w:sz="0" w:space="0" w:color="auto"/>
                                                <w:bottom w:val="none" w:sz="0" w:space="0" w:color="auto"/>
                                                <w:right w:val="none" w:sz="0" w:space="0" w:color="auto"/>
                                              </w:divBdr>
                                              <w:divsChild>
                                                <w:div w:id="82204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3814739">
      <w:bodyDiv w:val="1"/>
      <w:marLeft w:val="0"/>
      <w:marRight w:val="0"/>
      <w:marTop w:val="0"/>
      <w:marBottom w:val="0"/>
      <w:divBdr>
        <w:top w:val="none" w:sz="0" w:space="0" w:color="auto"/>
        <w:left w:val="none" w:sz="0" w:space="0" w:color="auto"/>
        <w:bottom w:val="none" w:sz="0" w:space="0" w:color="auto"/>
        <w:right w:val="none" w:sz="0" w:space="0" w:color="auto"/>
      </w:divBdr>
    </w:div>
    <w:div w:id="1447696594">
      <w:bodyDiv w:val="1"/>
      <w:marLeft w:val="0"/>
      <w:marRight w:val="0"/>
      <w:marTop w:val="0"/>
      <w:marBottom w:val="0"/>
      <w:divBdr>
        <w:top w:val="none" w:sz="0" w:space="0" w:color="auto"/>
        <w:left w:val="none" w:sz="0" w:space="0" w:color="auto"/>
        <w:bottom w:val="none" w:sz="0" w:space="0" w:color="auto"/>
        <w:right w:val="none" w:sz="0" w:space="0" w:color="auto"/>
      </w:divBdr>
    </w:div>
    <w:div w:id="1467746363">
      <w:bodyDiv w:val="1"/>
      <w:marLeft w:val="0"/>
      <w:marRight w:val="0"/>
      <w:marTop w:val="0"/>
      <w:marBottom w:val="0"/>
      <w:divBdr>
        <w:top w:val="none" w:sz="0" w:space="0" w:color="auto"/>
        <w:left w:val="none" w:sz="0" w:space="0" w:color="auto"/>
        <w:bottom w:val="none" w:sz="0" w:space="0" w:color="auto"/>
        <w:right w:val="none" w:sz="0" w:space="0" w:color="auto"/>
      </w:divBdr>
    </w:div>
    <w:div w:id="1477793423">
      <w:bodyDiv w:val="1"/>
      <w:marLeft w:val="0"/>
      <w:marRight w:val="0"/>
      <w:marTop w:val="0"/>
      <w:marBottom w:val="0"/>
      <w:divBdr>
        <w:top w:val="none" w:sz="0" w:space="0" w:color="auto"/>
        <w:left w:val="none" w:sz="0" w:space="0" w:color="auto"/>
        <w:bottom w:val="none" w:sz="0" w:space="0" w:color="auto"/>
        <w:right w:val="none" w:sz="0" w:space="0" w:color="auto"/>
      </w:divBdr>
    </w:div>
    <w:div w:id="1487167527">
      <w:bodyDiv w:val="1"/>
      <w:marLeft w:val="0"/>
      <w:marRight w:val="0"/>
      <w:marTop w:val="0"/>
      <w:marBottom w:val="0"/>
      <w:divBdr>
        <w:top w:val="none" w:sz="0" w:space="0" w:color="auto"/>
        <w:left w:val="none" w:sz="0" w:space="0" w:color="auto"/>
        <w:bottom w:val="none" w:sz="0" w:space="0" w:color="auto"/>
        <w:right w:val="none" w:sz="0" w:space="0" w:color="auto"/>
      </w:divBdr>
    </w:div>
    <w:div w:id="1553735239">
      <w:bodyDiv w:val="1"/>
      <w:marLeft w:val="0"/>
      <w:marRight w:val="0"/>
      <w:marTop w:val="0"/>
      <w:marBottom w:val="0"/>
      <w:divBdr>
        <w:top w:val="none" w:sz="0" w:space="0" w:color="auto"/>
        <w:left w:val="none" w:sz="0" w:space="0" w:color="auto"/>
        <w:bottom w:val="none" w:sz="0" w:space="0" w:color="auto"/>
        <w:right w:val="none" w:sz="0" w:space="0" w:color="auto"/>
      </w:divBdr>
    </w:div>
    <w:div w:id="1554196086">
      <w:bodyDiv w:val="1"/>
      <w:marLeft w:val="0"/>
      <w:marRight w:val="0"/>
      <w:marTop w:val="0"/>
      <w:marBottom w:val="0"/>
      <w:divBdr>
        <w:top w:val="none" w:sz="0" w:space="0" w:color="auto"/>
        <w:left w:val="none" w:sz="0" w:space="0" w:color="auto"/>
        <w:bottom w:val="none" w:sz="0" w:space="0" w:color="auto"/>
        <w:right w:val="none" w:sz="0" w:space="0" w:color="auto"/>
      </w:divBdr>
    </w:div>
    <w:div w:id="1608537321">
      <w:bodyDiv w:val="1"/>
      <w:marLeft w:val="0"/>
      <w:marRight w:val="0"/>
      <w:marTop w:val="0"/>
      <w:marBottom w:val="0"/>
      <w:divBdr>
        <w:top w:val="none" w:sz="0" w:space="0" w:color="auto"/>
        <w:left w:val="none" w:sz="0" w:space="0" w:color="auto"/>
        <w:bottom w:val="none" w:sz="0" w:space="0" w:color="auto"/>
        <w:right w:val="none" w:sz="0" w:space="0" w:color="auto"/>
      </w:divBdr>
    </w:div>
    <w:div w:id="1636792132">
      <w:bodyDiv w:val="1"/>
      <w:marLeft w:val="0"/>
      <w:marRight w:val="0"/>
      <w:marTop w:val="0"/>
      <w:marBottom w:val="0"/>
      <w:divBdr>
        <w:top w:val="none" w:sz="0" w:space="0" w:color="auto"/>
        <w:left w:val="none" w:sz="0" w:space="0" w:color="auto"/>
        <w:bottom w:val="none" w:sz="0" w:space="0" w:color="auto"/>
        <w:right w:val="none" w:sz="0" w:space="0" w:color="auto"/>
      </w:divBdr>
    </w:div>
    <w:div w:id="1653481422">
      <w:bodyDiv w:val="1"/>
      <w:marLeft w:val="0"/>
      <w:marRight w:val="0"/>
      <w:marTop w:val="0"/>
      <w:marBottom w:val="0"/>
      <w:divBdr>
        <w:top w:val="none" w:sz="0" w:space="0" w:color="auto"/>
        <w:left w:val="none" w:sz="0" w:space="0" w:color="auto"/>
        <w:bottom w:val="none" w:sz="0" w:space="0" w:color="auto"/>
        <w:right w:val="none" w:sz="0" w:space="0" w:color="auto"/>
      </w:divBdr>
    </w:div>
    <w:div w:id="1667244062">
      <w:bodyDiv w:val="1"/>
      <w:marLeft w:val="0"/>
      <w:marRight w:val="0"/>
      <w:marTop w:val="0"/>
      <w:marBottom w:val="0"/>
      <w:divBdr>
        <w:top w:val="none" w:sz="0" w:space="0" w:color="auto"/>
        <w:left w:val="none" w:sz="0" w:space="0" w:color="auto"/>
        <w:bottom w:val="none" w:sz="0" w:space="0" w:color="auto"/>
        <w:right w:val="none" w:sz="0" w:space="0" w:color="auto"/>
      </w:divBdr>
    </w:div>
    <w:div w:id="1713573346">
      <w:bodyDiv w:val="1"/>
      <w:marLeft w:val="0"/>
      <w:marRight w:val="0"/>
      <w:marTop w:val="0"/>
      <w:marBottom w:val="0"/>
      <w:divBdr>
        <w:top w:val="none" w:sz="0" w:space="0" w:color="auto"/>
        <w:left w:val="none" w:sz="0" w:space="0" w:color="auto"/>
        <w:bottom w:val="none" w:sz="0" w:space="0" w:color="auto"/>
        <w:right w:val="none" w:sz="0" w:space="0" w:color="auto"/>
      </w:divBdr>
    </w:div>
    <w:div w:id="1750930045">
      <w:bodyDiv w:val="1"/>
      <w:marLeft w:val="0"/>
      <w:marRight w:val="0"/>
      <w:marTop w:val="0"/>
      <w:marBottom w:val="0"/>
      <w:divBdr>
        <w:top w:val="none" w:sz="0" w:space="0" w:color="auto"/>
        <w:left w:val="none" w:sz="0" w:space="0" w:color="auto"/>
        <w:bottom w:val="none" w:sz="0" w:space="0" w:color="auto"/>
        <w:right w:val="none" w:sz="0" w:space="0" w:color="auto"/>
      </w:divBdr>
    </w:div>
    <w:div w:id="1769156341">
      <w:bodyDiv w:val="1"/>
      <w:marLeft w:val="0"/>
      <w:marRight w:val="0"/>
      <w:marTop w:val="0"/>
      <w:marBottom w:val="0"/>
      <w:divBdr>
        <w:top w:val="none" w:sz="0" w:space="0" w:color="auto"/>
        <w:left w:val="none" w:sz="0" w:space="0" w:color="auto"/>
        <w:bottom w:val="none" w:sz="0" w:space="0" w:color="auto"/>
        <w:right w:val="none" w:sz="0" w:space="0" w:color="auto"/>
      </w:divBdr>
    </w:div>
    <w:div w:id="1807771717">
      <w:bodyDiv w:val="1"/>
      <w:marLeft w:val="0"/>
      <w:marRight w:val="0"/>
      <w:marTop w:val="0"/>
      <w:marBottom w:val="0"/>
      <w:divBdr>
        <w:top w:val="none" w:sz="0" w:space="0" w:color="auto"/>
        <w:left w:val="none" w:sz="0" w:space="0" w:color="auto"/>
        <w:bottom w:val="none" w:sz="0" w:space="0" w:color="auto"/>
        <w:right w:val="none" w:sz="0" w:space="0" w:color="auto"/>
      </w:divBdr>
    </w:div>
    <w:div w:id="1827548108">
      <w:bodyDiv w:val="1"/>
      <w:marLeft w:val="0"/>
      <w:marRight w:val="0"/>
      <w:marTop w:val="0"/>
      <w:marBottom w:val="0"/>
      <w:divBdr>
        <w:top w:val="none" w:sz="0" w:space="0" w:color="auto"/>
        <w:left w:val="none" w:sz="0" w:space="0" w:color="auto"/>
        <w:bottom w:val="none" w:sz="0" w:space="0" w:color="auto"/>
        <w:right w:val="none" w:sz="0" w:space="0" w:color="auto"/>
      </w:divBdr>
    </w:div>
    <w:div w:id="1847747063">
      <w:bodyDiv w:val="1"/>
      <w:marLeft w:val="0"/>
      <w:marRight w:val="0"/>
      <w:marTop w:val="0"/>
      <w:marBottom w:val="0"/>
      <w:divBdr>
        <w:top w:val="none" w:sz="0" w:space="0" w:color="auto"/>
        <w:left w:val="none" w:sz="0" w:space="0" w:color="auto"/>
        <w:bottom w:val="none" w:sz="0" w:space="0" w:color="auto"/>
        <w:right w:val="none" w:sz="0" w:space="0" w:color="auto"/>
      </w:divBdr>
    </w:div>
    <w:div w:id="1849444186">
      <w:bodyDiv w:val="1"/>
      <w:marLeft w:val="0"/>
      <w:marRight w:val="0"/>
      <w:marTop w:val="0"/>
      <w:marBottom w:val="0"/>
      <w:divBdr>
        <w:top w:val="none" w:sz="0" w:space="0" w:color="auto"/>
        <w:left w:val="none" w:sz="0" w:space="0" w:color="auto"/>
        <w:bottom w:val="none" w:sz="0" w:space="0" w:color="auto"/>
        <w:right w:val="none" w:sz="0" w:space="0" w:color="auto"/>
      </w:divBdr>
    </w:div>
    <w:div w:id="1886912575">
      <w:bodyDiv w:val="1"/>
      <w:marLeft w:val="0"/>
      <w:marRight w:val="0"/>
      <w:marTop w:val="0"/>
      <w:marBottom w:val="0"/>
      <w:divBdr>
        <w:top w:val="none" w:sz="0" w:space="0" w:color="auto"/>
        <w:left w:val="none" w:sz="0" w:space="0" w:color="auto"/>
        <w:bottom w:val="none" w:sz="0" w:space="0" w:color="auto"/>
        <w:right w:val="none" w:sz="0" w:space="0" w:color="auto"/>
      </w:divBdr>
    </w:div>
    <w:div w:id="1896119273">
      <w:bodyDiv w:val="1"/>
      <w:marLeft w:val="0"/>
      <w:marRight w:val="0"/>
      <w:marTop w:val="0"/>
      <w:marBottom w:val="0"/>
      <w:divBdr>
        <w:top w:val="none" w:sz="0" w:space="0" w:color="auto"/>
        <w:left w:val="none" w:sz="0" w:space="0" w:color="auto"/>
        <w:bottom w:val="none" w:sz="0" w:space="0" w:color="auto"/>
        <w:right w:val="none" w:sz="0" w:space="0" w:color="auto"/>
      </w:divBdr>
    </w:div>
    <w:div w:id="1910263856">
      <w:bodyDiv w:val="1"/>
      <w:marLeft w:val="0"/>
      <w:marRight w:val="0"/>
      <w:marTop w:val="0"/>
      <w:marBottom w:val="0"/>
      <w:divBdr>
        <w:top w:val="none" w:sz="0" w:space="0" w:color="auto"/>
        <w:left w:val="none" w:sz="0" w:space="0" w:color="auto"/>
        <w:bottom w:val="none" w:sz="0" w:space="0" w:color="auto"/>
        <w:right w:val="none" w:sz="0" w:space="0" w:color="auto"/>
      </w:divBdr>
    </w:div>
    <w:div w:id="1914244035">
      <w:bodyDiv w:val="1"/>
      <w:marLeft w:val="0"/>
      <w:marRight w:val="0"/>
      <w:marTop w:val="0"/>
      <w:marBottom w:val="0"/>
      <w:divBdr>
        <w:top w:val="none" w:sz="0" w:space="0" w:color="auto"/>
        <w:left w:val="none" w:sz="0" w:space="0" w:color="auto"/>
        <w:bottom w:val="none" w:sz="0" w:space="0" w:color="auto"/>
        <w:right w:val="none" w:sz="0" w:space="0" w:color="auto"/>
      </w:divBdr>
    </w:div>
    <w:div w:id="1932813576">
      <w:bodyDiv w:val="1"/>
      <w:marLeft w:val="0"/>
      <w:marRight w:val="0"/>
      <w:marTop w:val="0"/>
      <w:marBottom w:val="0"/>
      <w:divBdr>
        <w:top w:val="none" w:sz="0" w:space="0" w:color="auto"/>
        <w:left w:val="none" w:sz="0" w:space="0" w:color="auto"/>
        <w:bottom w:val="none" w:sz="0" w:space="0" w:color="auto"/>
        <w:right w:val="none" w:sz="0" w:space="0" w:color="auto"/>
      </w:divBdr>
    </w:div>
    <w:div w:id="1947806541">
      <w:bodyDiv w:val="1"/>
      <w:marLeft w:val="0"/>
      <w:marRight w:val="0"/>
      <w:marTop w:val="0"/>
      <w:marBottom w:val="0"/>
      <w:divBdr>
        <w:top w:val="none" w:sz="0" w:space="0" w:color="auto"/>
        <w:left w:val="none" w:sz="0" w:space="0" w:color="auto"/>
        <w:bottom w:val="none" w:sz="0" w:space="0" w:color="auto"/>
        <w:right w:val="none" w:sz="0" w:space="0" w:color="auto"/>
      </w:divBdr>
    </w:div>
    <w:div w:id="2037192999">
      <w:bodyDiv w:val="1"/>
      <w:marLeft w:val="0"/>
      <w:marRight w:val="0"/>
      <w:marTop w:val="0"/>
      <w:marBottom w:val="0"/>
      <w:divBdr>
        <w:top w:val="none" w:sz="0" w:space="0" w:color="auto"/>
        <w:left w:val="none" w:sz="0" w:space="0" w:color="auto"/>
        <w:bottom w:val="none" w:sz="0" w:space="0" w:color="auto"/>
        <w:right w:val="none" w:sz="0" w:space="0" w:color="auto"/>
      </w:divBdr>
    </w:div>
    <w:div w:id="2073429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lan.org.au/media/BAhbBlsHOgZmSSIhMjAxMS8xMS8wNC8wMV8wMl8xNF8yMjNfZmlsZQY6BkVU/01_02_14_223_file"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s>
</file>

<file path=word/_rels/footnotes.xml.rels><?xml version="1.0" encoding="UTF-8" standalone="yes"?>
<Relationships xmlns="http://schemas.openxmlformats.org/package/2006/relationships"><Relationship Id="rId13" Type="http://schemas.openxmlformats.org/officeDocument/2006/relationships/hyperlink" Target="http://www.ens.dk/sites/ens.dk/files/climate-co2/low-carbon-transition-unit/danish-energy-policy-toolkits/clasp_dea_toolkit_dec_18_v5.pdf" TargetMode="External"/><Relationship Id="rId18" Type="http://schemas.openxmlformats.org/officeDocument/2006/relationships/hyperlink" Target="http://www.ecofys.com/en/publication/evaluation-of-the-eu-energy-labelling-and-ecodesign-directives/" TargetMode="External"/><Relationship Id="rId26" Type="http://schemas.openxmlformats.org/officeDocument/2006/relationships/hyperlink" Target="https://www.google.com/url?q=http://www.energyrating.gov.au/wp-content/uploads/Energy_Rating_Documents/Library/General/Energy_Rating/ERL-Review_Final-Report.pdf&amp;sa=U&amp;ei=BlDzVPeYM7DlsAShqYCwBw&amp;ved=0CAUQFjAA&amp;client=internal-uds-cse&amp;usg=AFQjCNG3n0ICwhNZn1Lt6tkJL8WrVEytzw" TargetMode="External"/><Relationship Id="rId3" Type="http://schemas.openxmlformats.org/officeDocument/2006/relationships/hyperlink" Target="http://www.iea-4e.org/files/otherfiles/0000/0317/Int-Label-2013-desktop-v7b.pdf" TargetMode="External"/><Relationship Id="rId21" Type="http://schemas.openxmlformats.org/officeDocument/2006/relationships/hyperlink" Target="http://www.geca.org.au/" TargetMode="External"/><Relationship Id="rId34" Type="http://schemas.openxmlformats.org/officeDocument/2006/relationships/hyperlink" Target="http://energy.gov/gc/articles/doe-announces-changes-energy-conservation-standards-process" TargetMode="External"/><Relationship Id="rId7" Type="http://schemas.openxmlformats.org/officeDocument/2006/relationships/hyperlink" Target="https://www.coag.gov.au/node/183" TargetMode="External"/><Relationship Id="rId12" Type="http://schemas.openxmlformats.org/officeDocument/2006/relationships/hyperlink" Target="http://www.iea.org/Textbase/npsum/EEMR2014SUM.pdf" TargetMode="External"/><Relationship Id="rId17" Type="http://schemas.openxmlformats.org/officeDocument/2006/relationships/hyperlink" Target="http://www.eccj.or.jp/top_runner/" TargetMode="External"/><Relationship Id="rId25" Type="http://schemas.openxmlformats.org/officeDocument/2006/relationships/hyperlink" Target="http://energy.gov/eere/buildings/history-and-impacts" TargetMode="External"/><Relationship Id="rId33" Type="http://schemas.openxmlformats.org/officeDocument/2006/relationships/hyperlink" Target="http://energy.gov/eere/buildings/appliance-standards-and-rulemaking-federal-advisory-committee" TargetMode="External"/><Relationship Id="rId2" Type="http://schemas.openxmlformats.org/officeDocument/2006/relationships/hyperlink" Target="http://www.energyrating.gov.au/about/other-programs/meps/" TargetMode="External"/><Relationship Id="rId16" Type="http://schemas.openxmlformats.org/officeDocument/2006/relationships/hyperlink" Target="http://energy.gov/eere/buildings/history-and-impacts" TargetMode="External"/><Relationship Id="rId20" Type="http://schemas.openxmlformats.org/officeDocument/2006/relationships/hyperlink" Target="http://www.iea-4e.org/news/s-l-programs-worldwide-2013" TargetMode="External"/><Relationship Id="rId29" Type="http://schemas.openxmlformats.org/officeDocument/2006/relationships/hyperlink" Target="http://www.comlaw.gov.au/Details/C2012B00107/Explanatory%20Memorandum/Text" TargetMode="External"/><Relationship Id="rId1" Type="http://schemas.openxmlformats.org/officeDocument/2006/relationships/hyperlink" Target="http://www.advocacypanel.com.au/" TargetMode="External"/><Relationship Id="rId6" Type="http://schemas.openxmlformats.org/officeDocument/2006/relationships/hyperlink" Target="http://www.comlaw.gov.au/Details/C2012B00107/Explanatory%20Memorandum/Text" TargetMode="External"/><Relationship Id="rId11" Type="http://schemas.openxmlformats.org/officeDocument/2006/relationships/hyperlink" Target="http://www.google.co.uk/url?sa=t&amp;rct=j&amp;q=&amp;esrc=s&amp;frm=1&amp;source=web&amp;cd=1&amp;ved=0CCgQFjAA&amp;url=http%3A%2F%2Fwww.iea.org%2Fpublications%2Ffreepublications%2Fpublication%2Fmind_the_gap.pdf&amp;ei=iMFwVODXLdjXapq4gbAF&amp;usg=AFQjCNErSqe38HT4Fqnu7l8cvHZh425PbQ&amp;sig2=K36dpcyhOtgajt9cDih3nA&amp;bvm=bv.80185997,d.d2s" TargetMode="External"/><Relationship Id="rId24" Type="http://schemas.openxmlformats.org/officeDocument/2006/relationships/hyperlink" Target="https://www.google.com/url?q=http://www.energyrating.gov.au/wp-content/uploads/Energy_Rating_Documents/Library/General/Energy_Rating/ERL-Review_Final-Report.pdf&amp;sa=U&amp;ei=BlDzVPeYM7DlsAShqYCwBw&amp;ved=0CAUQFjAA&amp;client=internal-uds-cse&amp;usg=AFQjCNG3n0ICwhNZn1Lt6tkJL8WrVEytzw" TargetMode="External"/><Relationship Id="rId32" Type="http://schemas.openxmlformats.org/officeDocument/2006/relationships/hyperlink" Target="http://www.ecodesign-wp3.eu/" TargetMode="External"/><Relationship Id="rId5" Type="http://schemas.openxmlformats.org/officeDocument/2006/relationships/hyperlink" Target="http://www.comlaw.gov.au/Details/C2012A00132" TargetMode="External"/><Relationship Id="rId15" Type="http://schemas.openxmlformats.org/officeDocument/2006/relationships/hyperlink" Target="http://www.ecofys.com/files/files/final_technical_report-evaluation_eld_ed_june_2014.pdf" TargetMode="External"/><Relationship Id="rId23" Type="http://schemas.openxmlformats.org/officeDocument/2006/relationships/hyperlink" Target="http://www.energywise.govt.nz/energy-star" TargetMode="External"/><Relationship Id="rId28" Type="http://schemas.openxmlformats.org/officeDocument/2006/relationships/hyperlink" Target="https://www.coag.gov.au/node/516" TargetMode="External"/><Relationship Id="rId10" Type="http://schemas.openxmlformats.org/officeDocument/2006/relationships/hyperlink" Target="https://www.google.co.uk/url?sa=t&amp;rct=j&amp;q=&amp;esrc=s&amp;frm=1&amp;source=web&amp;cd=1&amp;cad=rja&amp;uact=8&amp;ved=0CCEQFjAA&amp;url=https%3A%2F%2Fwww.coag.gov.au%2Fsites%2Fdefault%2Ffiles%2Fcoag_documents%2FCOAG_best_practice_guide_2007.pdf&amp;ei=40S2VO22KYK5UZfDgbgB&amp;usg=AFQjCNEKCu63wgo3GD139AsEa9Paci3naQ&amp;sig2=PeYgpZ-WCEYRxkeoF174XQ" TargetMode="External"/><Relationship Id="rId19" Type="http://schemas.openxmlformats.org/officeDocument/2006/relationships/hyperlink" Target="http://www.google.co.uk/url?sa=t&amp;rct=j&amp;q=&amp;esrc=s&amp;frm=1&amp;source=web&amp;cd=1&amp;ved=0CCUQFjAA&amp;url=http%3A%2F%2Fwww.coolproducts.eu%2Fresources%2Fdocuments%2FInternational-Comparison.pdf&amp;ei=uGLjVIDPGtLhateWgsgI&amp;usg=AFQjCNHBsyPSwvxxafJhjE-AhUlvWmLRUw&amp;sig2=e0Faxe5G03ypk1m-iluhwQ&amp;bvm=bv.85970519,d.d24" TargetMode="External"/><Relationship Id="rId31" Type="http://schemas.openxmlformats.org/officeDocument/2006/relationships/hyperlink" Target="http://energy.gov/eere/buildings/plans-and-schedules" TargetMode="External"/><Relationship Id="rId4" Type="http://schemas.openxmlformats.org/officeDocument/2006/relationships/hyperlink" Target="http://unfccc.int/2860.php" TargetMode="External"/><Relationship Id="rId9" Type="http://schemas.openxmlformats.org/officeDocument/2006/relationships/hyperlink" Target="http://climatechange.gov.au/communiqu%C3%A9-0" TargetMode="External"/><Relationship Id="rId14" Type="http://schemas.openxmlformats.org/officeDocument/2006/relationships/hyperlink" Target="http://www.ewp.industry.gov.au/" TargetMode="External"/><Relationship Id="rId22" Type="http://schemas.openxmlformats.org/officeDocument/2006/relationships/hyperlink" Target="http://www.eeca.govt.nz/standards-and-ratings/energy-star" TargetMode="External"/><Relationship Id="rId27" Type="http://schemas.openxmlformats.org/officeDocument/2006/relationships/hyperlink" Target="http://www.dpmc.gov.au/sites/default/files/publications/005_Regulatory_Burden_Measurement_Framework.pdf" TargetMode="External"/><Relationship Id="rId30" Type="http://schemas.openxmlformats.org/officeDocument/2006/relationships/hyperlink" Target="http://www.environment.gov.au/protection/ozone/legislation" TargetMode="External"/><Relationship Id="rId35" Type="http://schemas.openxmlformats.org/officeDocument/2006/relationships/hyperlink" Target="http://www.energyrating.gov.au/archives/fact-sheets/?viewPublicationID=2528" TargetMode="External"/><Relationship Id="rId8" Type="http://schemas.openxmlformats.org/officeDocument/2006/relationships/hyperlink" Target="http://www.industry.gov.au/Energy/EnergyEfficiency/Pages/NationalStrategyEnergyEfficiency.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chel.clarkson.David-11.001\Documents\Rachel\Admin\Australia%20Databuild%20Template%20v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1248A5C3-CB37-4747-8EBB-47B72D3AD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Australia Databuild Template v1.1</Template>
  <TotalTime>0</TotalTime>
  <Pages>89</Pages>
  <Words>32484</Words>
  <Characters>185164</Characters>
  <Application>Microsoft Office Word</Application>
  <DocSecurity>0</DocSecurity>
  <Lines>1543</Lines>
  <Paragraphs>434</Paragraphs>
  <ScaleCrop>false</ScaleCrop>
  <HeadingPairs>
    <vt:vector size="2" baseType="variant">
      <vt:variant>
        <vt:lpstr>Title</vt:lpstr>
      </vt:variant>
      <vt:variant>
        <vt:i4>1</vt:i4>
      </vt:variant>
    </vt:vector>
  </HeadingPairs>
  <TitlesOfParts>
    <vt:vector size="1" baseType="lpstr">
      <vt:lpstr/>
    </vt:vector>
  </TitlesOfParts>
  <Company>INDUSTRY</Company>
  <LinksUpToDate>false</LinksUpToDate>
  <CharactersWithSpaces>217214</CharactersWithSpaces>
  <SharedDoc>false</SharedDoc>
  <HLinks>
    <vt:vector size="648" baseType="variant">
      <vt:variant>
        <vt:i4>7471206</vt:i4>
      </vt:variant>
      <vt:variant>
        <vt:i4>435</vt:i4>
      </vt:variant>
      <vt:variant>
        <vt:i4>0</vt:i4>
      </vt:variant>
      <vt:variant>
        <vt:i4>5</vt:i4>
      </vt:variant>
      <vt:variant>
        <vt:lpwstr>http://saplan.org.au/media/BAhbBlsHOgZmSSIhMjAxMS8xMS8wNC8wMV8wMl8xNF8yMjNfZmlsZQY6BkVU/01_02_14_223_file</vt:lpwstr>
      </vt:variant>
      <vt:variant>
        <vt:lpwstr/>
      </vt:variant>
      <vt:variant>
        <vt:i4>1900603</vt:i4>
      </vt:variant>
      <vt:variant>
        <vt:i4>428</vt:i4>
      </vt:variant>
      <vt:variant>
        <vt:i4>0</vt:i4>
      </vt:variant>
      <vt:variant>
        <vt:i4>5</vt:i4>
      </vt:variant>
      <vt:variant>
        <vt:lpwstr/>
      </vt:variant>
      <vt:variant>
        <vt:lpwstr>_Toc422298423</vt:lpwstr>
      </vt:variant>
      <vt:variant>
        <vt:i4>1900603</vt:i4>
      </vt:variant>
      <vt:variant>
        <vt:i4>422</vt:i4>
      </vt:variant>
      <vt:variant>
        <vt:i4>0</vt:i4>
      </vt:variant>
      <vt:variant>
        <vt:i4>5</vt:i4>
      </vt:variant>
      <vt:variant>
        <vt:lpwstr/>
      </vt:variant>
      <vt:variant>
        <vt:lpwstr>_Toc422298422</vt:lpwstr>
      </vt:variant>
      <vt:variant>
        <vt:i4>1900603</vt:i4>
      </vt:variant>
      <vt:variant>
        <vt:i4>416</vt:i4>
      </vt:variant>
      <vt:variant>
        <vt:i4>0</vt:i4>
      </vt:variant>
      <vt:variant>
        <vt:i4>5</vt:i4>
      </vt:variant>
      <vt:variant>
        <vt:lpwstr/>
      </vt:variant>
      <vt:variant>
        <vt:lpwstr>_Toc422298421</vt:lpwstr>
      </vt:variant>
      <vt:variant>
        <vt:i4>1900603</vt:i4>
      </vt:variant>
      <vt:variant>
        <vt:i4>410</vt:i4>
      </vt:variant>
      <vt:variant>
        <vt:i4>0</vt:i4>
      </vt:variant>
      <vt:variant>
        <vt:i4>5</vt:i4>
      </vt:variant>
      <vt:variant>
        <vt:lpwstr/>
      </vt:variant>
      <vt:variant>
        <vt:lpwstr>_Toc422298420</vt:lpwstr>
      </vt:variant>
      <vt:variant>
        <vt:i4>1966139</vt:i4>
      </vt:variant>
      <vt:variant>
        <vt:i4>404</vt:i4>
      </vt:variant>
      <vt:variant>
        <vt:i4>0</vt:i4>
      </vt:variant>
      <vt:variant>
        <vt:i4>5</vt:i4>
      </vt:variant>
      <vt:variant>
        <vt:lpwstr/>
      </vt:variant>
      <vt:variant>
        <vt:lpwstr>_Toc422298419</vt:lpwstr>
      </vt:variant>
      <vt:variant>
        <vt:i4>1966139</vt:i4>
      </vt:variant>
      <vt:variant>
        <vt:i4>398</vt:i4>
      </vt:variant>
      <vt:variant>
        <vt:i4>0</vt:i4>
      </vt:variant>
      <vt:variant>
        <vt:i4>5</vt:i4>
      </vt:variant>
      <vt:variant>
        <vt:lpwstr/>
      </vt:variant>
      <vt:variant>
        <vt:lpwstr>_Toc422298418</vt:lpwstr>
      </vt:variant>
      <vt:variant>
        <vt:i4>1966139</vt:i4>
      </vt:variant>
      <vt:variant>
        <vt:i4>392</vt:i4>
      </vt:variant>
      <vt:variant>
        <vt:i4>0</vt:i4>
      </vt:variant>
      <vt:variant>
        <vt:i4>5</vt:i4>
      </vt:variant>
      <vt:variant>
        <vt:lpwstr/>
      </vt:variant>
      <vt:variant>
        <vt:lpwstr>_Toc422298417</vt:lpwstr>
      </vt:variant>
      <vt:variant>
        <vt:i4>1966139</vt:i4>
      </vt:variant>
      <vt:variant>
        <vt:i4>386</vt:i4>
      </vt:variant>
      <vt:variant>
        <vt:i4>0</vt:i4>
      </vt:variant>
      <vt:variant>
        <vt:i4>5</vt:i4>
      </vt:variant>
      <vt:variant>
        <vt:lpwstr/>
      </vt:variant>
      <vt:variant>
        <vt:lpwstr>_Toc422298416</vt:lpwstr>
      </vt:variant>
      <vt:variant>
        <vt:i4>1966139</vt:i4>
      </vt:variant>
      <vt:variant>
        <vt:i4>380</vt:i4>
      </vt:variant>
      <vt:variant>
        <vt:i4>0</vt:i4>
      </vt:variant>
      <vt:variant>
        <vt:i4>5</vt:i4>
      </vt:variant>
      <vt:variant>
        <vt:lpwstr/>
      </vt:variant>
      <vt:variant>
        <vt:lpwstr>_Toc422298415</vt:lpwstr>
      </vt:variant>
      <vt:variant>
        <vt:i4>1966139</vt:i4>
      </vt:variant>
      <vt:variant>
        <vt:i4>374</vt:i4>
      </vt:variant>
      <vt:variant>
        <vt:i4>0</vt:i4>
      </vt:variant>
      <vt:variant>
        <vt:i4>5</vt:i4>
      </vt:variant>
      <vt:variant>
        <vt:lpwstr/>
      </vt:variant>
      <vt:variant>
        <vt:lpwstr>_Toc422298414</vt:lpwstr>
      </vt:variant>
      <vt:variant>
        <vt:i4>1966139</vt:i4>
      </vt:variant>
      <vt:variant>
        <vt:i4>368</vt:i4>
      </vt:variant>
      <vt:variant>
        <vt:i4>0</vt:i4>
      </vt:variant>
      <vt:variant>
        <vt:i4>5</vt:i4>
      </vt:variant>
      <vt:variant>
        <vt:lpwstr/>
      </vt:variant>
      <vt:variant>
        <vt:lpwstr>_Toc422298413</vt:lpwstr>
      </vt:variant>
      <vt:variant>
        <vt:i4>1966139</vt:i4>
      </vt:variant>
      <vt:variant>
        <vt:i4>362</vt:i4>
      </vt:variant>
      <vt:variant>
        <vt:i4>0</vt:i4>
      </vt:variant>
      <vt:variant>
        <vt:i4>5</vt:i4>
      </vt:variant>
      <vt:variant>
        <vt:lpwstr/>
      </vt:variant>
      <vt:variant>
        <vt:lpwstr>_Toc422298412</vt:lpwstr>
      </vt:variant>
      <vt:variant>
        <vt:i4>1966139</vt:i4>
      </vt:variant>
      <vt:variant>
        <vt:i4>356</vt:i4>
      </vt:variant>
      <vt:variant>
        <vt:i4>0</vt:i4>
      </vt:variant>
      <vt:variant>
        <vt:i4>5</vt:i4>
      </vt:variant>
      <vt:variant>
        <vt:lpwstr/>
      </vt:variant>
      <vt:variant>
        <vt:lpwstr>_Toc422298411</vt:lpwstr>
      </vt:variant>
      <vt:variant>
        <vt:i4>1966139</vt:i4>
      </vt:variant>
      <vt:variant>
        <vt:i4>350</vt:i4>
      </vt:variant>
      <vt:variant>
        <vt:i4>0</vt:i4>
      </vt:variant>
      <vt:variant>
        <vt:i4>5</vt:i4>
      </vt:variant>
      <vt:variant>
        <vt:lpwstr/>
      </vt:variant>
      <vt:variant>
        <vt:lpwstr>_Toc422298410</vt:lpwstr>
      </vt:variant>
      <vt:variant>
        <vt:i4>2031675</vt:i4>
      </vt:variant>
      <vt:variant>
        <vt:i4>344</vt:i4>
      </vt:variant>
      <vt:variant>
        <vt:i4>0</vt:i4>
      </vt:variant>
      <vt:variant>
        <vt:i4>5</vt:i4>
      </vt:variant>
      <vt:variant>
        <vt:lpwstr/>
      </vt:variant>
      <vt:variant>
        <vt:lpwstr>_Toc422298409</vt:lpwstr>
      </vt:variant>
      <vt:variant>
        <vt:i4>2031675</vt:i4>
      </vt:variant>
      <vt:variant>
        <vt:i4>338</vt:i4>
      </vt:variant>
      <vt:variant>
        <vt:i4>0</vt:i4>
      </vt:variant>
      <vt:variant>
        <vt:i4>5</vt:i4>
      </vt:variant>
      <vt:variant>
        <vt:lpwstr/>
      </vt:variant>
      <vt:variant>
        <vt:lpwstr>_Toc422298408</vt:lpwstr>
      </vt:variant>
      <vt:variant>
        <vt:i4>2031675</vt:i4>
      </vt:variant>
      <vt:variant>
        <vt:i4>332</vt:i4>
      </vt:variant>
      <vt:variant>
        <vt:i4>0</vt:i4>
      </vt:variant>
      <vt:variant>
        <vt:i4>5</vt:i4>
      </vt:variant>
      <vt:variant>
        <vt:lpwstr/>
      </vt:variant>
      <vt:variant>
        <vt:lpwstr>_Toc422298407</vt:lpwstr>
      </vt:variant>
      <vt:variant>
        <vt:i4>2031675</vt:i4>
      </vt:variant>
      <vt:variant>
        <vt:i4>326</vt:i4>
      </vt:variant>
      <vt:variant>
        <vt:i4>0</vt:i4>
      </vt:variant>
      <vt:variant>
        <vt:i4>5</vt:i4>
      </vt:variant>
      <vt:variant>
        <vt:lpwstr/>
      </vt:variant>
      <vt:variant>
        <vt:lpwstr>_Toc422298406</vt:lpwstr>
      </vt:variant>
      <vt:variant>
        <vt:i4>2031675</vt:i4>
      </vt:variant>
      <vt:variant>
        <vt:i4>320</vt:i4>
      </vt:variant>
      <vt:variant>
        <vt:i4>0</vt:i4>
      </vt:variant>
      <vt:variant>
        <vt:i4>5</vt:i4>
      </vt:variant>
      <vt:variant>
        <vt:lpwstr/>
      </vt:variant>
      <vt:variant>
        <vt:lpwstr>_Toc422298405</vt:lpwstr>
      </vt:variant>
      <vt:variant>
        <vt:i4>2031675</vt:i4>
      </vt:variant>
      <vt:variant>
        <vt:i4>314</vt:i4>
      </vt:variant>
      <vt:variant>
        <vt:i4>0</vt:i4>
      </vt:variant>
      <vt:variant>
        <vt:i4>5</vt:i4>
      </vt:variant>
      <vt:variant>
        <vt:lpwstr/>
      </vt:variant>
      <vt:variant>
        <vt:lpwstr>_Toc422298404</vt:lpwstr>
      </vt:variant>
      <vt:variant>
        <vt:i4>2031675</vt:i4>
      </vt:variant>
      <vt:variant>
        <vt:i4>308</vt:i4>
      </vt:variant>
      <vt:variant>
        <vt:i4>0</vt:i4>
      </vt:variant>
      <vt:variant>
        <vt:i4>5</vt:i4>
      </vt:variant>
      <vt:variant>
        <vt:lpwstr/>
      </vt:variant>
      <vt:variant>
        <vt:lpwstr>_Toc422298403</vt:lpwstr>
      </vt:variant>
      <vt:variant>
        <vt:i4>2031675</vt:i4>
      </vt:variant>
      <vt:variant>
        <vt:i4>302</vt:i4>
      </vt:variant>
      <vt:variant>
        <vt:i4>0</vt:i4>
      </vt:variant>
      <vt:variant>
        <vt:i4>5</vt:i4>
      </vt:variant>
      <vt:variant>
        <vt:lpwstr/>
      </vt:variant>
      <vt:variant>
        <vt:lpwstr>_Toc422298402</vt:lpwstr>
      </vt:variant>
      <vt:variant>
        <vt:i4>2031675</vt:i4>
      </vt:variant>
      <vt:variant>
        <vt:i4>296</vt:i4>
      </vt:variant>
      <vt:variant>
        <vt:i4>0</vt:i4>
      </vt:variant>
      <vt:variant>
        <vt:i4>5</vt:i4>
      </vt:variant>
      <vt:variant>
        <vt:lpwstr/>
      </vt:variant>
      <vt:variant>
        <vt:lpwstr>_Toc422298401</vt:lpwstr>
      </vt:variant>
      <vt:variant>
        <vt:i4>2031675</vt:i4>
      </vt:variant>
      <vt:variant>
        <vt:i4>290</vt:i4>
      </vt:variant>
      <vt:variant>
        <vt:i4>0</vt:i4>
      </vt:variant>
      <vt:variant>
        <vt:i4>5</vt:i4>
      </vt:variant>
      <vt:variant>
        <vt:lpwstr/>
      </vt:variant>
      <vt:variant>
        <vt:lpwstr>_Toc422298400</vt:lpwstr>
      </vt:variant>
      <vt:variant>
        <vt:i4>1441852</vt:i4>
      </vt:variant>
      <vt:variant>
        <vt:i4>284</vt:i4>
      </vt:variant>
      <vt:variant>
        <vt:i4>0</vt:i4>
      </vt:variant>
      <vt:variant>
        <vt:i4>5</vt:i4>
      </vt:variant>
      <vt:variant>
        <vt:lpwstr/>
      </vt:variant>
      <vt:variant>
        <vt:lpwstr>_Toc422298399</vt:lpwstr>
      </vt:variant>
      <vt:variant>
        <vt:i4>1441852</vt:i4>
      </vt:variant>
      <vt:variant>
        <vt:i4>278</vt:i4>
      </vt:variant>
      <vt:variant>
        <vt:i4>0</vt:i4>
      </vt:variant>
      <vt:variant>
        <vt:i4>5</vt:i4>
      </vt:variant>
      <vt:variant>
        <vt:lpwstr/>
      </vt:variant>
      <vt:variant>
        <vt:lpwstr>_Toc422298398</vt:lpwstr>
      </vt:variant>
      <vt:variant>
        <vt:i4>1441852</vt:i4>
      </vt:variant>
      <vt:variant>
        <vt:i4>272</vt:i4>
      </vt:variant>
      <vt:variant>
        <vt:i4>0</vt:i4>
      </vt:variant>
      <vt:variant>
        <vt:i4>5</vt:i4>
      </vt:variant>
      <vt:variant>
        <vt:lpwstr/>
      </vt:variant>
      <vt:variant>
        <vt:lpwstr>_Toc422298397</vt:lpwstr>
      </vt:variant>
      <vt:variant>
        <vt:i4>1441852</vt:i4>
      </vt:variant>
      <vt:variant>
        <vt:i4>266</vt:i4>
      </vt:variant>
      <vt:variant>
        <vt:i4>0</vt:i4>
      </vt:variant>
      <vt:variant>
        <vt:i4>5</vt:i4>
      </vt:variant>
      <vt:variant>
        <vt:lpwstr/>
      </vt:variant>
      <vt:variant>
        <vt:lpwstr>_Toc422298396</vt:lpwstr>
      </vt:variant>
      <vt:variant>
        <vt:i4>1441852</vt:i4>
      </vt:variant>
      <vt:variant>
        <vt:i4>260</vt:i4>
      </vt:variant>
      <vt:variant>
        <vt:i4>0</vt:i4>
      </vt:variant>
      <vt:variant>
        <vt:i4>5</vt:i4>
      </vt:variant>
      <vt:variant>
        <vt:lpwstr/>
      </vt:variant>
      <vt:variant>
        <vt:lpwstr>_Toc422298395</vt:lpwstr>
      </vt:variant>
      <vt:variant>
        <vt:i4>1441852</vt:i4>
      </vt:variant>
      <vt:variant>
        <vt:i4>254</vt:i4>
      </vt:variant>
      <vt:variant>
        <vt:i4>0</vt:i4>
      </vt:variant>
      <vt:variant>
        <vt:i4>5</vt:i4>
      </vt:variant>
      <vt:variant>
        <vt:lpwstr/>
      </vt:variant>
      <vt:variant>
        <vt:lpwstr>_Toc422298394</vt:lpwstr>
      </vt:variant>
      <vt:variant>
        <vt:i4>1441852</vt:i4>
      </vt:variant>
      <vt:variant>
        <vt:i4>248</vt:i4>
      </vt:variant>
      <vt:variant>
        <vt:i4>0</vt:i4>
      </vt:variant>
      <vt:variant>
        <vt:i4>5</vt:i4>
      </vt:variant>
      <vt:variant>
        <vt:lpwstr/>
      </vt:variant>
      <vt:variant>
        <vt:lpwstr>_Toc422298393</vt:lpwstr>
      </vt:variant>
      <vt:variant>
        <vt:i4>1441852</vt:i4>
      </vt:variant>
      <vt:variant>
        <vt:i4>242</vt:i4>
      </vt:variant>
      <vt:variant>
        <vt:i4>0</vt:i4>
      </vt:variant>
      <vt:variant>
        <vt:i4>5</vt:i4>
      </vt:variant>
      <vt:variant>
        <vt:lpwstr/>
      </vt:variant>
      <vt:variant>
        <vt:lpwstr>_Toc422298392</vt:lpwstr>
      </vt:variant>
      <vt:variant>
        <vt:i4>1441852</vt:i4>
      </vt:variant>
      <vt:variant>
        <vt:i4>236</vt:i4>
      </vt:variant>
      <vt:variant>
        <vt:i4>0</vt:i4>
      </vt:variant>
      <vt:variant>
        <vt:i4>5</vt:i4>
      </vt:variant>
      <vt:variant>
        <vt:lpwstr/>
      </vt:variant>
      <vt:variant>
        <vt:lpwstr>_Toc422298391</vt:lpwstr>
      </vt:variant>
      <vt:variant>
        <vt:i4>1441852</vt:i4>
      </vt:variant>
      <vt:variant>
        <vt:i4>230</vt:i4>
      </vt:variant>
      <vt:variant>
        <vt:i4>0</vt:i4>
      </vt:variant>
      <vt:variant>
        <vt:i4>5</vt:i4>
      </vt:variant>
      <vt:variant>
        <vt:lpwstr/>
      </vt:variant>
      <vt:variant>
        <vt:lpwstr>_Toc422298390</vt:lpwstr>
      </vt:variant>
      <vt:variant>
        <vt:i4>1507388</vt:i4>
      </vt:variant>
      <vt:variant>
        <vt:i4>224</vt:i4>
      </vt:variant>
      <vt:variant>
        <vt:i4>0</vt:i4>
      </vt:variant>
      <vt:variant>
        <vt:i4>5</vt:i4>
      </vt:variant>
      <vt:variant>
        <vt:lpwstr/>
      </vt:variant>
      <vt:variant>
        <vt:lpwstr>_Toc422298389</vt:lpwstr>
      </vt:variant>
      <vt:variant>
        <vt:i4>1507388</vt:i4>
      </vt:variant>
      <vt:variant>
        <vt:i4>218</vt:i4>
      </vt:variant>
      <vt:variant>
        <vt:i4>0</vt:i4>
      </vt:variant>
      <vt:variant>
        <vt:i4>5</vt:i4>
      </vt:variant>
      <vt:variant>
        <vt:lpwstr/>
      </vt:variant>
      <vt:variant>
        <vt:lpwstr>_Toc422298388</vt:lpwstr>
      </vt:variant>
      <vt:variant>
        <vt:i4>1507388</vt:i4>
      </vt:variant>
      <vt:variant>
        <vt:i4>212</vt:i4>
      </vt:variant>
      <vt:variant>
        <vt:i4>0</vt:i4>
      </vt:variant>
      <vt:variant>
        <vt:i4>5</vt:i4>
      </vt:variant>
      <vt:variant>
        <vt:lpwstr/>
      </vt:variant>
      <vt:variant>
        <vt:lpwstr>_Toc422298387</vt:lpwstr>
      </vt:variant>
      <vt:variant>
        <vt:i4>1507388</vt:i4>
      </vt:variant>
      <vt:variant>
        <vt:i4>206</vt:i4>
      </vt:variant>
      <vt:variant>
        <vt:i4>0</vt:i4>
      </vt:variant>
      <vt:variant>
        <vt:i4>5</vt:i4>
      </vt:variant>
      <vt:variant>
        <vt:lpwstr/>
      </vt:variant>
      <vt:variant>
        <vt:lpwstr>_Toc422298386</vt:lpwstr>
      </vt:variant>
      <vt:variant>
        <vt:i4>1507388</vt:i4>
      </vt:variant>
      <vt:variant>
        <vt:i4>200</vt:i4>
      </vt:variant>
      <vt:variant>
        <vt:i4>0</vt:i4>
      </vt:variant>
      <vt:variant>
        <vt:i4>5</vt:i4>
      </vt:variant>
      <vt:variant>
        <vt:lpwstr/>
      </vt:variant>
      <vt:variant>
        <vt:lpwstr>_Toc422298385</vt:lpwstr>
      </vt:variant>
      <vt:variant>
        <vt:i4>1507388</vt:i4>
      </vt:variant>
      <vt:variant>
        <vt:i4>194</vt:i4>
      </vt:variant>
      <vt:variant>
        <vt:i4>0</vt:i4>
      </vt:variant>
      <vt:variant>
        <vt:i4>5</vt:i4>
      </vt:variant>
      <vt:variant>
        <vt:lpwstr/>
      </vt:variant>
      <vt:variant>
        <vt:lpwstr>_Toc422298384</vt:lpwstr>
      </vt:variant>
      <vt:variant>
        <vt:i4>1507388</vt:i4>
      </vt:variant>
      <vt:variant>
        <vt:i4>188</vt:i4>
      </vt:variant>
      <vt:variant>
        <vt:i4>0</vt:i4>
      </vt:variant>
      <vt:variant>
        <vt:i4>5</vt:i4>
      </vt:variant>
      <vt:variant>
        <vt:lpwstr/>
      </vt:variant>
      <vt:variant>
        <vt:lpwstr>_Toc422298383</vt:lpwstr>
      </vt:variant>
      <vt:variant>
        <vt:i4>1507388</vt:i4>
      </vt:variant>
      <vt:variant>
        <vt:i4>182</vt:i4>
      </vt:variant>
      <vt:variant>
        <vt:i4>0</vt:i4>
      </vt:variant>
      <vt:variant>
        <vt:i4>5</vt:i4>
      </vt:variant>
      <vt:variant>
        <vt:lpwstr/>
      </vt:variant>
      <vt:variant>
        <vt:lpwstr>_Toc422298382</vt:lpwstr>
      </vt:variant>
      <vt:variant>
        <vt:i4>1507388</vt:i4>
      </vt:variant>
      <vt:variant>
        <vt:i4>176</vt:i4>
      </vt:variant>
      <vt:variant>
        <vt:i4>0</vt:i4>
      </vt:variant>
      <vt:variant>
        <vt:i4>5</vt:i4>
      </vt:variant>
      <vt:variant>
        <vt:lpwstr/>
      </vt:variant>
      <vt:variant>
        <vt:lpwstr>_Toc422298381</vt:lpwstr>
      </vt:variant>
      <vt:variant>
        <vt:i4>1507388</vt:i4>
      </vt:variant>
      <vt:variant>
        <vt:i4>170</vt:i4>
      </vt:variant>
      <vt:variant>
        <vt:i4>0</vt:i4>
      </vt:variant>
      <vt:variant>
        <vt:i4>5</vt:i4>
      </vt:variant>
      <vt:variant>
        <vt:lpwstr/>
      </vt:variant>
      <vt:variant>
        <vt:lpwstr>_Toc422298380</vt:lpwstr>
      </vt:variant>
      <vt:variant>
        <vt:i4>1572924</vt:i4>
      </vt:variant>
      <vt:variant>
        <vt:i4>164</vt:i4>
      </vt:variant>
      <vt:variant>
        <vt:i4>0</vt:i4>
      </vt:variant>
      <vt:variant>
        <vt:i4>5</vt:i4>
      </vt:variant>
      <vt:variant>
        <vt:lpwstr/>
      </vt:variant>
      <vt:variant>
        <vt:lpwstr>_Toc422298379</vt:lpwstr>
      </vt:variant>
      <vt:variant>
        <vt:i4>1572924</vt:i4>
      </vt:variant>
      <vt:variant>
        <vt:i4>158</vt:i4>
      </vt:variant>
      <vt:variant>
        <vt:i4>0</vt:i4>
      </vt:variant>
      <vt:variant>
        <vt:i4>5</vt:i4>
      </vt:variant>
      <vt:variant>
        <vt:lpwstr/>
      </vt:variant>
      <vt:variant>
        <vt:lpwstr>_Toc422298378</vt:lpwstr>
      </vt:variant>
      <vt:variant>
        <vt:i4>1572924</vt:i4>
      </vt:variant>
      <vt:variant>
        <vt:i4>152</vt:i4>
      </vt:variant>
      <vt:variant>
        <vt:i4>0</vt:i4>
      </vt:variant>
      <vt:variant>
        <vt:i4>5</vt:i4>
      </vt:variant>
      <vt:variant>
        <vt:lpwstr/>
      </vt:variant>
      <vt:variant>
        <vt:lpwstr>_Toc422298377</vt:lpwstr>
      </vt:variant>
      <vt:variant>
        <vt:i4>1572924</vt:i4>
      </vt:variant>
      <vt:variant>
        <vt:i4>146</vt:i4>
      </vt:variant>
      <vt:variant>
        <vt:i4>0</vt:i4>
      </vt:variant>
      <vt:variant>
        <vt:i4>5</vt:i4>
      </vt:variant>
      <vt:variant>
        <vt:lpwstr/>
      </vt:variant>
      <vt:variant>
        <vt:lpwstr>_Toc422298376</vt:lpwstr>
      </vt:variant>
      <vt:variant>
        <vt:i4>1572924</vt:i4>
      </vt:variant>
      <vt:variant>
        <vt:i4>140</vt:i4>
      </vt:variant>
      <vt:variant>
        <vt:i4>0</vt:i4>
      </vt:variant>
      <vt:variant>
        <vt:i4>5</vt:i4>
      </vt:variant>
      <vt:variant>
        <vt:lpwstr/>
      </vt:variant>
      <vt:variant>
        <vt:lpwstr>_Toc422298375</vt:lpwstr>
      </vt:variant>
      <vt:variant>
        <vt:i4>1572924</vt:i4>
      </vt:variant>
      <vt:variant>
        <vt:i4>134</vt:i4>
      </vt:variant>
      <vt:variant>
        <vt:i4>0</vt:i4>
      </vt:variant>
      <vt:variant>
        <vt:i4>5</vt:i4>
      </vt:variant>
      <vt:variant>
        <vt:lpwstr/>
      </vt:variant>
      <vt:variant>
        <vt:lpwstr>_Toc422298374</vt:lpwstr>
      </vt:variant>
      <vt:variant>
        <vt:i4>1572924</vt:i4>
      </vt:variant>
      <vt:variant>
        <vt:i4>128</vt:i4>
      </vt:variant>
      <vt:variant>
        <vt:i4>0</vt:i4>
      </vt:variant>
      <vt:variant>
        <vt:i4>5</vt:i4>
      </vt:variant>
      <vt:variant>
        <vt:lpwstr/>
      </vt:variant>
      <vt:variant>
        <vt:lpwstr>_Toc422298373</vt:lpwstr>
      </vt:variant>
      <vt:variant>
        <vt:i4>1572924</vt:i4>
      </vt:variant>
      <vt:variant>
        <vt:i4>122</vt:i4>
      </vt:variant>
      <vt:variant>
        <vt:i4>0</vt:i4>
      </vt:variant>
      <vt:variant>
        <vt:i4>5</vt:i4>
      </vt:variant>
      <vt:variant>
        <vt:lpwstr/>
      </vt:variant>
      <vt:variant>
        <vt:lpwstr>_Toc422298372</vt:lpwstr>
      </vt:variant>
      <vt:variant>
        <vt:i4>1572924</vt:i4>
      </vt:variant>
      <vt:variant>
        <vt:i4>116</vt:i4>
      </vt:variant>
      <vt:variant>
        <vt:i4>0</vt:i4>
      </vt:variant>
      <vt:variant>
        <vt:i4>5</vt:i4>
      </vt:variant>
      <vt:variant>
        <vt:lpwstr/>
      </vt:variant>
      <vt:variant>
        <vt:lpwstr>_Toc422298371</vt:lpwstr>
      </vt:variant>
      <vt:variant>
        <vt:i4>1572924</vt:i4>
      </vt:variant>
      <vt:variant>
        <vt:i4>110</vt:i4>
      </vt:variant>
      <vt:variant>
        <vt:i4>0</vt:i4>
      </vt:variant>
      <vt:variant>
        <vt:i4>5</vt:i4>
      </vt:variant>
      <vt:variant>
        <vt:lpwstr/>
      </vt:variant>
      <vt:variant>
        <vt:lpwstr>_Toc422298370</vt:lpwstr>
      </vt:variant>
      <vt:variant>
        <vt:i4>1638460</vt:i4>
      </vt:variant>
      <vt:variant>
        <vt:i4>104</vt:i4>
      </vt:variant>
      <vt:variant>
        <vt:i4>0</vt:i4>
      </vt:variant>
      <vt:variant>
        <vt:i4>5</vt:i4>
      </vt:variant>
      <vt:variant>
        <vt:lpwstr/>
      </vt:variant>
      <vt:variant>
        <vt:lpwstr>_Toc422298369</vt:lpwstr>
      </vt:variant>
      <vt:variant>
        <vt:i4>1638460</vt:i4>
      </vt:variant>
      <vt:variant>
        <vt:i4>98</vt:i4>
      </vt:variant>
      <vt:variant>
        <vt:i4>0</vt:i4>
      </vt:variant>
      <vt:variant>
        <vt:i4>5</vt:i4>
      </vt:variant>
      <vt:variant>
        <vt:lpwstr/>
      </vt:variant>
      <vt:variant>
        <vt:lpwstr>_Toc422298368</vt:lpwstr>
      </vt:variant>
      <vt:variant>
        <vt:i4>1638460</vt:i4>
      </vt:variant>
      <vt:variant>
        <vt:i4>92</vt:i4>
      </vt:variant>
      <vt:variant>
        <vt:i4>0</vt:i4>
      </vt:variant>
      <vt:variant>
        <vt:i4>5</vt:i4>
      </vt:variant>
      <vt:variant>
        <vt:lpwstr/>
      </vt:variant>
      <vt:variant>
        <vt:lpwstr>_Toc422298367</vt:lpwstr>
      </vt:variant>
      <vt:variant>
        <vt:i4>1638460</vt:i4>
      </vt:variant>
      <vt:variant>
        <vt:i4>86</vt:i4>
      </vt:variant>
      <vt:variant>
        <vt:i4>0</vt:i4>
      </vt:variant>
      <vt:variant>
        <vt:i4>5</vt:i4>
      </vt:variant>
      <vt:variant>
        <vt:lpwstr/>
      </vt:variant>
      <vt:variant>
        <vt:lpwstr>_Toc422298366</vt:lpwstr>
      </vt:variant>
      <vt:variant>
        <vt:i4>1638460</vt:i4>
      </vt:variant>
      <vt:variant>
        <vt:i4>80</vt:i4>
      </vt:variant>
      <vt:variant>
        <vt:i4>0</vt:i4>
      </vt:variant>
      <vt:variant>
        <vt:i4>5</vt:i4>
      </vt:variant>
      <vt:variant>
        <vt:lpwstr/>
      </vt:variant>
      <vt:variant>
        <vt:lpwstr>_Toc422298365</vt:lpwstr>
      </vt:variant>
      <vt:variant>
        <vt:i4>1638460</vt:i4>
      </vt:variant>
      <vt:variant>
        <vt:i4>74</vt:i4>
      </vt:variant>
      <vt:variant>
        <vt:i4>0</vt:i4>
      </vt:variant>
      <vt:variant>
        <vt:i4>5</vt:i4>
      </vt:variant>
      <vt:variant>
        <vt:lpwstr/>
      </vt:variant>
      <vt:variant>
        <vt:lpwstr>_Toc422298364</vt:lpwstr>
      </vt:variant>
      <vt:variant>
        <vt:i4>1638460</vt:i4>
      </vt:variant>
      <vt:variant>
        <vt:i4>68</vt:i4>
      </vt:variant>
      <vt:variant>
        <vt:i4>0</vt:i4>
      </vt:variant>
      <vt:variant>
        <vt:i4>5</vt:i4>
      </vt:variant>
      <vt:variant>
        <vt:lpwstr/>
      </vt:variant>
      <vt:variant>
        <vt:lpwstr>_Toc422298363</vt:lpwstr>
      </vt:variant>
      <vt:variant>
        <vt:i4>1638460</vt:i4>
      </vt:variant>
      <vt:variant>
        <vt:i4>62</vt:i4>
      </vt:variant>
      <vt:variant>
        <vt:i4>0</vt:i4>
      </vt:variant>
      <vt:variant>
        <vt:i4>5</vt:i4>
      </vt:variant>
      <vt:variant>
        <vt:lpwstr/>
      </vt:variant>
      <vt:variant>
        <vt:lpwstr>_Toc422298362</vt:lpwstr>
      </vt:variant>
      <vt:variant>
        <vt:i4>1638460</vt:i4>
      </vt:variant>
      <vt:variant>
        <vt:i4>56</vt:i4>
      </vt:variant>
      <vt:variant>
        <vt:i4>0</vt:i4>
      </vt:variant>
      <vt:variant>
        <vt:i4>5</vt:i4>
      </vt:variant>
      <vt:variant>
        <vt:lpwstr/>
      </vt:variant>
      <vt:variant>
        <vt:lpwstr>_Toc422298361</vt:lpwstr>
      </vt:variant>
      <vt:variant>
        <vt:i4>1638460</vt:i4>
      </vt:variant>
      <vt:variant>
        <vt:i4>50</vt:i4>
      </vt:variant>
      <vt:variant>
        <vt:i4>0</vt:i4>
      </vt:variant>
      <vt:variant>
        <vt:i4>5</vt:i4>
      </vt:variant>
      <vt:variant>
        <vt:lpwstr/>
      </vt:variant>
      <vt:variant>
        <vt:lpwstr>_Toc422298360</vt:lpwstr>
      </vt:variant>
      <vt:variant>
        <vt:i4>1703996</vt:i4>
      </vt:variant>
      <vt:variant>
        <vt:i4>44</vt:i4>
      </vt:variant>
      <vt:variant>
        <vt:i4>0</vt:i4>
      </vt:variant>
      <vt:variant>
        <vt:i4>5</vt:i4>
      </vt:variant>
      <vt:variant>
        <vt:lpwstr/>
      </vt:variant>
      <vt:variant>
        <vt:lpwstr>_Toc422298359</vt:lpwstr>
      </vt:variant>
      <vt:variant>
        <vt:i4>1703996</vt:i4>
      </vt:variant>
      <vt:variant>
        <vt:i4>38</vt:i4>
      </vt:variant>
      <vt:variant>
        <vt:i4>0</vt:i4>
      </vt:variant>
      <vt:variant>
        <vt:i4>5</vt:i4>
      </vt:variant>
      <vt:variant>
        <vt:lpwstr/>
      </vt:variant>
      <vt:variant>
        <vt:lpwstr>_Toc422298358</vt:lpwstr>
      </vt:variant>
      <vt:variant>
        <vt:i4>1703996</vt:i4>
      </vt:variant>
      <vt:variant>
        <vt:i4>32</vt:i4>
      </vt:variant>
      <vt:variant>
        <vt:i4>0</vt:i4>
      </vt:variant>
      <vt:variant>
        <vt:i4>5</vt:i4>
      </vt:variant>
      <vt:variant>
        <vt:lpwstr/>
      </vt:variant>
      <vt:variant>
        <vt:lpwstr>_Toc422298357</vt:lpwstr>
      </vt:variant>
      <vt:variant>
        <vt:i4>1703996</vt:i4>
      </vt:variant>
      <vt:variant>
        <vt:i4>26</vt:i4>
      </vt:variant>
      <vt:variant>
        <vt:i4>0</vt:i4>
      </vt:variant>
      <vt:variant>
        <vt:i4>5</vt:i4>
      </vt:variant>
      <vt:variant>
        <vt:lpwstr/>
      </vt:variant>
      <vt:variant>
        <vt:lpwstr>_Toc422298356</vt:lpwstr>
      </vt:variant>
      <vt:variant>
        <vt:i4>1703996</vt:i4>
      </vt:variant>
      <vt:variant>
        <vt:i4>20</vt:i4>
      </vt:variant>
      <vt:variant>
        <vt:i4>0</vt:i4>
      </vt:variant>
      <vt:variant>
        <vt:i4>5</vt:i4>
      </vt:variant>
      <vt:variant>
        <vt:lpwstr/>
      </vt:variant>
      <vt:variant>
        <vt:lpwstr>_Toc422298355</vt:lpwstr>
      </vt:variant>
      <vt:variant>
        <vt:i4>1703996</vt:i4>
      </vt:variant>
      <vt:variant>
        <vt:i4>14</vt:i4>
      </vt:variant>
      <vt:variant>
        <vt:i4>0</vt:i4>
      </vt:variant>
      <vt:variant>
        <vt:i4>5</vt:i4>
      </vt:variant>
      <vt:variant>
        <vt:lpwstr/>
      </vt:variant>
      <vt:variant>
        <vt:lpwstr>_Toc422298354</vt:lpwstr>
      </vt:variant>
      <vt:variant>
        <vt:i4>1703996</vt:i4>
      </vt:variant>
      <vt:variant>
        <vt:i4>8</vt:i4>
      </vt:variant>
      <vt:variant>
        <vt:i4>0</vt:i4>
      </vt:variant>
      <vt:variant>
        <vt:i4>5</vt:i4>
      </vt:variant>
      <vt:variant>
        <vt:lpwstr/>
      </vt:variant>
      <vt:variant>
        <vt:lpwstr>_Toc422298353</vt:lpwstr>
      </vt:variant>
      <vt:variant>
        <vt:i4>1703996</vt:i4>
      </vt:variant>
      <vt:variant>
        <vt:i4>2</vt:i4>
      </vt:variant>
      <vt:variant>
        <vt:i4>0</vt:i4>
      </vt:variant>
      <vt:variant>
        <vt:i4>5</vt:i4>
      </vt:variant>
      <vt:variant>
        <vt:lpwstr/>
      </vt:variant>
      <vt:variant>
        <vt:lpwstr>_Toc422298352</vt:lpwstr>
      </vt:variant>
      <vt:variant>
        <vt:i4>2949229</vt:i4>
      </vt:variant>
      <vt:variant>
        <vt:i4>108</vt:i4>
      </vt:variant>
      <vt:variant>
        <vt:i4>0</vt:i4>
      </vt:variant>
      <vt:variant>
        <vt:i4>5</vt:i4>
      </vt:variant>
      <vt:variant>
        <vt:lpwstr>http://www.energyrating.gov.au/archives/fact-sheets/?viewPublicationID=2528</vt:lpwstr>
      </vt:variant>
      <vt:variant>
        <vt:lpwstr/>
      </vt:variant>
      <vt:variant>
        <vt:i4>4915203</vt:i4>
      </vt:variant>
      <vt:variant>
        <vt:i4>102</vt:i4>
      </vt:variant>
      <vt:variant>
        <vt:i4>0</vt:i4>
      </vt:variant>
      <vt:variant>
        <vt:i4>5</vt:i4>
      </vt:variant>
      <vt:variant>
        <vt:lpwstr>http://energy.gov/gc/articles/doe-announces-changes-energy-conservation-standards-process</vt:lpwstr>
      </vt:variant>
      <vt:variant>
        <vt:lpwstr/>
      </vt:variant>
      <vt:variant>
        <vt:i4>2818164</vt:i4>
      </vt:variant>
      <vt:variant>
        <vt:i4>99</vt:i4>
      </vt:variant>
      <vt:variant>
        <vt:i4>0</vt:i4>
      </vt:variant>
      <vt:variant>
        <vt:i4>5</vt:i4>
      </vt:variant>
      <vt:variant>
        <vt:lpwstr>http://energy.gov/eere/buildings/appliance-standards-and-rulemaking-federal-advisory-committee</vt:lpwstr>
      </vt:variant>
      <vt:variant>
        <vt:lpwstr/>
      </vt:variant>
      <vt:variant>
        <vt:i4>5046341</vt:i4>
      </vt:variant>
      <vt:variant>
        <vt:i4>96</vt:i4>
      </vt:variant>
      <vt:variant>
        <vt:i4>0</vt:i4>
      </vt:variant>
      <vt:variant>
        <vt:i4>5</vt:i4>
      </vt:variant>
      <vt:variant>
        <vt:lpwstr>http://www.ecodesign-wp3.eu/</vt:lpwstr>
      </vt:variant>
      <vt:variant>
        <vt:lpwstr/>
      </vt:variant>
      <vt:variant>
        <vt:i4>5701639</vt:i4>
      </vt:variant>
      <vt:variant>
        <vt:i4>93</vt:i4>
      </vt:variant>
      <vt:variant>
        <vt:i4>0</vt:i4>
      </vt:variant>
      <vt:variant>
        <vt:i4>5</vt:i4>
      </vt:variant>
      <vt:variant>
        <vt:lpwstr>http://energy.gov/eere/buildings/plans-and-schedules</vt:lpwstr>
      </vt:variant>
      <vt:variant>
        <vt:lpwstr/>
      </vt:variant>
      <vt:variant>
        <vt:i4>7536687</vt:i4>
      </vt:variant>
      <vt:variant>
        <vt:i4>90</vt:i4>
      </vt:variant>
      <vt:variant>
        <vt:i4>0</vt:i4>
      </vt:variant>
      <vt:variant>
        <vt:i4>5</vt:i4>
      </vt:variant>
      <vt:variant>
        <vt:lpwstr>http://www.environment.gov.au/protection/ozone/legislation</vt:lpwstr>
      </vt:variant>
      <vt:variant>
        <vt:lpwstr/>
      </vt:variant>
      <vt:variant>
        <vt:i4>5701696</vt:i4>
      </vt:variant>
      <vt:variant>
        <vt:i4>87</vt:i4>
      </vt:variant>
      <vt:variant>
        <vt:i4>0</vt:i4>
      </vt:variant>
      <vt:variant>
        <vt:i4>5</vt:i4>
      </vt:variant>
      <vt:variant>
        <vt:lpwstr>http://www.comlaw.gov.au/Details/C2012B00107/Explanatory Memorandum/Text</vt:lpwstr>
      </vt:variant>
      <vt:variant>
        <vt:lpwstr/>
      </vt:variant>
      <vt:variant>
        <vt:i4>1441868</vt:i4>
      </vt:variant>
      <vt:variant>
        <vt:i4>84</vt:i4>
      </vt:variant>
      <vt:variant>
        <vt:i4>0</vt:i4>
      </vt:variant>
      <vt:variant>
        <vt:i4>5</vt:i4>
      </vt:variant>
      <vt:variant>
        <vt:lpwstr>https://www.coag.gov.au/node/516</vt:lpwstr>
      </vt:variant>
      <vt:variant>
        <vt:lpwstr/>
      </vt:variant>
      <vt:variant>
        <vt:i4>5111816</vt:i4>
      </vt:variant>
      <vt:variant>
        <vt:i4>81</vt:i4>
      </vt:variant>
      <vt:variant>
        <vt:i4>0</vt:i4>
      </vt:variant>
      <vt:variant>
        <vt:i4>5</vt:i4>
      </vt:variant>
      <vt:variant>
        <vt:lpwstr>http://www.dpmc.gov.au/sites/default/files/publications/005_Regulatory_Burden_Measurement_Framework.pdf</vt:lpwstr>
      </vt:variant>
      <vt:variant>
        <vt:lpwstr/>
      </vt:variant>
      <vt:variant>
        <vt:i4>5242971</vt:i4>
      </vt:variant>
      <vt:variant>
        <vt:i4>78</vt:i4>
      </vt:variant>
      <vt:variant>
        <vt:i4>0</vt:i4>
      </vt:variant>
      <vt:variant>
        <vt:i4>5</vt:i4>
      </vt:variant>
      <vt:variant>
        <vt:lpwstr>https://www.google.com/url?q=http://www.energyrating.gov.au/wp-content/uploads/Energy_Rating_Documents/Library/General/Energy_Rating/ERL-Review_Final-Report.pdf&amp;sa=U&amp;ei=BlDzVPeYM7DlsAShqYCwBw&amp;ved=0CAUQFjAA&amp;client=internal-uds-cse&amp;usg=AFQjCNG3n0ICwhNZn1Lt6tkJL8WrVEytzw</vt:lpwstr>
      </vt:variant>
      <vt:variant>
        <vt:lpwstr/>
      </vt:variant>
      <vt:variant>
        <vt:i4>5308420</vt:i4>
      </vt:variant>
      <vt:variant>
        <vt:i4>75</vt:i4>
      </vt:variant>
      <vt:variant>
        <vt:i4>0</vt:i4>
      </vt:variant>
      <vt:variant>
        <vt:i4>5</vt:i4>
      </vt:variant>
      <vt:variant>
        <vt:lpwstr>http://energy.gov/eere/buildings/history-and-impacts</vt:lpwstr>
      </vt:variant>
      <vt:variant>
        <vt:lpwstr/>
      </vt:variant>
      <vt:variant>
        <vt:i4>5242971</vt:i4>
      </vt:variant>
      <vt:variant>
        <vt:i4>72</vt:i4>
      </vt:variant>
      <vt:variant>
        <vt:i4>0</vt:i4>
      </vt:variant>
      <vt:variant>
        <vt:i4>5</vt:i4>
      </vt:variant>
      <vt:variant>
        <vt:lpwstr>https://www.google.com/url?q=http://www.energyrating.gov.au/wp-content/uploads/Energy_Rating_Documents/Library/General/Energy_Rating/ERL-Review_Final-Report.pdf&amp;sa=U&amp;ei=BlDzVPeYM7DlsAShqYCwBw&amp;ved=0CAUQFjAA&amp;client=internal-uds-cse&amp;usg=AFQjCNG3n0ICwhNZn1Lt6tkJL8WrVEytzw</vt:lpwstr>
      </vt:variant>
      <vt:variant>
        <vt:lpwstr/>
      </vt:variant>
      <vt:variant>
        <vt:i4>4915266</vt:i4>
      </vt:variant>
      <vt:variant>
        <vt:i4>69</vt:i4>
      </vt:variant>
      <vt:variant>
        <vt:i4>0</vt:i4>
      </vt:variant>
      <vt:variant>
        <vt:i4>5</vt:i4>
      </vt:variant>
      <vt:variant>
        <vt:lpwstr>http://www.energywise.govt.nz/energy-star</vt:lpwstr>
      </vt:variant>
      <vt:variant>
        <vt:lpwstr/>
      </vt:variant>
      <vt:variant>
        <vt:i4>2031686</vt:i4>
      </vt:variant>
      <vt:variant>
        <vt:i4>66</vt:i4>
      </vt:variant>
      <vt:variant>
        <vt:i4>0</vt:i4>
      </vt:variant>
      <vt:variant>
        <vt:i4>5</vt:i4>
      </vt:variant>
      <vt:variant>
        <vt:lpwstr>http://www.eeca.govt.nz/standards-and-ratings/energy-star</vt:lpwstr>
      </vt:variant>
      <vt:variant>
        <vt:lpwstr/>
      </vt:variant>
      <vt:variant>
        <vt:i4>2621501</vt:i4>
      </vt:variant>
      <vt:variant>
        <vt:i4>63</vt:i4>
      </vt:variant>
      <vt:variant>
        <vt:i4>0</vt:i4>
      </vt:variant>
      <vt:variant>
        <vt:i4>5</vt:i4>
      </vt:variant>
      <vt:variant>
        <vt:lpwstr>http://www.geca.org.au/</vt:lpwstr>
      </vt:variant>
      <vt:variant>
        <vt:lpwstr/>
      </vt:variant>
      <vt:variant>
        <vt:i4>8257578</vt:i4>
      </vt:variant>
      <vt:variant>
        <vt:i4>60</vt:i4>
      </vt:variant>
      <vt:variant>
        <vt:i4>0</vt:i4>
      </vt:variant>
      <vt:variant>
        <vt:i4>5</vt:i4>
      </vt:variant>
      <vt:variant>
        <vt:lpwstr>http://www.iea-4e.org/news/s-l-programs-worldwide-2013</vt:lpwstr>
      </vt:variant>
      <vt:variant>
        <vt:lpwstr/>
      </vt:variant>
      <vt:variant>
        <vt:i4>7995435</vt:i4>
      </vt:variant>
      <vt:variant>
        <vt:i4>57</vt:i4>
      </vt:variant>
      <vt:variant>
        <vt:i4>0</vt:i4>
      </vt:variant>
      <vt:variant>
        <vt:i4>5</vt:i4>
      </vt:variant>
      <vt:variant>
        <vt:lpwstr>http://www.google.co.uk/url?sa=t&amp;rct=j&amp;q=&amp;esrc=s&amp;frm=1&amp;source=web&amp;cd=1&amp;ved=0CCUQFjAA&amp;url=http%3A%2F%2Fwww.coolproducts.eu%2Fresources%2Fdocuments%2FInternational-Comparison.pdf&amp;ei=uGLjVIDPGtLhateWgsgI&amp;usg=AFQjCNHBsyPSwvxxafJhjE-AhUlvWmLRUw&amp;sig2=e0Faxe5G03ypk1m-iluhwQ&amp;bvm=bv.85970519,d.d24</vt:lpwstr>
      </vt:variant>
      <vt:variant>
        <vt:lpwstr/>
      </vt:variant>
      <vt:variant>
        <vt:i4>983107</vt:i4>
      </vt:variant>
      <vt:variant>
        <vt:i4>54</vt:i4>
      </vt:variant>
      <vt:variant>
        <vt:i4>0</vt:i4>
      </vt:variant>
      <vt:variant>
        <vt:i4>5</vt:i4>
      </vt:variant>
      <vt:variant>
        <vt:lpwstr>http://www.ecofys.com/en/publication/evaluation-of-the-eu-energy-labelling-and-ecodesign-directives/</vt:lpwstr>
      </vt:variant>
      <vt:variant>
        <vt:lpwstr/>
      </vt:variant>
      <vt:variant>
        <vt:i4>7143445</vt:i4>
      </vt:variant>
      <vt:variant>
        <vt:i4>51</vt:i4>
      </vt:variant>
      <vt:variant>
        <vt:i4>0</vt:i4>
      </vt:variant>
      <vt:variant>
        <vt:i4>5</vt:i4>
      </vt:variant>
      <vt:variant>
        <vt:lpwstr>http://www.eccj.or.jp/top_runner/</vt:lpwstr>
      </vt:variant>
      <vt:variant>
        <vt:lpwstr/>
      </vt:variant>
      <vt:variant>
        <vt:i4>5308420</vt:i4>
      </vt:variant>
      <vt:variant>
        <vt:i4>45</vt:i4>
      </vt:variant>
      <vt:variant>
        <vt:i4>0</vt:i4>
      </vt:variant>
      <vt:variant>
        <vt:i4>5</vt:i4>
      </vt:variant>
      <vt:variant>
        <vt:lpwstr>http://energy.gov/eere/buildings/history-and-impacts</vt:lpwstr>
      </vt:variant>
      <vt:variant>
        <vt:lpwstr/>
      </vt:variant>
      <vt:variant>
        <vt:i4>7209081</vt:i4>
      </vt:variant>
      <vt:variant>
        <vt:i4>42</vt:i4>
      </vt:variant>
      <vt:variant>
        <vt:i4>0</vt:i4>
      </vt:variant>
      <vt:variant>
        <vt:i4>5</vt:i4>
      </vt:variant>
      <vt:variant>
        <vt:lpwstr>http://www.ecofys.com/files/files/final_technical_report-evaluation_eld_ed_june_2014.pdf</vt:lpwstr>
      </vt:variant>
      <vt:variant>
        <vt:lpwstr/>
      </vt:variant>
      <vt:variant>
        <vt:i4>2621551</vt:i4>
      </vt:variant>
      <vt:variant>
        <vt:i4>39</vt:i4>
      </vt:variant>
      <vt:variant>
        <vt:i4>0</vt:i4>
      </vt:variant>
      <vt:variant>
        <vt:i4>5</vt:i4>
      </vt:variant>
      <vt:variant>
        <vt:lpwstr>http://www.ewp.industry.gov.au/</vt:lpwstr>
      </vt:variant>
      <vt:variant>
        <vt:lpwstr/>
      </vt:variant>
      <vt:variant>
        <vt:i4>6160425</vt:i4>
      </vt:variant>
      <vt:variant>
        <vt:i4>36</vt:i4>
      </vt:variant>
      <vt:variant>
        <vt:i4>0</vt:i4>
      </vt:variant>
      <vt:variant>
        <vt:i4>5</vt:i4>
      </vt:variant>
      <vt:variant>
        <vt:lpwstr>http://www.ens.dk/sites/ens.dk/files/climate-co2/low-carbon-transition-unit/danish-energy-policy-toolkits/clasp_dea_toolkit_dec_18_v5.pdf</vt:lpwstr>
      </vt:variant>
      <vt:variant>
        <vt:lpwstr/>
      </vt:variant>
      <vt:variant>
        <vt:i4>2031686</vt:i4>
      </vt:variant>
      <vt:variant>
        <vt:i4>33</vt:i4>
      </vt:variant>
      <vt:variant>
        <vt:i4>0</vt:i4>
      </vt:variant>
      <vt:variant>
        <vt:i4>5</vt:i4>
      </vt:variant>
      <vt:variant>
        <vt:lpwstr>http://www.iea.org/Textbase/npsum/EEMR2014SUM.pdf</vt:lpwstr>
      </vt:variant>
      <vt:variant>
        <vt:lpwstr/>
      </vt:variant>
      <vt:variant>
        <vt:i4>2424957</vt:i4>
      </vt:variant>
      <vt:variant>
        <vt:i4>30</vt:i4>
      </vt:variant>
      <vt:variant>
        <vt:i4>0</vt:i4>
      </vt:variant>
      <vt:variant>
        <vt:i4>5</vt:i4>
      </vt:variant>
      <vt:variant>
        <vt:lpwstr>http://www.google.co.uk/url?sa=t&amp;rct=j&amp;q=&amp;esrc=s&amp;frm=1&amp;source=web&amp;cd=1&amp;ved=0CCgQFjAA&amp;url=http%3A%2F%2Fwww.iea.org%2Fpublications%2Ffreepublications%2Fpublication%2Fmind_the_gap.pdf&amp;ei=iMFwVODXLdjXapq4gbAF&amp;usg=AFQjCNErSqe38HT4Fqnu7l8cvHZh425PbQ&amp;sig2=K36dpcyhOtgajt9cDih3nA&amp;bvm=bv.80185997,d.d2s</vt:lpwstr>
      </vt:variant>
      <vt:variant>
        <vt:lpwstr/>
      </vt:variant>
      <vt:variant>
        <vt:i4>7733273</vt:i4>
      </vt:variant>
      <vt:variant>
        <vt:i4>27</vt:i4>
      </vt:variant>
      <vt:variant>
        <vt:i4>0</vt:i4>
      </vt:variant>
      <vt:variant>
        <vt:i4>5</vt:i4>
      </vt:variant>
      <vt:variant>
        <vt:lpwstr>https://www.google.co.uk/url?sa=t&amp;rct=j&amp;q=&amp;esrc=s&amp;frm=1&amp;source=web&amp;cd=1&amp;cad=rja&amp;uact=8&amp;ved=0CCEQFjAA&amp;url=https%3A%2F%2Fwww.coag.gov.au%2Fsites%2Fdefault%2Ffiles%2Fcoag_documents%2FCOAG_best_practice_guide_2007.pdf&amp;ei=40S2VO22KYK5UZfDgbgB&amp;usg=AFQjCNEKCu63wgo3GD139AsEa9Paci3naQ&amp;sig2=PeYgpZ-WCEYRxkeoF174XQ</vt:lpwstr>
      </vt:variant>
      <vt:variant>
        <vt:lpwstr/>
      </vt:variant>
      <vt:variant>
        <vt:i4>6160411</vt:i4>
      </vt:variant>
      <vt:variant>
        <vt:i4>24</vt:i4>
      </vt:variant>
      <vt:variant>
        <vt:i4>0</vt:i4>
      </vt:variant>
      <vt:variant>
        <vt:i4>5</vt:i4>
      </vt:variant>
      <vt:variant>
        <vt:lpwstr>http://climatechange.gov.au/communiqu%C3%A9-0</vt:lpwstr>
      </vt:variant>
      <vt:variant>
        <vt:lpwstr/>
      </vt:variant>
      <vt:variant>
        <vt:i4>2556031</vt:i4>
      </vt:variant>
      <vt:variant>
        <vt:i4>21</vt:i4>
      </vt:variant>
      <vt:variant>
        <vt:i4>0</vt:i4>
      </vt:variant>
      <vt:variant>
        <vt:i4>5</vt:i4>
      </vt:variant>
      <vt:variant>
        <vt:lpwstr>http://www.industry.gov.au/Energy/EnergyEfficiency/Pages/NationalStrategyEnergyEfficiency.aspx</vt:lpwstr>
      </vt:variant>
      <vt:variant>
        <vt:lpwstr/>
      </vt:variant>
      <vt:variant>
        <vt:i4>1507397</vt:i4>
      </vt:variant>
      <vt:variant>
        <vt:i4>18</vt:i4>
      </vt:variant>
      <vt:variant>
        <vt:i4>0</vt:i4>
      </vt:variant>
      <vt:variant>
        <vt:i4>5</vt:i4>
      </vt:variant>
      <vt:variant>
        <vt:lpwstr>https://www.coag.gov.au/node/183</vt:lpwstr>
      </vt:variant>
      <vt:variant>
        <vt:lpwstr/>
      </vt:variant>
      <vt:variant>
        <vt:i4>5701696</vt:i4>
      </vt:variant>
      <vt:variant>
        <vt:i4>15</vt:i4>
      </vt:variant>
      <vt:variant>
        <vt:i4>0</vt:i4>
      </vt:variant>
      <vt:variant>
        <vt:i4>5</vt:i4>
      </vt:variant>
      <vt:variant>
        <vt:lpwstr>http://www.comlaw.gov.au/Details/C2012B00107/Explanatory Memorandum/Text</vt:lpwstr>
      </vt:variant>
      <vt:variant>
        <vt:lpwstr/>
      </vt:variant>
      <vt:variant>
        <vt:i4>393309</vt:i4>
      </vt:variant>
      <vt:variant>
        <vt:i4>12</vt:i4>
      </vt:variant>
      <vt:variant>
        <vt:i4>0</vt:i4>
      </vt:variant>
      <vt:variant>
        <vt:i4>5</vt:i4>
      </vt:variant>
      <vt:variant>
        <vt:lpwstr>http://www.comlaw.gov.au/Details/C2012A00132</vt:lpwstr>
      </vt:variant>
      <vt:variant>
        <vt:lpwstr/>
      </vt:variant>
      <vt:variant>
        <vt:i4>3932216</vt:i4>
      </vt:variant>
      <vt:variant>
        <vt:i4>9</vt:i4>
      </vt:variant>
      <vt:variant>
        <vt:i4>0</vt:i4>
      </vt:variant>
      <vt:variant>
        <vt:i4>5</vt:i4>
      </vt:variant>
      <vt:variant>
        <vt:lpwstr>http://unfccc.int/2860.php</vt:lpwstr>
      </vt:variant>
      <vt:variant>
        <vt:lpwstr/>
      </vt:variant>
      <vt:variant>
        <vt:i4>6553706</vt:i4>
      </vt:variant>
      <vt:variant>
        <vt:i4>6</vt:i4>
      </vt:variant>
      <vt:variant>
        <vt:i4>0</vt:i4>
      </vt:variant>
      <vt:variant>
        <vt:i4>5</vt:i4>
      </vt:variant>
      <vt:variant>
        <vt:lpwstr>http://www.iea-4e.org/files/otherfiles/0000/0317/Int-Label-2013-desktop-v7b.pdf</vt:lpwstr>
      </vt:variant>
      <vt:variant>
        <vt:lpwstr/>
      </vt:variant>
      <vt:variant>
        <vt:i4>524315</vt:i4>
      </vt:variant>
      <vt:variant>
        <vt:i4>3</vt:i4>
      </vt:variant>
      <vt:variant>
        <vt:i4>0</vt:i4>
      </vt:variant>
      <vt:variant>
        <vt:i4>5</vt:i4>
      </vt:variant>
      <vt:variant>
        <vt:lpwstr>http://www.energyrating.gov.au/about/other-programs/meps/</vt:lpwstr>
      </vt:variant>
      <vt:variant>
        <vt:lpwstr/>
      </vt:variant>
      <vt:variant>
        <vt:i4>917597</vt:i4>
      </vt:variant>
      <vt:variant>
        <vt:i4>0</vt:i4>
      </vt:variant>
      <vt:variant>
        <vt:i4>0</vt:i4>
      </vt:variant>
      <vt:variant>
        <vt:i4>5</vt:i4>
      </vt:variant>
      <vt:variant>
        <vt:lpwstr>http://www.advocacypanel.com.au/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Clarkson</dc:creator>
  <cp:lastModifiedBy>Hill, Jason</cp:lastModifiedBy>
  <cp:revision>2</cp:revision>
  <cp:lastPrinted>2015-06-15T05:51:00Z</cp:lastPrinted>
  <dcterms:created xsi:type="dcterms:W3CDTF">2023-02-21T01:14:00Z</dcterms:created>
  <dcterms:modified xsi:type="dcterms:W3CDTF">2023-02-21T01:14:00Z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ies>
</file>